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37FD08">
      <w:pPr>
        <w:pStyle w:val="2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firstLine="0" w:firstLineChars="0"/>
        <w:jc w:val="center"/>
        <w:rPr>
          <w:rFonts w:hint="eastAsia" w:ascii="宋体" w:hAnsi="宋体" w:eastAsia="宋体" w:cs="Times New Roman"/>
          <w:b/>
          <w:bCs/>
          <w:snapToGrid w:val="0"/>
          <w:color w:val="auto"/>
          <w:spacing w:val="4"/>
          <w:w w:val="80"/>
          <w:kern w:val="0"/>
          <w:sz w:val="44"/>
          <w:szCs w:val="44"/>
          <w:highlight w:val="none"/>
          <w:lang w:val="en-US" w:eastAsia="zh-CN" w:bidi="en-US"/>
        </w:rPr>
      </w:pPr>
    </w:p>
    <w:p w14:paraId="772BA2F2">
      <w:pPr>
        <w:pStyle w:val="2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firstLine="0" w:firstLineChars="0"/>
        <w:jc w:val="center"/>
        <w:rPr>
          <w:rFonts w:hint="eastAsia" w:ascii="宋体" w:hAnsi="宋体" w:eastAsia="宋体" w:cs="Times New Roman"/>
          <w:b/>
          <w:bCs/>
          <w:snapToGrid w:val="0"/>
          <w:color w:val="auto"/>
          <w:spacing w:val="4"/>
          <w:w w:val="80"/>
          <w:kern w:val="0"/>
          <w:sz w:val="44"/>
          <w:szCs w:val="44"/>
          <w:highlight w:val="none"/>
          <w:lang w:val="en-US" w:eastAsia="zh-CN" w:bidi="en-US"/>
        </w:rPr>
      </w:pPr>
    </w:p>
    <w:p w14:paraId="4A6A0AFF">
      <w:pPr>
        <w:pStyle w:val="21"/>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57" w:beforeLines="50" w:beforeAutospacing="0" w:after="157" w:afterLines="50" w:afterAutospacing="0" w:line="480" w:lineRule="auto"/>
        <w:ind w:left="0" w:leftChars="0" w:firstLine="0" w:firstLineChars="0"/>
        <w:jc w:val="center"/>
        <w:textAlignment w:val="auto"/>
        <w:rPr>
          <w:rFonts w:hint="eastAsia" w:ascii="宋体" w:hAnsi="宋体" w:eastAsia="宋体" w:cs="Times New Roman"/>
          <w:b/>
          <w:bCs/>
          <w:snapToGrid w:val="0"/>
          <w:color w:val="auto"/>
          <w:spacing w:val="4"/>
          <w:w w:val="80"/>
          <w:kern w:val="0"/>
          <w:sz w:val="44"/>
          <w:szCs w:val="44"/>
          <w:highlight w:val="none"/>
          <w:lang w:val="en-US" w:eastAsia="zh-CN" w:bidi="en-US"/>
        </w:rPr>
      </w:pPr>
      <w:r>
        <w:rPr>
          <w:rFonts w:hint="eastAsia" w:ascii="宋体" w:hAnsi="宋体" w:eastAsia="宋体" w:cs="Times New Roman"/>
          <w:b/>
          <w:bCs/>
          <w:snapToGrid w:val="0"/>
          <w:color w:val="auto"/>
          <w:spacing w:val="4"/>
          <w:w w:val="80"/>
          <w:kern w:val="0"/>
          <w:sz w:val="44"/>
          <w:szCs w:val="44"/>
          <w:highlight w:val="none"/>
          <w:lang w:val="en-US" w:eastAsia="zh-CN" w:bidi="en-US"/>
        </w:rPr>
        <w:t>湖南鸿蒙新材料制造有限公司</w:t>
      </w:r>
    </w:p>
    <w:p w14:paraId="426F0DD0">
      <w:pPr>
        <w:pStyle w:val="21"/>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157" w:beforeLines="50" w:beforeAutospacing="0" w:after="157" w:afterLines="50" w:afterAutospacing="0" w:line="480" w:lineRule="auto"/>
        <w:ind w:left="0" w:leftChars="0" w:firstLine="0" w:firstLineChars="0"/>
        <w:jc w:val="center"/>
        <w:textAlignment w:val="auto"/>
        <w:rPr>
          <w:rFonts w:hint="default" w:ascii="宋体" w:hAnsi="宋体" w:eastAsia="宋体" w:cs="Times New Roman"/>
          <w:b/>
          <w:bCs/>
          <w:color w:val="auto"/>
          <w:kern w:val="0"/>
          <w:sz w:val="32"/>
          <w:szCs w:val="32"/>
          <w:highlight w:val="none"/>
          <w:lang w:val="en-US" w:eastAsia="zh-CN" w:bidi="en-US"/>
        </w:rPr>
      </w:pPr>
      <w:r>
        <w:rPr>
          <w:rFonts w:hint="eastAsia" w:ascii="宋体" w:hAnsi="宋体" w:eastAsia="宋体" w:cs="Times New Roman"/>
          <w:b/>
          <w:bCs/>
          <w:color w:val="auto"/>
          <w:kern w:val="0"/>
          <w:sz w:val="32"/>
          <w:szCs w:val="32"/>
          <w:highlight w:val="none"/>
          <w:lang w:val="en-US" w:eastAsia="zh-CN" w:bidi="en-US"/>
        </w:rPr>
        <w:t>年复配3500吨生物酶制剂及1500吨酶制品助剂应用项目</w:t>
      </w:r>
    </w:p>
    <w:p w14:paraId="5756C860">
      <w:pPr>
        <w:keepNext w:val="0"/>
        <w:keepLines w:val="0"/>
        <w:pageBreakBefore w:val="0"/>
        <w:widowControl w:val="0"/>
        <w:kinsoku/>
        <w:wordWrap/>
        <w:overflowPunct/>
        <w:topLinePunct w:val="0"/>
        <w:autoSpaceDE/>
        <w:autoSpaceDN/>
        <w:bidi w:val="0"/>
        <w:adjustRightInd/>
        <w:snapToGrid/>
        <w:spacing w:before="157" w:beforeLines="50" w:after="157" w:afterLines="50" w:line="480" w:lineRule="auto"/>
        <w:ind w:left="0" w:leftChars="0" w:firstLine="0" w:firstLineChars="0"/>
        <w:jc w:val="both"/>
        <w:textAlignment w:val="auto"/>
        <w:rPr>
          <w:rFonts w:cs="Times New Roman"/>
          <w:b/>
          <w:bCs/>
          <w:color w:val="auto"/>
          <w:sz w:val="112"/>
          <w:szCs w:val="112"/>
          <w:highlight w:val="none"/>
        </w:rPr>
      </w:pPr>
      <w:r>
        <w:rPr>
          <w:rFonts w:cs="Times New Roman"/>
          <w:b/>
          <w:bCs/>
          <w:color w:val="auto"/>
          <w:sz w:val="112"/>
          <w:szCs w:val="112"/>
          <w:highlight w:val="none"/>
        </w:rPr>
        <w:t>环境影响报告书</w:t>
      </w:r>
    </w:p>
    <w:p w14:paraId="1CB35EE9">
      <w:pPr>
        <w:pStyle w:val="2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ind w:left="0" w:leftChars="0" w:firstLine="0" w:firstLineChars="0"/>
        <w:jc w:val="center"/>
        <w:rPr>
          <w:rFonts w:hint="eastAsia" w:ascii="宋体" w:hAnsi="宋体" w:eastAsia="宋体" w:cs="Times New Roman"/>
          <w:b/>
          <w:bCs/>
          <w:color w:val="auto"/>
          <w:kern w:val="0"/>
          <w:sz w:val="36"/>
          <w:szCs w:val="44"/>
          <w:highlight w:val="none"/>
          <w:lang w:val="en-US" w:eastAsia="zh-CN" w:bidi="en-US"/>
        </w:rPr>
      </w:pPr>
    </w:p>
    <w:p w14:paraId="4A1BBFB1">
      <w:pPr>
        <w:bidi w:val="0"/>
        <w:rPr>
          <w:rFonts w:hint="eastAsia"/>
          <w:highlight w:val="none"/>
          <w:lang w:val="en-US" w:eastAsia="zh-CN"/>
        </w:rPr>
      </w:pPr>
    </w:p>
    <w:p w14:paraId="515184C9">
      <w:pPr>
        <w:bidi w:val="0"/>
        <w:rPr>
          <w:rFonts w:hint="eastAsia"/>
          <w:highlight w:val="none"/>
          <w:lang w:val="en-US" w:eastAsia="zh-CN"/>
        </w:rPr>
      </w:pPr>
    </w:p>
    <w:p w14:paraId="4248AEBB">
      <w:pPr>
        <w:bidi w:val="0"/>
        <w:rPr>
          <w:rFonts w:hint="eastAsia"/>
          <w:highlight w:val="none"/>
          <w:lang w:val="en-US" w:eastAsia="zh-CN"/>
        </w:rPr>
      </w:pPr>
    </w:p>
    <w:p w14:paraId="3C489F7A">
      <w:pPr>
        <w:bidi w:val="0"/>
        <w:rPr>
          <w:rFonts w:hint="eastAsia"/>
          <w:highlight w:val="none"/>
          <w:lang w:val="en-US" w:eastAsia="zh-CN"/>
        </w:rPr>
      </w:pPr>
    </w:p>
    <w:p w14:paraId="3568871A">
      <w:pPr>
        <w:bidi w:val="0"/>
        <w:rPr>
          <w:rFonts w:hint="eastAsia"/>
          <w:highlight w:val="none"/>
          <w:lang w:val="en-US" w:eastAsia="zh-CN"/>
        </w:rPr>
      </w:pPr>
    </w:p>
    <w:p w14:paraId="75C92F8F">
      <w:pPr>
        <w:bidi w:val="0"/>
        <w:rPr>
          <w:rFonts w:hint="eastAsia"/>
          <w:highlight w:val="none"/>
          <w:lang w:val="en-US" w:eastAsia="zh-CN"/>
        </w:rPr>
      </w:pPr>
    </w:p>
    <w:p w14:paraId="14CE9807">
      <w:pPr>
        <w:bidi w:val="0"/>
        <w:rPr>
          <w:rFonts w:hint="eastAsia"/>
          <w:highlight w:val="none"/>
          <w:lang w:val="en-US" w:eastAsia="zh-CN"/>
        </w:rPr>
      </w:pPr>
    </w:p>
    <w:p w14:paraId="23F31CB1">
      <w:pPr>
        <w:bidi w:val="0"/>
        <w:ind w:left="0" w:leftChars="0" w:firstLine="0" w:firstLineChars="0"/>
        <w:rPr>
          <w:rFonts w:hint="eastAsia"/>
          <w:highlight w:val="none"/>
          <w:lang w:val="en-US" w:eastAsia="zh-CN"/>
        </w:rPr>
      </w:pPr>
    </w:p>
    <w:p w14:paraId="33CAAF0F">
      <w:pPr>
        <w:bidi w:val="0"/>
        <w:rPr>
          <w:rFonts w:hint="eastAsia"/>
          <w:highlight w:val="none"/>
          <w:lang w:val="en-US" w:eastAsia="zh-CN"/>
        </w:rPr>
      </w:pPr>
    </w:p>
    <w:p w14:paraId="13B43091">
      <w:pPr>
        <w:rPr>
          <w:highlight w:val="none"/>
        </w:rPr>
      </w:pPr>
      <w:r>
        <w:rPr>
          <w:rFonts w:hint="eastAsia"/>
          <w:highlight w:val="none"/>
          <w:lang w:val="en-US" w:eastAsia="zh-CN"/>
        </w:rPr>
        <w:tab/>
      </w:r>
      <w:r>
        <w:rPr>
          <w:rFonts w:hint="eastAsia"/>
          <w:highlight w:val="none"/>
          <w:lang w:val="en-US" w:eastAsia="zh-CN"/>
        </w:rPr>
        <w:t xml:space="preserve">    </w:t>
      </w:r>
      <w:r>
        <w:rPr>
          <w:rFonts w:cs="Times New Roman"/>
          <w:b/>
          <w:bCs/>
          <w:color w:val="auto"/>
          <w:sz w:val="28"/>
          <w:szCs w:val="28"/>
          <w:highlight w:val="none"/>
        </w:rPr>
        <w:t>建设单位：</w:t>
      </w:r>
      <w:r>
        <w:rPr>
          <w:rFonts w:hint="eastAsia" w:cs="Times New Roman"/>
          <w:b/>
          <w:bCs/>
          <w:color w:val="auto"/>
          <w:sz w:val="28"/>
          <w:szCs w:val="28"/>
          <w:highlight w:val="none"/>
        </w:rPr>
        <w:t>湖南鸿蒙新材料制造有限公司</w:t>
      </w:r>
    </w:p>
    <w:p w14:paraId="2511A050">
      <w:pPr>
        <w:ind w:firstLine="1405" w:firstLineChars="500"/>
        <w:rPr>
          <w:rFonts w:hint="eastAsia" w:cs="Times New Roman"/>
          <w:b/>
          <w:bCs/>
          <w:color w:val="auto"/>
          <w:sz w:val="28"/>
          <w:szCs w:val="28"/>
          <w:highlight w:val="none"/>
          <w:lang w:val="en-US" w:eastAsia="zh-CN"/>
        </w:rPr>
      </w:pPr>
      <w:r>
        <w:rPr>
          <w:rFonts w:cs="Times New Roman"/>
          <w:b/>
          <w:bCs/>
          <w:color w:val="auto"/>
          <w:sz w:val="28"/>
          <w:szCs w:val="28"/>
          <w:highlight w:val="none"/>
        </w:rPr>
        <w:t>环评单位：</w:t>
      </w:r>
      <w:r>
        <w:rPr>
          <w:rFonts w:hint="eastAsia" w:cs="Times New Roman"/>
          <w:b/>
          <w:bCs/>
          <w:color w:val="auto"/>
          <w:sz w:val="28"/>
          <w:szCs w:val="28"/>
          <w:highlight w:val="none"/>
          <w:lang w:val="en-US" w:eastAsia="zh-CN"/>
        </w:rPr>
        <w:t>湖南绿韵环境科技有限公司</w:t>
      </w:r>
    </w:p>
    <w:p w14:paraId="02939C9B">
      <w:pPr>
        <w:ind w:firstLine="2530" w:firstLineChars="900"/>
        <w:rPr>
          <w:rFonts w:hint="eastAsia" w:cs="Times New Roman"/>
          <w:b/>
          <w:bCs/>
          <w:color w:val="auto"/>
          <w:sz w:val="28"/>
          <w:szCs w:val="28"/>
          <w:highlight w:val="none"/>
          <w:lang w:val="en-US" w:eastAsia="zh-CN"/>
        </w:rPr>
        <w:sectPr>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312" w:charSpace="0"/>
        </w:sectPr>
      </w:pPr>
      <w:r>
        <w:rPr>
          <w:rFonts w:hint="eastAsia" w:cs="Times New Roman"/>
          <w:b/>
          <w:bCs/>
          <w:color w:val="auto"/>
          <w:sz w:val="28"/>
          <w:szCs w:val="28"/>
          <w:highlight w:val="none"/>
          <w:lang w:val="en-US" w:eastAsia="zh-CN"/>
        </w:rPr>
        <w:t>二〇二五年五月</w:t>
      </w:r>
    </w:p>
    <w:p w14:paraId="18F61949">
      <w:pPr>
        <w:ind w:firstLine="2530" w:firstLineChars="900"/>
        <w:rPr>
          <w:rFonts w:hint="default" w:cs="Times New Roman"/>
          <w:b/>
          <w:bCs/>
          <w:color w:val="auto"/>
          <w:sz w:val="28"/>
          <w:szCs w:val="28"/>
          <w:highlight w:val="none"/>
          <w:lang w:val="en-US" w:eastAsia="zh-CN"/>
        </w:rPr>
        <w:sectPr>
          <w:footerReference r:id="rId5" w:type="default"/>
          <w:pgSz w:w="11905" w:h="16838"/>
          <w:pgMar w:top="1440" w:right="1803" w:bottom="1440" w:left="1803" w:header="0" w:footer="1542" w:gutter="0"/>
          <w:pgBorders>
            <w:top w:val="none" w:sz="0" w:space="0"/>
            <w:left w:val="none" w:sz="0" w:space="0"/>
            <w:bottom w:val="none" w:sz="0" w:space="0"/>
            <w:right w:val="none" w:sz="0" w:space="0"/>
          </w:pgBorders>
          <w:pgNumType w:fmt="decimal" w:start="1"/>
          <w:cols w:space="0" w:num="1"/>
          <w:rtlGutter w:val="0"/>
          <w:docGrid w:linePitch="312" w:charSpace="0"/>
        </w:sectPr>
      </w:pPr>
    </w:p>
    <w:sdt>
      <w:sdtPr>
        <w:rPr>
          <w:rFonts w:ascii="宋体" w:hAnsi="宋体" w:eastAsia="宋体" w:cs="Times New Roman"/>
          <w:b/>
          <w:bCs/>
          <w:kern w:val="2"/>
          <w:sz w:val="32"/>
          <w:szCs w:val="32"/>
          <w:lang w:val="en-US" w:eastAsia="zh-CN" w:bidi="ar-SA"/>
        </w:rPr>
        <w:id w:val="147481049"/>
        <w15:color w:val="DBDBDB"/>
        <w:docPartObj>
          <w:docPartGallery w:val="Table of Contents"/>
          <w:docPartUnique/>
        </w:docPartObj>
      </w:sdtPr>
      <w:sdtEndPr>
        <w:rPr>
          <w:rFonts w:hint="default" w:ascii="Times New Roman" w:hAnsi="Times New Roman" w:eastAsia="仿宋" w:cs="Times New Roman"/>
          <w:b/>
          <w:bCs/>
          <w:color w:val="auto"/>
          <w:kern w:val="2"/>
          <w:sz w:val="28"/>
          <w:szCs w:val="28"/>
          <w:highlight w:val="none"/>
          <w:lang w:val="en-US" w:eastAsia="zh-CN" w:bidi="ar-SA"/>
        </w:rPr>
      </w:sdtEndPr>
      <w:sdtContent>
        <w:p w14:paraId="5062E4A1">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14:paraId="6963D239">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auto"/>
              <w:sz w:val="24"/>
              <w:szCs w:val="24"/>
              <w:highlight w:val="none"/>
              <w:lang w:val="en-US" w:eastAsia="zh-CN"/>
            </w:rPr>
            <w:fldChar w:fldCharType="begin"/>
          </w:r>
          <w:r>
            <w:rPr>
              <w:rFonts w:hint="default" w:ascii="Times New Roman" w:hAnsi="Times New Roman" w:eastAsia="宋体" w:cs="Times New Roman"/>
              <w:b/>
              <w:bCs/>
              <w:color w:val="auto"/>
              <w:sz w:val="24"/>
              <w:szCs w:val="24"/>
              <w:highlight w:val="none"/>
              <w:lang w:val="en-US" w:eastAsia="zh-CN"/>
            </w:rPr>
            <w:instrText xml:space="preserve">TOC \o "1-3" \h \u </w:instrText>
          </w:r>
          <w:r>
            <w:rPr>
              <w:rFonts w:hint="default" w:ascii="Times New Roman" w:hAnsi="Times New Roman" w:eastAsia="宋体" w:cs="Times New Roman"/>
              <w:b/>
              <w:bCs/>
              <w:color w:val="auto"/>
              <w:sz w:val="24"/>
              <w:szCs w:val="24"/>
              <w:highlight w:val="none"/>
              <w:lang w:val="en-US" w:eastAsia="zh-CN"/>
            </w:rPr>
            <w:fldChar w:fldCharType="separate"/>
          </w: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_Toc4210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1、概述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_Toc4210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7CBA208">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_Toc15455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1.1任务由来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_Toc15455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2647E56">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_Toc28811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建设项目特点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_Toc28811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AB91FB8">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_Toc22371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环境影响评价</w:t>
          </w:r>
          <w:r>
            <w:rPr>
              <w:rFonts w:hint="default" w:ascii="Times New Roman" w:hAnsi="Times New Roman" w:eastAsia="宋体" w:cs="Times New Roman"/>
              <w:sz w:val="24"/>
              <w:szCs w:val="24"/>
              <w:highlight w:val="none"/>
              <w:lang w:val="en-US" w:eastAsia="zh-CN"/>
            </w:rPr>
            <w:t>工作程序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40DCA0B">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_Toc22323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 xml:space="preserve"> 分析判断相关情况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25FA7CA">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_Toc16232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1.4.1</w:t>
          </w:r>
          <w:r>
            <w:rPr>
              <w:rFonts w:hint="default" w:ascii="Times New Roman" w:hAnsi="Times New Roman" w:eastAsia="宋体" w:cs="Times New Roman"/>
              <w:sz w:val="24"/>
              <w:szCs w:val="24"/>
              <w:highlight w:val="none"/>
            </w:rPr>
            <w:t>产业政策的相符性分析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5796510">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_Toc463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1.4.2</w:t>
          </w:r>
          <w:r>
            <w:rPr>
              <w:rFonts w:hint="default" w:ascii="Times New Roman" w:hAnsi="Times New Roman" w:eastAsia="宋体" w:cs="Times New Roman"/>
              <w:sz w:val="24"/>
              <w:szCs w:val="24"/>
              <w:highlight w:val="none"/>
            </w:rPr>
            <w:t>规划符合性分析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22D9A53">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_Toc29627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1.4.3</w:t>
          </w:r>
          <w:r>
            <w:rPr>
              <w:rFonts w:hint="default" w:ascii="Times New Roman" w:hAnsi="Times New Roman" w:eastAsia="宋体" w:cs="Times New Roman"/>
              <w:sz w:val="24"/>
              <w:szCs w:val="24"/>
              <w:highlight w:val="none"/>
            </w:rPr>
            <w:t>项目选址的合理性分析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_Toc29627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C59B0AA">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_Toc13314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1.4.4</w:t>
          </w:r>
          <w:r>
            <w:rPr>
              <w:rFonts w:hint="default" w:ascii="Times New Roman" w:hAnsi="Times New Roman" w:eastAsia="宋体" w:cs="Times New Roman"/>
              <w:sz w:val="24"/>
              <w:szCs w:val="24"/>
              <w:highlight w:val="none"/>
            </w:rPr>
            <w:t>平面布置合理性分析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_Toc13314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CF40CA3">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_Toc11450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 xml:space="preserve"> 本项目主要关注的环境问题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_Toc11450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E7C9B72">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_Toc25304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 xml:space="preserve">   环境影响评价</w:t>
          </w:r>
          <w:r>
            <w:rPr>
              <w:rFonts w:hint="default" w:ascii="Times New Roman" w:hAnsi="Times New Roman" w:eastAsia="宋体" w:cs="Times New Roman"/>
              <w:sz w:val="24"/>
              <w:szCs w:val="24"/>
              <w:highlight w:val="none"/>
              <w:lang w:val="en-US" w:eastAsia="zh-CN"/>
            </w:rPr>
            <w:t>的主要</w:t>
          </w:r>
          <w:r>
            <w:rPr>
              <w:rFonts w:hint="default" w:ascii="Times New Roman" w:hAnsi="Times New Roman" w:eastAsia="宋体" w:cs="Times New Roman"/>
              <w:sz w:val="24"/>
              <w:szCs w:val="24"/>
              <w:highlight w:val="none"/>
            </w:rPr>
            <w:t>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_Toc25304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F61C9DD">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_Toc14559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2、总则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_Toc14559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C6AD5FF">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_Toc532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 xml:space="preserve">1 </w:t>
          </w:r>
          <w:r>
            <w:rPr>
              <w:rFonts w:hint="default" w:ascii="Times New Roman" w:hAnsi="Times New Roman" w:eastAsia="宋体" w:cs="Times New Roman"/>
              <w:sz w:val="24"/>
              <w:szCs w:val="24"/>
              <w:highlight w:val="none"/>
            </w:rPr>
            <w:t>编制依据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B4BC2F3">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_Toc26441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2.1.1 相关法律和法规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B1F6769">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_Toc19738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2.1.2 地方性法律法规、政策性文件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_Toc19738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4DE63D9">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_Toc4999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2.1.3 环境影响评价技术导则与规范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_Toc4999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2EBFA28">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_Toc28692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2.1.4 其他相关技术文件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_Toc28692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CDA63B1">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_Toc17573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 xml:space="preserve">2 </w:t>
          </w:r>
          <w:r>
            <w:rPr>
              <w:rFonts w:hint="default" w:ascii="Times New Roman" w:hAnsi="Times New Roman" w:eastAsia="宋体" w:cs="Times New Roman"/>
              <w:sz w:val="24"/>
              <w:szCs w:val="24"/>
              <w:highlight w:val="none"/>
            </w:rPr>
            <w:t>评价的目的和原则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649FC94">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_Toc23353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2.2.1 评价目的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_Toc23353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A6A93A1">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_Toc8662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2.2.2 评价原则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946C9FF">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_Toc6503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2.2.3评价重点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_Toc6503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173135D">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_Toc20778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2.3</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环境影响因素识别和评价因子筛选</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31B6AD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_Toc3181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2.3.1 环境影响因素识别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557ABF0">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_Toc14639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2.3.2环境影响因子识别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_Toc14639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81D0B56">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_Toc17588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2.3.3 评价因子筛选</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_Toc17588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EF117BF">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_Toc9334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2.4</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72EFDE3">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_Toc5931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2.4.1环境质量标准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1B4CAF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_Toc32331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2.4.2污染物排放标准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_Toc32331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C26AF8C">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_Toc27556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2.5</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评价等级</w:t>
          </w:r>
          <w:r>
            <w:rPr>
              <w:rFonts w:hint="default" w:ascii="Times New Roman" w:hAnsi="Times New Roman" w:eastAsia="宋体" w:cs="Times New Roman"/>
              <w:sz w:val="24"/>
              <w:szCs w:val="24"/>
              <w:highlight w:val="none"/>
              <w:lang w:val="en-US" w:eastAsia="zh-CN"/>
            </w:rPr>
            <w:t>及评价范围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114A998">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_Toc23073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2.5.1 评价等级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_Toc23073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30B42A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_Toc20226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2.5.2 评价范围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_Toc20226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D47AB44">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_Toc17288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 xml:space="preserve">6 </w:t>
          </w:r>
          <w:r>
            <w:rPr>
              <w:rFonts w:hint="default" w:ascii="Times New Roman" w:hAnsi="Times New Roman" w:eastAsia="宋体" w:cs="Times New Roman"/>
              <w:sz w:val="24"/>
              <w:szCs w:val="24"/>
              <w:highlight w:val="none"/>
            </w:rPr>
            <w:t>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6159ADB">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_Toc28646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2.7</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环境功能区划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_Toc28646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A97BD2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_Toc680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.1 地表水环境功能区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E08D28B">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_Toc8643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.2 大气环境功能区划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5537E5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_Toc8580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.3 声环境功能区划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39C4E16">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_Toc8567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工程概况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E0697CC">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_Toc8361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 xml:space="preserve">3 </w:t>
          </w:r>
          <w:r>
            <w:rPr>
              <w:rFonts w:hint="default" w:ascii="Times New Roman" w:hAnsi="Times New Roman" w:eastAsia="宋体" w:cs="Times New Roman"/>
              <w:sz w:val="24"/>
              <w:szCs w:val="24"/>
              <w:highlight w:val="none"/>
            </w:rPr>
            <w:t>建设项目产品方案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AB1A739">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_Toc28644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 xml:space="preserve">1 </w:t>
          </w:r>
          <w:r>
            <w:rPr>
              <w:rFonts w:hint="default" w:ascii="Times New Roman" w:hAnsi="Times New Roman" w:eastAsia="宋体" w:cs="Times New Roman"/>
              <w:sz w:val="24"/>
              <w:szCs w:val="24"/>
              <w:highlight w:val="none"/>
            </w:rPr>
            <w:t>工程基本情况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_Toc28644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3D8A478">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_Toc32235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3.2</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建设项目内容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_Toc32235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F3FF207">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_Toc31264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4</w:t>
          </w:r>
          <w:r>
            <w:rPr>
              <w:rFonts w:hint="default" w:ascii="Times New Roman" w:hAnsi="Times New Roman" w:eastAsia="宋体" w:cs="Times New Roman"/>
              <w:sz w:val="24"/>
              <w:szCs w:val="24"/>
              <w:highlight w:val="none"/>
            </w:rPr>
            <w:t xml:space="preserve"> 建设项目主要生产设备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_Toc31264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C6BB160">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_Toc1622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 xml:space="preserve">5 </w:t>
          </w:r>
          <w:r>
            <w:rPr>
              <w:rFonts w:hint="default" w:ascii="Times New Roman" w:hAnsi="Times New Roman" w:eastAsia="宋体" w:cs="Times New Roman"/>
              <w:sz w:val="24"/>
              <w:szCs w:val="24"/>
              <w:highlight w:val="none"/>
            </w:rPr>
            <w:t>建设项目原料及能源消耗情况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0CC1ED2">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_Toc17446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3.6</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原辅材料理化性质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_Toc17446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4CB786C">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_Toc29837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 xml:space="preserve">7 </w:t>
          </w:r>
          <w:r>
            <w:rPr>
              <w:rFonts w:hint="default" w:ascii="Times New Roman" w:hAnsi="Times New Roman" w:eastAsia="宋体" w:cs="Times New Roman"/>
              <w:sz w:val="24"/>
              <w:szCs w:val="24"/>
              <w:highlight w:val="none"/>
            </w:rPr>
            <w:t>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_Toc29837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924F5F4">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_Toc12864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 xml:space="preserve">8 </w:t>
          </w:r>
          <w:r>
            <w:rPr>
              <w:rFonts w:hint="default" w:ascii="Times New Roman" w:hAnsi="Times New Roman" w:eastAsia="宋体" w:cs="Times New Roman"/>
              <w:sz w:val="24"/>
              <w:szCs w:val="24"/>
              <w:highlight w:val="none"/>
            </w:rPr>
            <w:t>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356AEC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_Toc10020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给排水系统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_Toc10020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12438B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_Toc11894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供电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_Toc11894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5DB01E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_Toc22196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制冷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F30947A">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_Toc4811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.4储运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_Toc4811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50FC7BB">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_Toc12739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_Toc12739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DA9FDD6">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_Toc17937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4</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_Toc17937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A4EC9C4">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_Toc13492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4.1</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施工期工艺流程及产排污节点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_Toc13492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B6FE316">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_Toc10387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4.2</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运营期工艺流程及产排污节点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A289F9F">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_Toc1619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4.2.</w:t>
          </w:r>
          <w:r>
            <w:rPr>
              <w:rFonts w:hint="default" w:ascii="Times New Roman" w:hAnsi="Times New Roman" w:eastAsia="宋体" w:cs="Times New Roman"/>
              <w:sz w:val="24"/>
              <w:szCs w:val="24"/>
              <w:highlight w:val="none"/>
            </w:rPr>
            <w:t>1生物酶制剂复配工艺流程及产污环节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166D3D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_Toc5868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4.2.2 酶制品助剂生产工艺及产污环节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_Toc5868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CFDFDB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_Toc9667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4.2.4</w:t>
          </w:r>
          <w:r>
            <w:rPr>
              <w:rFonts w:hint="default" w:ascii="Times New Roman" w:hAnsi="Times New Roman" w:eastAsia="宋体" w:cs="Times New Roman"/>
              <w:sz w:val="24"/>
              <w:szCs w:val="24"/>
              <w:highlight w:val="none"/>
            </w:rPr>
            <w:t xml:space="preserve"> 物料平衡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90FE3F4">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_Toc15558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 xml:space="preserve">4.2.5 </w:t>
          </w:r>
          <w:r>
            <w:rPr>
              <w:rFonts w:hint="default" w:ascii="Times New Roman" w:hAnsi="Times New Roman" w:eastAsia="宋体" w:cs="Times New Roman"/>
              <w:sz w:val="24"/>
              <w:szCs w:val="24"/>
              <w:highlight w:val="none"/>
            </w:rPr>
            <w:t>产污环节汇总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0BAFD18">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_Toc23765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4.3</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污染源强分析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_Toc23765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57425B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_Toc32339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 xml:space="preserve">4.3.1 </w:t>
          </w:r>
          <w:r>
            <w:rPr>
              <w:rFonts w:hint="default" w:ascii="Times New Roman" w:hAnsi="Times New Roman" w:eastAsia="宋体" w:cs="Times New Roman"/>
              <w:sz w:val="24"/>
              <w:szCs w:val="24"/>
              <w:highlight w:val="none"/>
            </w:rPr>
            <w:t>施工期污染源分析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BB53354">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_Toc16907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 xml:space="preserve">4.3.2 </w:t>
          </w:r>
          <w:r>
            <w:rPr>
              <w:rFonts w:hint="default" w:ascii="Times New Roman" w:hAnsi="Times New Roman" w:eastAsia="宋体" w:cs="Times New Roman"/>
              <w:sz w:val="24"/>
              <w:szCs w:val="24"/>
              <w:highlight w:val="none"/>
            </w:rPr>
            <w:t>营运期污染源分析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_Toc16907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38FB824">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_Toc14008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环境现状调查与评价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_Toc14008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06FC1F2">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_Toc12255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.1自然环境现状调查与评价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_Toc12255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9F5B362">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_Toc15056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 xml:space="preserve">1 </w:t>
          </w:r>
          <w:r>
            <w:rPr>
              <w:rFonts w:hint="default" w:ascii="Times New Roman" w:hAnsi="Times New Roman" w:eastAsia="宋体" w:cs="Times New Roman"/>
              <w:sz w:val="24"/>
              <w:szCs w:val="24"/>
              <w:highlight w:val="none"/>
            </w:rPr>
            <w:t>地理位置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_Toc15056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87C583F">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_Toc766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5.1.2 地形地质地貌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1039878">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_Toc19171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5.1.3 气象气候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3C6549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_Toc16276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5.1.4 水文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_Toc16276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28FD3F3">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_Toc13134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.1.5</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土壤、 自然资源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7C12F6F">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_Toc32234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 xml:space="preserve">6 </w:t>
          </w:r>
          <w:r>
            <w:rPr>
              <w:rFonts w:hint="default" w:ascii="Times New Roman" w:hAnsi="Times New Roman" w:eastAsia="宋体" w:cs="Times New Roman"/>
              <w:sz w:val="24"/>
              <w:szCs w:val="24"/>
              <w:highlight w:val="none"/>
            </w:rPr>
            <w:t>岳阳高新技术产业园区概况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_Toc32234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8A8600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_Toc6957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5.1.7岳阳高新技术产业园区污水处理厂基本情况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_Toc6957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F85A93E">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_Toc16596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.2环境质量现状调查与评价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_Toc16596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701A4C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_Toc14718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.2.1环境空气质量现状监测与评价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_Toc14718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478CD6E">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_Toc11469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5.2.2 地表水环境质量现状监测和评价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_Toc11469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1259E99">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_Toc11369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5.2.3 地下水质量现状监测和评价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_Toc11369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84F7FC7">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_Toc3248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5.2.4 声环境质量现状调查和评价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B02B1C9">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_Toc19322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5.2.5 土壤环境质量现状调查和评价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7A7E3C1">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_Toc14698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5.2.6生态环境现状调查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_Toc14698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AF495CA">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_Toc21791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D72A863">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_Toc25633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 xml:space="preserve">6.1 </w:t>
          </w:r>
          <w:r>
            <w:rPr>
              <w:rFonts w:hint="default" w:ascii="Times New Roman" w:hAnsi="Times New Roman" w:eastAsia="宋体" w:cs="Times New Roman"/>
              <w:sz w:val="24"/>
              <w:szCs w:val="24"/>
              <w:highlight w:val="none"/>
            </w:rPr>
            <w:t>施工期环境影响预测及分析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_Toc25633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480BD0B">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_Toc6313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5.1.1施工期大气环境影响评价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_Toc6313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7B2C7A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_Toc32412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5.1.2施工期水环境影响评价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E35BF0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_Toc2448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5.1.3施工期声环境影响评价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91189F3">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_Toc7161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5.1.4施工期固体废物环境影响评价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_Toc7161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456166A">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_Toc19938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.1.5.   施工期生态影响分析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_Toc19938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B667264">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_Toc13291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6.</w:t>
          </w:r>
          <w:r>
            <w:rPr>
              <w:rFonts w:hint="default" w:ascii="Times New Roman" w:hAnsi="Times New Roman" w:eastAsia="宋体" w:cs="Times New Roman"/>
              <w:sz w:val="24"/>
              <w:szCs w:val="24"/>
              <w:highlight w:val="none"/>
              <w:lang w:val="en-US" w:eastAsia="zh-CN"/>
            </w:rPr>
            <w:t>2营运期</w:t>
          </w:r>
          <w:r>
            <w:rPr>
              <w:rFonts w:hint="default" w:ascii="Times New Roman" w:hAnsi="Times New Roman" w:eastAsia="宋体" w:cs="Times New Roman"/>
              <w:sz w:val="24"/>
              <w:szCs w:val="24"/>
              <w:highlight w:val="none"/>
            </w:rPr>
            <w:t>大气环境影响分析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_Toc13291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CD9D311">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_Toc10485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.2.1气象分析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_Toc10485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1A3CFE1">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_Toc17689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2.2大气影响预测分析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75C5B9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_Toc27860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6.2</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大气环境影响评价结论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_Toc27860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2870448">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_Toc30557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6.</w:t>
          </w:r>
          <w:r>
            <w:rPr>
              <w:rFonts w:hint="default" w:ascii="Times New Roman" w:hAnsi="Times New Roman" w:eastAsia="宋体" w:cs="Times New Roman"/>
              <w:sz w:val="24"/>
              <w:szCs w:val="24"/>
              <w:highlight w:val="none"/>
              <w:lang w:val="en-US" w:eastAsia="zh-CN"/>
            </w:rPr>
            <w:t>3营运期</w:t>
          </w:r>
          <w:r>
            <w:rPr>
              <w:rFonts w:hint="default" w:ascii="Times New Roman" w:hAnsi="Times New Roman" w:eastAsia="宋体" w:cs="Times New Roman"/>
              <w:sz w:val="24"/>
              <w:szCs w:val="24"/>
              <w:highlight w:val="none"/>
            </w:rPr>
            <w:t>地表水环境影响分析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56D4405">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_Toc12296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 xml:space="preserve">4 </w:t>
          </w:r>
          <w:r>
            <w:rPr>
              <w:rFonts w:hint="default" w:ascii="Times New Roman" w:hAnsi="Times New Roman" w:eastAsia="宋体" w:cs="Times New Roman"/>
              <w:sz w:val="24"/>
              <w:szCs w:val="24"/>
              <w:highlight w:val="none"/>
            </w:rPr>
            <w:t>营运期地下水环境影响分析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_Toc12296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F88C256">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_Toc9445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6.4.1</w:t>
          </w:r>
          <w:r>
            <w:rPr>
              <w:rFonts w:hint="default" w:ascii="Times New Roman" w:hAnsi="Times New Roman" w:eastAsia="宋体" w:cs="Times New Roman"/>
              <w:sz w:val="24"/>
              <w:szCs w:val="24"/>
              <w:highlight w:val="none"/>
            </w:rPr>
            <w:t>评价区水文地质概况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322995A">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_Toc12965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6.4.2 项目污染物对地下水影响分析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DBD81A9">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_Toc10638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6.4.3</w:t>
          </w:r>
          <w:r>
            <w:rPr>
              <w:rFonts w:hint="default" w:ascii="Times New Roman" w:hAnsi="Times New Roman" w:eastAsia="宋体" w:cs="Times New Roman"/>
              <w:sz w:val="24"/>
              <w:szCs w:val="24"/>
              <w:highlight w:val="none"/>
            </w:rPr>
            <w:t xml:space="preserve"> 地下水污染防治措施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6292E35">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_Toc29893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 xml:space="preserve">5 </w:t>
          </w:r>
          <w:r>
            <w:rPr>
              <w:rFonts w:hint="default" w:ascii="Times New Roman" w:hAnsi="Times New Roman" w:eastAsia="宋体" w:cs="Times New Roman"/>
              <w:sz w:val="24"/>
              <w:szCs w:val="24"/>
              <w:highlight w:val="none"/>
            </w:rPr>
            <w:t>营运期噪声环境影响分析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_Toc29893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0235F4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_Toc4597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6.5.1 噪声源强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_Toc4597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50DB1E9">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_Toc20953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6.</w:t>
          </w:r>
          <w:r>
            <w:rPr>
              <w:rFonts w:hint="default"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声环境影响</w:t>
          </w:r>
          <w:r>
            <w:rPr>
              <w:rFonts w:hint="default" w:ascii="Times New Roman" w:hAnsi="Times New Roman" w:eastAsia="宋体" w:cs="Times New Roman"/>
              <w:sz w:val="24"/>
              <w:szCs w:val="24"/>
              <w:highlight w:val="none"/>
              <w:lang w:val="en-US" w:eastAsia="zh-CN"/>
            </w:rPr>
            <w:t>预测</w:t>
          </w:r>
          <w:r>
            <w:rPr>
              <w:rFonts w:hint="default" w:ascii="Times New Roman" w:hAnsi="Times New Roman" w:eastAsia="宋体" w:cs="Times New Roman"/>
              <w:sz w:val="24"/>
              <w:szCs w:val="24"/>
              <w:highlight w:val="none"/>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_Toc20953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EE01B0C">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_Toc20483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 xml:space="preserve">6 </w:t>
          </w:r>
          <w:r>
            <w:rPr>
              <w:rFonts w:hint="default" w:ascii="Times New Roman" w:hAnsi="Times New Roman" w:eastAsia="宋体" w:cs="Times New Roman"/>
              <w:sz w:val="24"/>
              <w:szCs w:val="24"/>
              <w:highlight w:val="none"/>
            </w:rPr>
            <w:t>营运期固体废弃物影响分析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6400AC0">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_Toc20338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bCs/>
              <w:spacing w:val="-2"/>
              <w:sz w:val="24"/>
              <w:szCs w:val="24"/>
              <w:highlight w:val="none"/>
            </w:rPr>
            <w:t>6.6.1 危险废物贮存场所（设施）环境影响分析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E3E9D50">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_Toc2317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bCs/>
              <w:spacing w:val="-2"/>
              <w:sz w:val="24"/>
              <w:szCs w:val="24"/>
              <w:highlight w:val="none"/>
            </w:rPr>
            <w:t>6.6.2 危险废物收集、运输过程环境影响分析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8CAE263">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_Toc886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6.6.3 固体废物环境影响评价结论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11E7BF1">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_Toc29116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 xml:space="preserve">7 </w:t>
          </w:r>
          <w:r>
            <w:rPr>
              <w:rFonts w:hint="default" w:ascii="Times New Roman" w:hAnsi="Times New Roman" w:eastAsia="宋体" w:cs="Times New Roman"/>
              <w:sz w:val="24"/>
              <w:szCs w:val="24"/>
              <w:highlight w:val="none"/>
            </w:rPr>
            <w:t>营运期土壤环境影响分析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_Toc29116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D0552F4">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_Toc21725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6.7.1 项目土壤环境影响类型与影响途径识别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3C3E337">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_Toc3664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6.7.2 土壤环境影响预测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_Toc3664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41486E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_Toc13157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6.7.3 土壤环境跟踪监测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_Toc13157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4D1054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_Toc8712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6.7.4</w:t>
          </w:r>
          <w:r>
            <w:rPr>
              <w:rFonts w:hint="default" w:ascii="Times New Roman" w:hAnsi="Times New Roman" w:eastAsia="宋体" w:cs="Times New Roman"/>
              <w:sz w:val="24"/>
              <w:szCs w:val="24"/>
              <w:highlight w:val="none"/>
            </w:rPr>
            <w:t xml:space="preserve"> 小结</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18CEFD7">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_Toc1509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6.8</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运营期生态环境影响分析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F101686">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_Toc11952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9 环境</w:t>
          </w:r>
          <w:r>
            <w:rPr>
              <w:rFonts w:hint="default" w:ascii="Times New Roman" w:hAnsi="Times New Roman" w:eastAsia="宋体" w:cs="Times New Roman"/>
              <w:sz w:val="24"/>
              <w:szCs w:val="24"/>
              <w:highlight w:val="none"/>
            </w:rPr>
            <w:t>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CA1D9E0">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_Toc19484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.1项目风险源调查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_Toc19484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4D5542B">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_Toc11678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6.9.2风险识别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_Toc11678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306B77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_Toc6203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6.9.3环境风险分析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_Toc6203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3ECBFF4">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_Toc13737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6.9.4</w:t>
          </w:r>
          <w:r>
            <w:rPr>
              <w:rFonts w:hint="default" w:ascii="Times New Roman" w:hAnsi="Times New Roman" w:eastAsia="宋体" w:cs="Times New Roman"/>
              <w:sz w:val="24"/>
              <w:szCs w:val="24"/>
              <w:highlight w:val="none"/>
            </w:rPr>
            <w:t>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_Toc13737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0626179">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_Toc25978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6.9.5</w:t>
          </w:r>
          <w:r>
            <w:rPr>
              <w:rFonts w:hint="default" w:ascii="Times New Roman" w:hAnsi="Times New Roman" w:eastAsia="宋体" w:cs="Times New Roman"/>
              <w:sz w:val="24"/>
              <w:szCs w:val="24"/>
              <w:highlight w:val="none"/>
              <w:lang w:eastAsia="zh-CN"/>
            </w:rPr>
            <w:t>风险分析结论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_Toc25978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C7006D5">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_Toc7656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7、环境保护措施及其可行性论证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CFACDFF">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_Toc15466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施工期环境保护措施可行性分析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_Toc15466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10166BC">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_Toc27439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.2</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营运期大气环境污染防治措施及可行性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_Toc27439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287ED32">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_Toc23282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.3</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营运期地表水环境污染防治措施及可行性分析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_Toc23282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60B8B8C">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_Toc1698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.4</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营运期</w:t>
          </w:r>
          <w:r>
            <w:rPr>
              <w:rFonts w:hint="default" w:ascii="Times New Roman" w:hAnsi="Times New Roman" w:eastAsia="宋体" w:cs="Times New Roman"/>
              <w:sz w:val="24"/>
              <w:szCs w:val="24"/>
              <w:highlight w:val="none"/>
              <w:lang w:val="en-US" w:eastAsia="zh-CN"/>
            </w:rPr>
            <w:t>土壤和</w:t>
          </w:r>
          <w:r>
            <w:rPr>
              <w:rFonts w:hint="default" w:ascii="Times New Roman" w:hAnsi="Times New Roman" w:eastAsia="宋体" w:cs="Times New Roman"/>
              <w:sz w:val="24"/>
              <w:szCs w:val="24"/>
              <w:highlight w:val="none"/>
            </w:rPr>
            <w:t>地下水污染防治措施及可行性分析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25A0B72">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_Toc1301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.5</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营运期声环境污染防治措施及可行性分析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698B61B">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_Toc28133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.6</w:t>
          </w:r>
          <w:r>
            <w:rPr>
              <w:rFonts w:hint="default" w:ascii="Times New Roman" w:hAnsi="Times New Roman" w:eastAsia="宋体" w:cs="Times New Roman"/>
              <w:sz w:val="24"/>
              <w:szCs w:val="24"/>
              <w:highlight w:val="none"/>
              <w:lang w:val="en-US" w:eastAsia="zh-CN"/>
            </w:rPr>
            <w:t xml:space="preserve"> </w:t>
          </w:r>
          <w:r>
            <w:rPr>
              <w:rFonts w:hint="default" w:ascii="Times New Roman" w:hAnsi="Times New Roman" w:eastAsia="宋体" w:cs="Times New Roman"/>
              <w:sz w:val="24"/>
              <w:szCs w:val="24"/>
              <w:highlight w:val="none"/>
            </w:rPr>
            <w:t>营运期固体废物污染防治措施及可行性分析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_Toc28133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7B52CEF">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_Toc3308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6</w:t>
          </w:r>
          <w:r>
            <w:rPr>
              <w:rFonts w:hint="default" w:ascii="Times New Roman" w:hAnsi="Times New Roman" w:eastAsia="宋体" w:cs="Times New Roman"/>
              <w:sz w:val="24"/>
              <w:szCs w:val="24"/>
              <w:highlight w:val="none"/>
            </w:rPr>
            <w:t>.1 固体废物处理处置措施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_Toc3308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1CE04A7">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_Toc20900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7.6.2</w:t>
          </w:r>
          <w:r>
            <w:rPr>
              <w:rFonts w:hint="default" w:ascii="Times New Roman" w:hAnsi="Times New Roman" w:eastAsia="宋体" w:cs="Times New Roman"/>
              <w:sz w:val="24"/>
              <w:szCs w:val="24"/>
              <w:highlight w:val="none"/>
            </w:rPr>
            <w:t xml:space="preserve"> 固体废物污染防治措施可行性分析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_Toc20900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11F06BE">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_Toc21376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8、环境影响经济损益分析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_Toc21376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E0C9D21">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_Toc32143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8.1经济效益分析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_Toc32143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32DCC253">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_Toc20840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8.2社会效益分析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_Toc20840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C86F227">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_Toc31996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8.3环境损益分析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48DDCBF">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_Toc27987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8.3.1主要环境损失</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_Toc27987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0747A1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_Toc18890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8.3.2环保投资估算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_Toc18890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2718336">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_Toc22501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8.4综合评价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DAE6006">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_Toc32576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9、环境管理及环境监测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0DEDE29">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_Toc8090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9.1环境管理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_Toc8090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F1DD637">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_Toc6395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9.1.1环境管理机构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_Toc6395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2B37352">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_Toc1153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9.1.2工作计划和方案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914F0D5">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_Toc17955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9.1.3 污染物排放清单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_Toc17955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88DA1EA">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_Toc4879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9.1.4 主要污染物总量控制指标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_Toc4879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8728820">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_Toc23429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9.2 环境监测计划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10F84E0">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_Toc1633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9.3 排污许可、环保设施竣工内容及要求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538A781">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_Toc837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9.3.1 排污许可</w:t>
          </w:r>
          <w:r>
            <w:rPr>
              <w:rFonts w:hint="default" w:ascii="Times New Roman" w:hAnsi="Times New Roman" w:eastAsia="宋体" w:cs="Times New Roman"/>
              <w:sz w:val="24"/>
              <w:szCs w:val="24"/>
              <w:highlight w:val="none"/>
              <w:lang w:val="en-US" w:eastAsia="zh-CN"/>
            </w:rPr>
            <w:t>证办理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CF97608">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_Toc13724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9.3.2排污口规范化设置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_Toc13724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A71BEFB">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_Toc32575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bCs/>
              <w:spacing w:val="-2"/>
              <w:sz w:val="24"/>
              <w:szCs w:val="24"/>
              <w:highlight w:val="none"/>
            </w:rPr>
            <w:t>9.3.3 环保竣工验收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0B83D77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_Toc11603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9.3.4 信息公开制度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_Toc11603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EB481DD">
          <w:pPr>
            <w:pStyle w:val="18"/>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_Toc15184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 结论和建议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26A29D21">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_Toc23836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bCs/>
              <w:spacing w:val="-2"/>
              <w:sz w:val="24"/>
              <w:szCs w:val="24"/>
              <w:highlight w:val="none"/>
            </w:rPr>
            <w:t>11.1  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6CD995D1">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_Toc5925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11.1.1. 建设项目概况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C572C38">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_Toc17074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11.1.</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环境质量现状评价结论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_Toc17074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726D9049">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_Toc19264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11.1.</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环境影响评价结论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_Toc19264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5893823">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color w:val="auto"/>
              <w:sz w:val="24"/>
              <w:szCs w:val="24"/>
              <w:highlight w:val="none"/>
              <w:lang w:val="en-US" w:eastAsia="zh-CN"/>
            </w:rPr>
            <w:sectPr>
              <w:footerReference r:id="rId6" w:type="default"/>
              <w:pgSz w:w="11905" w:h="16838"/>
              <w:pgMar w:top="1440" w:right="1803" w:bottom="1440" w:left="1803" w:header="0" w:footer="1542" w:gutter="0"/>
              <w:pgBorders>
                <w:top w:val="none" w:sz="0" w:space="0"/>
                <w:left w:val="none" w:sz="0" w:space="0"/>
                <w:bottom w:val="none" w:sz="0" w:space="0"/>
                <w:right w:val="none" w:sz="0" w:space="0"/>
              </w:pgBorders>
              <w:pgNumType w:fmt="decimal" w:start="1"/>
              <w:cols w:space="0" w:num="1"/>
              <w:rtlGutter w:val="0"/>
              <w:docGrid w:linePitch="0" w:charSpace="0"/>
            </w:sectPr>
          </w:pPr>
        </w:p>
        <w:p w14:paraId="6FC27E17">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_Toc1890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11.1.</w:t>
          </w:r>
          <w:r>
            <w:rPr>
              <w:rFonts w:hint="default" w:ascii="Times New Roman" w:hAnsi="Times New Roman" w:eastAsia="宋体" w:cs="Times New Roman"/>
              <w:sz w:val="24"/>
              <w:szCs w:val="24"/>
              <w:highlight w:val="none"/>
              <w:lang w:val="en-US" w:eastAsia="zh-CN"/>
            </w:rPr>
            <w:t>4污染防治措施结论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531CE11">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_Toc11085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11.1.</w:t>
          </w:r>
          <w:r>
            <w:rPr>
              <w:rFonts w:hint="default" w:ascii="Times New Roman" w:hAnsi="Times New Roman" w:eastAsia="宋体" w:cs="Times New Roman"/>
              <w:sz w:val="24"/>
              <w:szCs w:val="24"/>
              <w:highlight w:val="none"/>
              <w:lang w:val="en-US" w:eastAsia="zh-CN"/>
            </w:rPr>
            <w:t>5环境风险评价结论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_Toc11085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28AB4C7">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_Toc27019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11.1.6总量控制结论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BEEB5E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_Toc22530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11.1.7环境经济损益分析结论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1EA56BBD">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_Toc23420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lang w:val="en-US" w:eastAsia="zh-CN"/>
            </w:rPr>
            <w:t>11.1.8环境管理与监测计划结论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ACF791C">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_Toc17693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11.1.</w:t>
          </w:r>
          <w:r>
            <w:rPr>
              <w:rFonts w:hint="default" w:ascii="Times New Roman" w:hAnsi="Times New Roman" w:eastAsia="宋体" w:cs="Times New Roman"/>
              <w:sz w:val="24"/>
              <w:szCs w:val="24"/>
              <w:highlight w:val="none"/>
              <w:lang w:val="en-US" w:eastAsia="zh-CN"/>
            </w:rPr>
            <w:t>9</w:t>
          </w:r>
          <w:r>
            <w:rPr>
              <w:rFonts w:hint="default" w:ascii="Times New Roman" w:hAnsi="Times New Roman" w:eastAsia="宋体" w:cs="Times New Roman"/>
              <w:sz w:val="24"/>
              <w:szCs w:val="24"/>
              <w:highlight w:val="none"/>
            </w:rPr>
            <w:t>公众参与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FA32FCB">
          <w:pPr>
            <w:pStyle w:val="15"/>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_Toc18941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11.1.</w:t>
          </w:r>
          <w:r>
            <w:rPr>
              <w:rFonts w:hint="default"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综合评价结论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_Toc18941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4534DFCC">
          <w:pPr>
            <w:pStyle w:val="20"/>
            <w:keepNext w:val="0"/>
            <w:keepLines w:val="0"/>
            <w:pageBreakBefore w:val="0"/>
            <w:widowControl w:val="0"/>
            <w:tabs>
              <w:tab w:val="right" w:leader="dot" w:pos="8299"/>
            </w:tabs>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sz w:val="24"/>
              <w:szCs w:val="24"/>
              <w:highlight w:val="none"/>
              <w:lang w:val="en-US" w:eastAsia="zh-CN"/>
            </w:rPr>
            <w:instrText xml:space="preserve"> HYPERLINK \l _Toc23617 </w:instrText>
          </w:r>
          <w:r>
            <w:rPr>
              <w:rFonts w:hint="default" w:ascii="Times New Roman" w:hAnsi="Times New Roman" w:eastAsia="宋体" w:cs="Times New Roman"/>
              <w:bCs/>
              <w:sz w:val="24"/>
              <w:szCs w:val="24"/>
              <w:highlight w:val="none"/>
              <w:lang w:val="en-US" w:eastAsia="zh-CN"/>
            </w:rPr>
            <w:fldChar w:fldCharType="separate"/>
          </w:r>
          <w:r>
            <w:rPr>
              <w:rFonts w:hint="default" w:ascii="Times New Roman" w:hAnsi="Times New Roman" w:eastAsia="宋体" w:cs="Times New Roman"/>
              <w:sz w:val="24"/>
              <w:szCs w:val="24"/>
              <w:highlight w:val="none"/>
            </w:rPr>
            <w:t>11.2建议及要求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color w:val="auto"/>
              <w:sz w:val="24"/>
              <w:szCs w:val="24"/>
              <w:highlight w:val="none"/>
              <w:lang w:val="en-US" w:eastAsia="zh-CN"/>
            </w:rPr>
            <w:fldChar w:fldCharType="end"/>
          </w:r>
        </w:p>
        <w:p w14:paraId="5BA284AB">
          <w:pPr>
            <w:ind w:firstLine="2160" w:firstLineChars="900"/>
            <w:rPr>
              <w:rFonts w:hint="eastAsia" w:eastAsia="仿宋"/>
              <w:lang w:eastAsia="zh-CN"/>
            </w:rPr>
          </w:pPr>
          <w:r>
            <w:rPr>
              <w:rFonts w:hint="default" w:ascii="Times New Roman" w:hAnsi="Times New Roman" w:eastAsia="宋体" w:cs="Times New Roman"/>
              <w:bCs/>
              <w:color w:val="auto"/>
              <w:sz w:val="24"/>
              <w:szCs w:val="24"/>
              <w:highlight w:val="none"/>
              <w:lang w:val="en-US" w:eastAsia="zh-CN"/>
            </w:rPr>
            <w:fldChar w:fldCharType="end"/>
          </w:r>
          <w:bookmarkStart w:id="0" w:name="_Toc488833050"/>
          <w:bookmarkStart w:id="1" w:name="_Toc4210"/>
        </w:p>
      </w:sdtContent>
    </w:sdt>
    <w:p w14:paraId="29B07FFF">
      <w:pPr>
        <w:keepNext w:val="0"/>
        <w:keepLines w:val="0"/>
        <w:pageBreakBefore w:val="0"/>
        <w:widowControl w:val="0"/>
        <w:kinsoku/>
        <w:wordWrap/>
        <w:overflowPunct/>
        <w:topLinePunct w:val="0"/>
        <w:autoSpaceDE/>
        <w:autoSpaceDN/>
        <w:bidi w:val="0"/>
        <w:adjustRightInd/>
        <w:snapToGrid/>
        <w:ind w:left="562" w:leftChars="0" w:hanging="562" w:hangingChars="200"/>
        <w:textAlignment w:val="auto"/>
        <w:outlineLvl w:val="9"/>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附件</w:t>
      </w:r>
    </w:p>
    <w:p w14:paraId="4DBD3CA6">
      <w:pPr>
        <w:keepNext w:val="0"/>
        <w:keepLines w:val="0"/>
        <w:pageBreakBefore w:val="0"/>
        <w:widowControl w:val="0"/>
        <w:kinsoku/>
        <w:wordWrap/>
        <w:overflowPunct/>
        <w:topLinePunct w:val="0"/>
        <w:autoSpaceDE/>
        <w:autoSpaceDN/>
        <w:bidi w:val="0"/>
        <w:adjustRightInd/>
        <w:snapToGrid/>
        <w:ind w:left="476" w:leftChars="170" w:firstLine="0" w:firstLineChars="0"/>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附件1：营业执照</w:t>
      </w:r>
    </w:p>
    <w:p w14:paraId="0C01B8F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附件2：项目委托书</w:t>
      </w:r>
    </w:p>
    <w:p w14:paraId="0FF5051A">
      <w:pPr>
        <w:keepNext w:val="0"/>
        <w:keepLines w:val="0"/>
        <w:pageBreakBefore w:val="0"/>
        <w:widowControl w:val="0"/>
        <w:tabs>
          <w:tab w:val="left" w:pos="3056"/>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附件3：项目入园备案表</w:t>
      </w:r>
    </w:p>
    <w:p w14:paraId="47F48EE0">
      <w:pPr>
        <w:keepNext w:val="0"/>
        <w:keepLines w:val="0"/>
        <w:pageBreakBefore w:val="0"/>
        <w:widowControl w:val="0"/>
        <w:tabs>
          <w:tab w:val="left" w:pos="3056"/>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附件4：企业投资项目备案证明</w:t>
      </w:r>
    </w:p>
    <w:p w14:paraId="489EE1B4">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附件5：《2022年度第四季度岳阳高新技术产业园区环境质量监测》</w:t>
      </w:r>
    </w:p>
    <w:p w14:paraId="313AAF92">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附件6：关于《岳阳高新技术产业园区调区扩区规划(2020-2025)环境影响报告书》审查意见的函</w:t>
      </w:r>
    </w:p>
    <w:p w14:paraId="1E8D4007">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附件7：本项目环境质量现状监测报告</w:t>
      </w:r>
    </w:p>
    <w:p w14:paraId="15958FE6">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附件8：固态纤维素酶安全技术说明书</w:t>
      </w:r>
    </w:p>
    <w:p w14:paraId="48EFCE69">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附件9：液态纤维素酶安全技术说明书</w:t>
      </w:r>
    </w:p>
    <w:p w14:paraId="364E715D">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附件10：山梨醇MSDS</w:t>
      </w:r>
    </w:p>
    <w:p w14:paraId="0528DC73">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附件11：三聚磷酸钠MSDS</w:t>
      </w:r>
    </w:p>
    <w:p w14:paraId="21DA62CF">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附件12：硅油MSDS</w:t>
      </w:r>
    </w:p>
    <w:p w14:paraId="01E6B550">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附件13：元明粉MSDS</w:t>
      </w:r>
    </w:p>
    <w:p w14:paraId="43EB6899">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附件14：平平加化学品安全数据说明书</w:t>
      </w:r>
    </w:p>
    <w:p w14:paraId="3F3587D7">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附件15：聚乙二醇 4000化学品安全数据说明书</w:t>
      </w:r>
    </w:p>
    <w:p w14:paraId="7E59FD96">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附件16：聚酯切片化学品安全技术说明书</w:t>
      </w:r>
    </w:p>
    <w:p w14:paraId="6A36A66E">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附件17：防染粉化学品安全技术说明书</w:t>
      </w:r>
    </w:p>
    <w:p w14:paraId="05E98A28">
      <w:pPr>
        <w:keepNext w:val="0"/>
        <w:keepLines w:val="0"/>
        <w:pageBreakBefore w:val="0"/>
        <w:widowControl w:val="0"/>
        <w:tabs>
          <w:tab w:val="left" w:pos="573"/>
        </w:tabs>
        <w:kinsoku/>
        <w:wordWrap/>
        <w:overflowPunct/>
        <w:topLinePunct w:val="0"/>
        <w:autoSpaceDE/>
        <w:autoSpaceDN/>
        <w:bidi w:val="0"/>
        <w:adjustRightInd/>
        <w:snapToGrid/>
        <w:ind w:left="0" w:leftChars="0" w:firstLine="480" w:firstLineChars="200"/>
        <w:jc w:val="left"/>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附</w:t>
      </w:r>
      <w:r>
        <w:rPr>
          <w:rFonts w:hint="eastAsia" w:eastAsia="宋体" w:cs="Times New Roman"/>
          <w:b w:val="0"/>
          <w:bCs w:val="0"/>
          <w:kern w:val="2"/>
          <w:sz w:val="24"/>
          <w:szCs w:val="24"/>
          <w:lang w:val="en-US" w:eastAsia="zh-CN" w:bidi="ar-SA"/>
        </w:rPr>
        <w:t>件</w:t>
      </w:r>
      <w:r>
        <w:rPr>
          <w:rFonts w:hint="default" w:ascii="Times New Roman" w:hAnsi="Times New Roman" w:eastAsia="宋体" w:cs="Times New Roman"/>
          <w:b w:val="0"/>
          <w:bCs w:val="0"/>
          <w:kern w:val="2"/>
          <w:sz w:val="24"/>
          <w:szCs w:val="24"/>
          <w:lang w:val="en-US" w:eastAsia="zh-CN" w:bidi="ar-SA"/>
        </w:rPr>
        <w:t>18：不动产权使用证</w:t>
      </w:r>
      <w:bookmarkStart w:id="315" w:name="_GoBack"/>
      <w:bookmarkEnd w:id="315"/>
    </w:p>
    <w:p w14:paraId="6A0CCAB8">
      <w:pPr>
        <w:keepNext w:val="0"/>
        <w:keepLines w:val="0"/>
        <w:pageBreakBefore w:val="0"/>
        <w:widowControl w:val="0"/>
        <w:tabs>
          <w:tab w:val="left" w:pos="573"/>
        </w:tabs>
        <w:kinsoku/>
        <w:wordWrap/>
        <w:overflowPunct/>
        <w:topLinePunct w:val="0"/>
        <w:autoSpaceDE/>
        <w:autoSpaceDN/>
        <w:bidi w:val="0"/>
        <w:adjustRightInd/>
        <w:snapToGrid/>
        <w:ind w:left="0" w:leftChars="0" w:firstLine="0" w:firstLineChars="0"/>
        <w:jc w:val="left"/>
        <w:textAlignment w:val="auto"/>
        <w:outlineLvl w:val="9"/>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附图</w:t>
      </w:r>
    </w:p>
    <w:p w14:paraId="01B1BFBD">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b w:val="0"/>
          <w:bCs/>
          <w:kern w:val="2"/>
          <w:sz w:val="24"/>
          <w:szCs w:val="24"/>
          <w:lang w:val="en-US" w:eastAsia="zh-CN" w:bidi="ar-SA"/>
        </w:rPr>
      </w:pPr>
      <w:bookmarkStart w:id="2" w:name="_Toc5412"/>
      <w:r>
        <w:rPr>
          <w:rFonts w:hint="default" w:ascii="Times New Roman" w:hAnsi="Times New Roman" w:eastAsia="宋体" w:cs="Times New Roman"/>
          <w:b w:val="0"/>
          <w:bCs/>
          <w:kern w:val="2"/>
          <w:sz w:val="24"/>
          <w:szCs w:val="24"/>
          <w:lang w:val="en-US" w:eastAsia="zh-CN" w:bidi="ar-SA"/>
        </w:rPr>
        <w:t>附图1：项目地理位置图</w:t>
      </w:r>
      <w:bookmarkEnd w:id="2"/>
    </w:p>
    <w:p w14:paraId="4B007723">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b w:val="0"/>
          <w:bCs/>
          <w:kern w:val="2"/>
          <w:sz w:val="24"/>
          <w:szCs w:val="24"/>
          <w:lang w:val="en-US" w:eastAsia="zh-CN" w:bidi="ar-SA"/>
        </w:rPr>
      </w:pPr>
      <w:bookmarkStart w:id="3" w:name="_Toc20341"/>
      <w:r>
        <w:rPr>
          <w:rFonts w:hint="eastAsia" w:ascii="Times New Roman" w:hAnsi="Times New Roman" w:eastAsia="宋体" w:cs="Times New Roman"/>
          <w:b w:val="0"/>
          <w:bCs/>
          <w:kern w:val="2"/>
          <w:sz w:val="24"/>
          <w:szCs w:val="24"/>
          <w:lang w:val="en-US" w:eastAsia="zh-CN" w:bidi="ar-SA"/>
        </w:rPr>
        <w:t>附图2</w:t>
      </w:r>
      <w:r>
        <w:rPr>
          <w:rFonts w:hint="eastAsia" w:eastAsia="宋体" w:cs="Times New Roman"/>
          <w:b w:val="0"/>
          <w:bCs/>
          <w:kern w:val="2"/>
          <w:sz w:val="24"/>
          <w:szCs w:val="24"/>
          <w:lang w:val="en-US" w:eastAsia="zh-CN" w:bidi="ar-SA"/>
        </w:rPr>
        <w:t>-1</w:t>
      </w:r>
      <w:r>
        <w:rPr>
          <w:rFonts w:hint="eastAsia" w:ascii="Times New Roman" w:hAnsi="Times New Roman" w:eastAsia="宋体" w:cs="Times New Roman"/>
          <w:b w:val="0"/>
          <w:bCs/>
          <w:kern w:val="2"/>
          <w:sz w:val="24"/>
          <w:szCs w:val="24"/>
          <w:lang w:val="en-US" w:eastAsia="zh-CN" w:bidi="ar-SA"/>
        </w:rPr>
        <w:t>：</w:t>
      </w:r>
      <w:r>
        <w:rPr>
          <w:rFonts w:hint="eastAsia" w:eastAsia="宋体" w:cs="Times New Roman"/>
          <w:b w:val="0"/>
          <w:bCs/>
          <w:kern w:val="2"/>
          <w:sz w:val="24"/>
          <w:szCs w:val="24"/>
          <w:lang w:val="en-US" w:eastAsia="zh-CN" w:bidi="ar-SA"/>
        </w:rPr>
        <w:t>项目1层</w:t>
      </w:r>
      <w:r>
        <w:rPr>
          <w:rFonts w:hint="eastAsia" w:ascii="Times New Roman" w:hAnsi="Times New Roman" w:eastAsia="宋体" w:cs="Times New Roman"/>
          <w:b w:val="0"/>
          <w:bCs/>
          <w:kern w:val="2"/>
          <w:sz w:val="24"/>
          <w:szCs w:val="24"/>
          <w:lang w:val="en-US" w:eastAsia="zh-CN" w:bidi="ar-SA"/>
        </w:rPr>
        <w:t>平面布置图</w:t>
      </w:r>
      <w:bookmarkEnd w:id="3"/>
    </w:p>
    <w:p w14:paraId="11FC2D0E">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bookmarkStart w:id="4" w:name="_Toc1634"/>
      <w:r>
        <w:rPr>
          <w:rFonts w:hint="eastAsia" w:eastAsia="宋体" w:cs="Times New Roman"/>
          <w:b w:val="0"/>
          <w:bCs/>
          <w:kern w:val="2"/>
          <w:sz w:val="24"/>
          <w:szCs w:val="24"/>
          <w:lang w:val="en-US" w:eastAsia="zh-CN" w:bidi="ar-SA"/>
        </w:rPr>
        <w:t>附图2-2：项目2层平面布置图</w:t>
      </w:r>
      <w:bookmarkEnd w:id="4"/>
    </w:p>
    <w:p w14:paraId="60CE6B51">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b w:val="0"/>
          <w:bCs/>
          <w:kern w:val="2"/>
          <w:sz w:val="24"/>
          <w:szCs w:val="24"/>
          <w:lang w:val="en-US" w:eastAsia="zh-CN" w:bidi="ar-SA"/>
        </w:rPr>
      </w:pPr>
      <w:bookmarkStart w:id="5" w:name="_Toc4267"/>
      <w:r>
        <w:rPr>
          <w:rFonts w:hint="eastAsia" w:ascii="Times New Roman" w:hAnsi="Times New Roman" w:eastAsia="宋体" w:cs="Times New Roman"/>
          <w:b w:val="0"/>
          <w:bCs/>
          <w:kern w:val="2"/>
          <w:sz w:val="24"/>
          <w:szCs w:val="24"/>
          <w:lang w:val="en-US" w:eastAsia="zh-CN" w:bidi="ar-SA"/>
        </w:rPr>
        <w:t>附图3：环境保护目标图</w:t>
      </w:r>
      <w:bookmarkEnd w:id="5"/>
    </w:p>
    <w:p w14:paraId="67028957">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b w:val="0"/>
          <w:bCs/>
          <w:kern w:val="2"/>
          <w:sz w:val="24"/>
          <w:szCs w:val="24"/>
          <w:lang w:val="en-US" w:eastAsia="zh-CN" w:bidi="ar-SA"/>
        </w:rPr>
      </w:pPr>
      <w:bookmarkStart w:id="6" w:name="_Toc660"/>
      <w:r>
        <w:rPr>
          <w:rFonts w:hint="eastAsia" w:ascii="Times New Roman" w:hAnsi="Times New Roman" w:eastAsia="宋体" w:cs="Times New Roman"/>
          <w:b w:val="0"/>
          <w:bCs/>
          <w:kern w:val="2"/>
          <w:sz w:val="24"/>
          <w:szCs w:val="24"/>
          <w:lang w:val="en-US" w:eastAsia="zh-CN" w:bidi="ar-SA"/>
        </w:rPr>
        <w:t>附图</w:t>
      </w:r>
      <w:r>
        <w:rPr>
          <w:rFonts w:hint="eastAsia" w:eastAsia="宋体" w:cs="Times New Roman"/>
          <w:b w:val="0"/>
          <w:bCs/>
          <w:kern w:val="2"/>
          <w:sz w:val="24"/>
          <w:szCs w:val="24"/>
          <w:lang w:val="en-US" w:eastAsia="zh-CN" w:bidi="ar-SA"/>
        </w:rPr>
        <w:t>4</w:t>
      </w:r>
      <w:r>
        <w:rPr>
          <w:rFonts w:hint="eastAsia" w:ascii="Times New Roman" w:hAnsi="Times New Roman" w:eastAsia="宋体" w:cs="Times New Roman"/>
          <w:b w:val="0"/>
          <w:bCs/>
          <w:kern w:val="2"/>
          <w:sz w:val="24"/>
          <w:szCs w:val="24"/>
          <w:lang w:val="en-US" w:eastAsia="zh-CN" w:bidi="ar-SA"/>
        </w:rPr>
        <w:t>：土壤、声环境监测点位图</w:t>
      </w:r>
      <w:bookmarkEnd w:id="6"/>
    </w:p>
    <w:p w14:paraId="383D1A0B">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b w:val="0"/>
          <w:bCs/>
          <w:kern w:val="2"/>
          <w:sz w:val="24"/>
          <w:szCs w:val="24"/>
          <w:lang w:val="en-US" w:eastAsia="zh-CN" w:bidi="ar-SA"/>
        </w:rPr>
      </w:pPr>
      <w:bookmarkStart w:id="7" w:name="_Toc24765"/>
      <w:r>
        <w:rPr>
          <w:rFonts w:hint="eastAsia" w:ascii="Times New Roman" w:hAnsi="Times New Roman" w:eastAsia="宋体" w:cs="Times New Roman"/>
          <w:b w:val="0"/>
          <w:bCs/>
          <w:kern w:val="2"/>
          <w:sz w:val="24"/>
          <w:szCs w:val="24"/>
          <w:lang w:val="en-US" w:eastAsia="zh-CN" w:bidi="ar-SA"/>
        </w:rPr>
        <w:t>附图</w:t>
      </w:r>
      <w:r>
        <w:rPr>
          <w:rFonts w:hint="eastAsia" w:eastAsia="宋体" w:cs="Times New Roman"/>
          <w:b w:val="0"/>
          <w:bCs/>
          <w:kern w:val="2"/>
          <w:sz w:val="24"/>
          <w:szCs w:val="24"/>
          <w:lang w:val="en-US" w:eastAsia="zh-CN" w:bidi="ar-SA"/>
        </w:rPr>
        <w:t>5</w:t>
      </w:r>
      <w:r>
        <w:rPr>
          <w:rFonts w:hint="eastAsia" w:ascii="Times New Roman" w:hAnsi="Times New Roman" w:eastAsia="宋体" w:cs="Times New Roman"/>
          <w:b w:val="0"/>
          <w:bCs/>
          <w:kern w:val="2"/>
          <w:sz w:val="24"/>
          <w:szCs w:val="24"/>
          <w:lang w:val="en-US" w:eastAsia="zh-CN" w:bidi="ar-SA"/>
        </w:rPr>
        <w:t>：</w:t>
      </w:r>
      <w:r>
        <w:rPr>
          <w:rFonts w:hint="eastAsia" w:ascii="Times New Roman" w:hAnsi="Times New Roman" w:eastAsia="宋体" w:cs="Times New Roman"/>
          <w:b w:val="0"/>
          <w:bCs/>
          <w:kern w:val="2"/>
          <w:sz w:val="24"/>
          <w:szCs w:val="24"/>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5755640</wp:posOffset>
                </wp:positionH>
                <wp:positionV relativeFrom="paragraph">
                  <wp:posOffset>961390</wp:posOffset>
                </wp:positionV>
                <wp:extent cx="347345" cy="23749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47345" cy="237490"/>
                        </a:xfrm>
                        <a:prstGeom prst="rect">
                          <a:avLst/>
                        </a:prstGeom>
                        <a:noFill/>
                        <a:ln>
                          <a:noFill/>
                        </a:ln>
                      </wps:spPr>
                      <wps:txbx>
                        <w:txbxContent>
                          <w:p w14:paraId="6EEF49AA">
                            <w:pPr>
                              <w:rPr>
                                <w:rFonts w:hint="default"/>
                                <w:lang w:val="en-US" w:eastAsia="zh-CN"/>
                              </w:rPr>
                            </w:pPr>
                          </w:p>
                        </w:txbxContent>
                      </wps:txbx>
                      <wps:bodyPr upright="1"/>
                    </wps:wsp>
                  </a:graphicData>
                </a:graphic>
              </wp:anchor>
            </w:drawing>
          </mc:Choice>
          <mc:Fallback>
            <w:pict>
              <v:shape id="_x0000_s1026" o:spid="_x0000_s1026" o:spt="202" type="#_x0000_t202" style="position:absolute;left:0pt;margin-left:453.2pt;margin-top:75.7pt;height:18.7pt;width:27.35pt;z-index:251687936;mso-width-relative:page;mso-height-relative:page;" filled="f" stroked="f" coordsize="21600,21600" o:gfxdata="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6340bX&#10;AAAACwEAAA8AAAAAAAAAAQAgAAAAIgAAAGRycy9kb3ducmV2LnhtbFBLAQIUABQAAAAIAIdO4kBF&#10;jeONrwEAAE8DAAAOAAAAAAAAAAEAIAAAACYBAABkcnMvZTJvRG9jLnhtbFBLBQYAAAAABgAGAFkB&#10;AABHBQAAAAA=&#10;">
                <v:fill on="f" focussize="0,0"/>
                <v:stroke on="f"/>
                <v:imagedata o:title=""/>
                <o:lock v:ext="edit" aspectratio="f"/>
                <v:textbox>
                  <w:txbxContent>
                    <w:p w14:paraId="6EEF49AA">
                      <w:pPr>
                        <w:rPr>
                          <w:rFonts w:hint="default"/>
                          <w:lang w:val="en-US" w:eastAsia="zh-CN"/>
                        </w:rPr>
                      </w:pPr>
                    </w:p>
                  </w:txbxContent>
                </v:textbox>
              </v:shape>
            </w:pict>
          </mc:Fallback>
        </mc:AlternateContent>
      </w:r>
      <w:r>
        <w:rPr>
          <w:rFonts w:hint="eastAsia" w:ascii="Times New Roman" w:hAnsi="Times New Roman" w:eastAsia="宋体" w:cs="Times New Roman"/>
          <w:b w:val="0"/>
          <w:bCs/>
          <w:kern w:val="2"/>
          <w:sz w:val="24"/>
          <w:szCs w:val="24"/>
          <w:lang w:val="en-US" w:eastAsia="zh-CN" w:bidi="ar-SA"/>
        </w:rPr>
        <w:t>大气环境监测点位图</w:t>
      </w:r>
      <w:bookmarkEnd w:id="7"/>
    </w:p>
    <w:p w14:paraId="45F38434">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b w:val="0"/>
          <w:bCs/>
          <w:kern w:val="2"/>
          <w:sz w:val="24"/>
          <w:szCs w:val="24"/>
          <w:lang w:val="en-US" w:eastAsia="zh-CN" w:bidi="ar-SA"/>
        </w:rPr>
      </w:pPr>
      <w:bookmarkStart w:id="8" w:name="_Toc14340"/>
      <w:r>
        <w:rPr>
          <w:rFonts w:hint="eastAsia" w:ascii="Times New Roman" w:hAnsi="Times New Roman" w:eastAsia="宋体" w:cs="Times New Roman"/>
          <w:b w:val="0"/>
          <w:bCs/>
          <w:kern w:val="2"/>
          <w:sz w:val="24"/>
          <w:szCs w:val="24"/>
          <w:lang w:val="en-US" w:eastAsia="zh-CN" w:bidi="ar-SA"/>
        </w:rPr>
        <w:t>附图</w:t>
      </w:r>
      <w:r>
        <w:rPr>
          <w:rFonts w:hint="eastAsia" w:eastAsia="宋体" w:cs="Times New Roman"/>
          <w:b w:val="0"/>
          <w:bCs/>
          <w:kern w:val="2"/>
          <w:sz w:val="24"/>
          <w:szCs w:val="24"/>
          <w:lang w:val="en-US" w:eastAsia="zh-CN" w:bidi="ar-SA"/>
        </w:rPr>
        <w:t>6</w:t>
      </w:r>
      <w:r>
        <w:rPr>
          <w:rFonts w:hint="eastAsia" w:ascii="Times New Roman" w:hAnsi="Times New Roman" w:eastAsia="宋体" w:cs="Times New Roman"/>
          <w:b w:val="0"/>
          <w:bCs/>
          <w:kern w:val="2"/>
          <w:sz w:val="24"/>
          <w:szCs w:val="24"/>
          <w:lang w:val="en-US" w:eastAsia="zh-CN" w:bidi="ar-SA"/>
        </w:rPr>
        <w:t>：地表水环境监测图</w:t>
      </w:r>
      <w:bookmarkEnd w:id="8"/>
      <w:bookmarkStart w:id="9" w:name="_Toc29850"/>
    </w:p>
    <w:p w14:paraId="6B48537D">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附图</w:t>
      </w:r>
      <w:r>
        <w:rPr>
          <w:rFonts w:hint="eastAsia" w:eastAsia="宋体" w:cs="Times New Roman"/>
          <w:b w:val="0"/>
          <w:bCs/>
          <w:kern w:val="2"/>
          <w:sz w:val="24"/>
          <w:szCs w:val="24"/>
          <w:lang w:val="en-US" w:eastAsia="zh-CN" w:bidi="ar-SA"/>
        </w:rPr>
        <w:t>7</w:t>
      </w:r>
      <w:r>
        <w:rPr>
          <w:rFonts w:hint="eastAsia" w:ascii="Times New Roman" w:hAnsi="Times New Roman" w:eastAsia="宋体" w:cs="Times New Roman"/>
          <w:b w:val="0"/>
          <w:bCs/>
          <w:kern w:val="2"/>
          <w:sz w:val="24"/>
          <w:szCs w:val="24"/>
          <w:lang w:val="en-US" w:eastAsia="zh-CN" w:bidi="ar-SA"/>
        </w:rPr>
        <w:t>：地下水环境监测图</w:t>
      </w:r>
      <w:bookmarkEnd w:id="9"/>
    </w:p>
    <w:p w14:paraId="28217CCE">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bookmarkStart w:id="10" w:name="_Toc28809"/>
      <w:r>
        <w:rPr>
          <w:rFonts w:hint="eastAsia" w:eastAsia="宋体" w:cs="Times New Roman"/>
          <w:b w:val="0"/>
          <w:bCs/>
          <w:kern w:val="2"/>
          <w:sz w:val="24"/>
          <w:szCs w:val="24"/>
          <w:lang w:val="en-US" w:eastAsia="zh-CN" w:bidi="ar-SA"/>
        </w:rPr>
        <w:drawing>
          <wp:anchor distT="0" distB="0" distL="114300" distR="114300" simplePos="0" relativeHeight="251688960" behindDoc="0" locked="0" layoutInCell="1" allowOverlap="1">
            <wp:simplePos x="0" y="0"/>
            <wp:positionH relativeFrom="column">
              <wp:posOffset>12112625</wp:posOffset>
            </wp:positionH>
            <wp:positionV relativeFrom="paragraph">
              <wp:posOffset>364490</wp:posOffset>
            </wp:positionV>
            <wp:extent cx="466725" cy="800100"/>
            <wp:effectExtent l="0" t="0" r="9525" b="0"/>
            <wp:wrapNone/>
            <wp:docPr id="123" name="图片 2" descr="bb2f67e0b85528ab1305c18fcef0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 descr="bb2f67e0b85528ab1305c18fcef00bf"/>
                    <pic:cNvPicPr>
                      <a:picLocks noChangeAspect="1"/>
                    </pic:cNvPicPr>
                  </pic:nvPicPr>
                  <pic:blipFill>
                    <a:blip r:embed="rId13"/>
                    <a:stretch>
                      <a:fillRect/>
                    </a:stretch>
                  </pic:blipFill>
                  <pic:spPr>
                    <a:xfrm>
                      <a:off x="0" y="0"/>
                      <a:ext cx="466725" cy="800100"/>
                    </a:xfrm>
                    <a:prstGeom prst="rect">
                      <a:avLst/>
                    </a:prstGeom>
                    <a:noFill/>
                    <a:ln>
                      <a:noFill/>
                    </a:ln>
                  </pic:spPr>
                </pic:pic>
              </a:graphicData>
            </a:graphic>
          </wp:anchor>
        </w:drawing>
      </w:r>
      <w:r>
        <w:rPr>
          <w:rFonts w:hint="eastAsia" w:eastAsia="宋体" w:cs="Times New Roman"/>
          <w:b w:val="0"/>
          <w:bCs/>
          <w:kern w:val="2"/>
          <w:sz w:val="24"/>
          <w:szCs w:val="24"/>
          <w:lang w:val="en-US" w:eastAsia="zh-CN" w:bidi="ar-SA"/>
        </w:rPr>
        <w:t>附图8：雨污水管线图</w:t>
      </w:r>
      <w:bookmarkEnd w:id="10"/>
    </w:p>
    <w:p w14:paraId="7CD82616">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bookmarkStart w:id="11" w:name="_Toc22568"/>
      <w:r>
        <w:rPr>
          <w:rFonts w:hint="eastAsia" w:eastAsia="宋体" w:cs="Times New Roman"/>
          <w:b w:val="0"/>
          <w:bCs/>
          <w:kern w:val="2"/>
          <w:sz w:val="24"/>
          <w:szCs w:val="24"/>
          <w:lang w:val="en-US" w:eastAsia="zh-CN" w:bidi="ar-SA"/>
        </w:rPr>
        <w:t>附图9-1：1层分区防渗图</w:t>
      </w:r>
      <w:bookmarkEnd w:id="11"/>
    </w:p>
    <w:p w14:paraId="7A74EBB3">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bookmarkStart w:id="12" w:name="_Toc1094"/>
      <w:r>
        <w:rPr>
          <w:rFonts w:hint="eastAsia" w:eastAsia="宋体" w:cs="Times New Roman"/>
          <w:b w:val="0"/>
          <w:bCs/>
          <w:kern w:val="2"/>
          <w:sz w:val="24"/>
          <w:szCs w:val="24"/>
          <w:lang w:val="en-US" w:eastAsia="zh-CN" w:bidi="ar-SA"/>
        </w:rPr>
        <w:t>附图9-2:  2层防渗图</w:t>
      </w:r>
      <w:bookmarkEnd w:id="12"/>
    </w:p>
    <w:p w14:paraId="55C8DF04">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eastAsia="宋体" w:cs="Times New Roman"/>
          <w:b w:val="0"/>
          <w:bCs/>
          <w:kern w:val="2"/>
          <w:sz w:val="24"/>
          <w:szCs w:val="24"/>
          <w:lang w:val="en-US" w:eastAsia="zh-CN" w:bidi="ar-SA"/>
        </w:rPr>
      </w:pPr>
      <w:bookmarkStart w:id="13" w:name="_Toc4443"/>
      <w:r>
        <w:rPr>
          <w:rFonts w:hint="eastAsia" w:eastAsia="宋体" w:cs="Times New Roman"/>
          <w:b w:val="0"/>
          <w:bCs/>
          <w:kern w:val="2"/>
          <w:sz w:val="24"/>
          <w:szCs w:val="24"/>
          <w:lang w:val="en-US" w:eastAsia="zh-CN" w:bidi="ar-SA"/>
        </w:rPr>
        <w:t>附图10：区域水系图</w:t>
      </w:r>
      <w:bookmarkEnd w:id="13"/>
    </w:p>
    <w:p w14:paraId="49878C6B">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eastAsia="宋体" w:cs="Times New Roman"/>
          <w:b w:val="0"/>
          <w:bCs/>
          <w:kern w:val="2"/>
          <w:sz w:val="24"/>
          <w:szCs w:val="24"/>
          <w:lang w:val="en-US" w:eastAsia="zh-CN" w:bidi="ar-SA"/>
        </w:rPr>
      </w:pPr>
      <w:bookmarkStart w:id="14" w:name="_Toc22184"/>
      <w:r>
        <w:rPr>
          <w:rFonts w:hint="eastAsia" w:eastAsia="宋体" w:cs="Times New Roman"/>
          <w:b w:val="0"/>
          <w:bCs/>
          <w:kern w:val="2"/>
          <w:sz w:val="24"/>
          <w:szCs w:val="24"/>
          <w:lang w:val="en-US" w:eastAsia="zh-CN" w:bidi="ar-SA"/>
        </w:rPr>
        <w:t>附图11：项目所在地土地利用规划图</w:t>
      </w:r>
      <w:bookmarkEnd w:id="14"/>
    </w:p>
    <w:p w14:paraId="09E25505">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bookmarkStart w:id="15" w:name="_Toc17844"/>
      <w:r>
        <w:rPr>
          <w:rFonts w:hint="eastAsia" w:eastAsia="宋体" w:cs="Times New Roman"/>
          <w:b w:val="0"/>
          <w:bCs/>
          <w:kern w:val="2"/>
          <w:sz w:val="24"/>
          <w:szCs w:val="24"/>
          <w:lang w:val="en-US" w:eastAsia="zh-CN" w:bidi="ar-SA"/>
        </w:rPr>
        <w:t>附图12：岳阳高新技术产业园污水规划图</w:t>
      </w:r>
      <w:bookmarkEnd w:id="15"/>
    </w:p>
    <w:p w14:paraId="47967CED">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ascii="Times New Roman" w:hAnsi="Times New Roman" w:eastAsia="宋体" w:cs="Times New Roman"/>
          <w:b w:val="0"/>
          <w:bCs/>
          <w:kern w:val="2"/>
          <w:sz w:val="24"/>
          <w:szCs w:val="24"/>
          <w:lang w:val="en-US" w:eastAsia="zh-CN" w:bidi="ar-SA"/>
        </w:rPr>
      </w:pPr>
      <w:bookmarkStart w:id="16" w:name="_Toc22717"/>
      <w:r>
        <w:rPr>
          <w:rFonts w:hint="eastAsia" w:ascii="Times New Roman" w:hAnsi="Times New Roman" w:eastAsia="宋体" w:cs="Times New Roman"/>
          <w:b w:val="0"/>
          <w:bCs/>
          <w:kern w:val="2"/>
          <w:sz w:val="24"/>
          <w:szCs w:val="24"/>
          <w:lang w:val="en-US" w:eastAsia="zh-CN" w:bidi="ar-SA"/>
        </w:rPr>
        <w:t>附图1</w:t>
      </w:r>
      <w:r>
        <w:rPr>
          <w:rFonts w:hint="eastAsia" w:eastAsia="宋体" w:cs="Times New Roman"/>
          <w:b w:val="0"/>
          <w:bCs/>
          <w:kern w:val="2"/>
          <w:sz w:val="24"/>
          <w:szCs w:val="24"/>
          <w:lang w:val="en-US" w:eastAsia="zh-CN" w:bidi="ar-SA"/>
        </w:rPr>
        <w:t>3</w:t>
      </w:r>
      <w:r>
        <w:rPr>
          <w:rFonts w:hint="eastAsia" w:ascii="Times New Roman" w:hAnsi="Times New Roman" w:eastAsia="宋体" w:cs="Times New Roman"/>
          <w:b w:val="0"/>
          <w:bCs/>
          <w:kern w:val="2"/>
          <w:sz w:val="24"/>
          <w:szCs w:val="24"/>
          <w:lang w:val="en-US" w:eastAsia="zh-CN" w:bidi="ar-SA"/>
        </w:rPr>
        <w:t>：项目现场照片</w:t>
      </w:r>
      <w:bookmarkEnd w:id="16"/>
    </w:p>
    <w:p w14:paraId="1B16863E">
      <w:pPr>
        <w:keepNext w:val="0"/>
        <w:keepLines w:val="0"/>
        <w:pageBreakBefore w:val="0"/>
        <w:widowControl w:val="0"/>
        <w:tabs>
          <w:tab w:val="left" w:pos="573"/>
        </w:tabs>
        <w:kinsoku/>
        <w:wordWrap/>
        <w:overflowPunct/>
        <w:topLinePunct w:val="0"/>
        <w:autoSpaceDE/>
        <w:autoSpaceDN/>
        <w:bidi w:val="0"/>
        <w:adjustRightInd/>
        <w:snapToGrid/>
        <w:ind w:left="0" w:leftChars="0" w:firstLine="0" w:firstLineChars="0"/>
        <w:jc w:val="left"/>
        <w:textAlignment w:val="auto"/>
        <w:outlineLvl w:val="9"/>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附表</w:t>
      </w:r>
    </w:p>
    <w:p w14:paraId="7BB85096">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r>
        <w:rPr>
          <w:rFonts w:hint="eastAsia" w:eastAsia="宋体" w:cs="Times New Roman"/>
          <w:b w:val="0"/>
          <w:bCs/>
          <w:kern w:val="2"/>
          <w:sz w:val="24"/>
          <w:szCs w:val="24"/>
          <w:lang w:val="en-US" w:eastAsia="zh-CN" w:bidi="ar-SA"/>
        </w:rPr>
        <w:t>附表1：建设项目环评审批基础信息表</w:t>
      </w:r>
    </w:p>
    <w:p w14:paraId="7584AE85">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r>
        <w:rPr>
          <w:rFonts w:hint="eastAsia" w:eastAsia="宋体" w:cs="Times New Roman"/>
          <w:b w:val="0"/>
          <w:bCs/>
          <w:kern w:val="2"/>
          <w:sz w:val="24"/>
          <w:szCs w:val="24"/>
          <w:lang w:val="en-US" w:eastAsia="zh-CN" w:bidi="ar-SA"/>
        </w:rPr>
        <w:t xml:space="preserve">附表2：大气环境影响评价自查表 </w:t>
      </w:r>
    </w:p>
    <w:p w14:paraId="2891968C">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r>
        <w:rPr>
          <w:rFonts w:hint="eastAsia" w:eastAsia="宋体" w:cs="Times New Roman"/>
          <w:b w:val="0"/>
          <w:bCs/>
          <w:kern w:val="2"/>
          <w:sz w:val="24"/>
          <w:szCs w:val="24"/>
          <w:lang w:val="en-US" w:eastAsia="zh-CN" w:bidi="ar-SA"/>
        </w:rPr>
        <w:t xml:space="preserve">附表3：地表水环境影响评价自查表 </w:t>
      </w:r>
    </w:p>
    <w:p w14:paraId="2DBB9844">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r>
        <w:rPr>
          <w:rFonts w:hint="eastAsia" w:eastAsia="宋体" w:cs="Times New Roman"/>
          <w:b w:val="0"/>
          <w:bCs/>
          <w:kern w:val="2"/>
          <w:sz w:val="24"/>
          <w:szCs w:val="24"/>
          <w:lang w:val="en-US" w:eastAsia="zh-CN" w:bidi="ar-SA"/>
        </w:rPr>
        <w:t>附表4：土壤环境影响评价自查表</w:t>
      </w:r>
    </w:p>
    <w:p w14:paraId="6756BFE0">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r>
        <w:rPr>
          <w:rFonts w:hint="eastAsia" w:eastAsia="宋体" w:cs="Times New Roman"/>
          <w:b w:val="0"/>
          <w:bCs/>
          <w:kern w:val="2"/>
          <w:sz w:val="24"/>
          <w:szCs w:val="24"/>
          <w:lang w:val="en-US" w:eastAsia="zh-CN" w:bidi="ar-SA"/>
        </w:rPr>
        <w:t>附表5：环境风险评价简单分析表</w:t>
      </w:r>
    </w:p>
    <w:p w14:paraId="76ED2B56">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r>
        <w:rPr>
          <w:rFonts w:hint="eastAsia" w:eastAsia="宋体" w:cs="Times New Roman"/>
          <w:b w:val="0"/>
          <w:bCs/>
          <w:kern w:val="2"/>
          <w:sz w:val="24"/>
          <w:szCs w:val="24"/>
          <w:lang w:val="en-US" w:eastAsia="zh-CN" w:bidi="ar-SA"/>
        </w:rPr>
        <w:t>附表6：声环境影响评价自查表</w:t>
      </w:r>
    </w:p>
    <w:p w14:paraId="4D586BCC">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eastAsia" w:eastAsia="宋体" w:cs="Times New Roman"/>
          <w:b w:val="0"/>
          <w:bCs/>
          <w:kern w:val="2"/>
          <w:sz w:val="24"/>
          <w:szCs w:val="24"/>
          <w:lang w:val="en-US" w:eastAsia="zh-CN" w:bidi="ar-SA"/>
        </w:rPr>
      </w:pPr>
      <w:r>
        <w:rPr>
          <w:rFonts w:hint="eastAsia" w:eastAsia="宋体" w:cs="Times New Roman"/>
          <w:b w:val="0"/>
          <w:bCs/>
          <w:kern w:val="2"/>
          <w:sz w:val="24"/>
          <w:szCs w:val="24"/>
          <w:lang w:val="en-US" w:eastAsia="zh-CN" w:bidi="ar-SA"/>
        </w:rPr>
        <w:t>附表7：生态影响评价自查表</w:t>
      </w:r>
    </w:p>
    <w:p w14:paraId="46A3615B">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eastAsia="宋体" w:cs="Times New Roman"/>
          <w:b/>
          <w:kern w:val="2"/>
          <w:sz w:val="24"/>
          <w:szCs w:val="24"/>
          <w:lang w:val="en-US" w:eastAsia="zh-CN" w:bidi="ar-SA"/>
        </w:rPr>
      </w:pPr>
    </w:p>
    <w:p w14:paraId="53B6F17E">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eastAsia="宋体" w:cs="Times New Roman"/>
          <w:b/>
          <w:kern w:val="2"/>
          <w:sz w:val="24"/>
          <w:szCs w:val="24"/>
          <w:lang w:val="en-US" w:eastAsia="zh-CN" w:bidi="ar-SA"/>
        </w:rPr>
      </w:pPr>
    </w:p>
    <w:p w14:paraId="4D30BA81">
      <w:pPr>
        <w:keepNext w:val="0"/>
        <w:keepLines w:val="0"/>
        <w:pageBreakBefore w:val="0"/>
        <w:widowControl w:val="0"/>
        <w:tabs>
          <w:tab w:val="left" w:pos="573"/>
        </w:tabs>
        <w:kinsoku/>
        <w:wordWrap/>
        <w:overflowPunct/>
        <w:topLinePunct w:val="0"/>
        <w:autoSpaceDE/>
        <w:autoSpaceDN/>
        <w:bidi w:val="0"/>
        <w:adjustRightInd/>
        <w:snapToGrid/>
        <w:ind w:left="0" w:leftChars="0" w:firstLine="0" w:firstLineChars="0"/>
        <w:jc w:val="left"/>
        <w:textAlignment w:val="auto"/>
        <w:outlineLvl w:val="9"/>
        <w:rPr>
          <w:rFonts w:hint="eastAsia" w:ascii="Times New Roman" w:hAnsi="Times New Roman" w:eastAsia="宋体" w:cs="Times New Roman"/>
          <w:b/>
          <w:bCs/>
          <w:kern w:val="2"/>
          <w:sz w:val="28"/>
          <w:szCs w:val="28"/>
          <w:lang w:val="en-US" w:eastAsia="zh-CN" w:bidi="ar-SA"/>
        </w:rPr>
      </w:pPr>
    </w:p>
    <w:p w14:paraId="00E1365D">
      <w:pPr>
        <w:keepNext w:val="0"/>
        <w:keepLines w:val="0"/>
        <w:pageBreakBefore w:val="0"/>
        <w:widowControl w:val="0"/>
        <w:tabs>
          <w:tab w:val="left" w:pos="573"/>
        </w:tabs>
        <w:kinsoku/>
        <w:wordWrap/>
        <w:overflowPunct/>
        <w:topLinePunct w:val="0"/>
        <w:autoSpaceDE/>
        <w:autoSpaceDN/>
        <w:bidi w:val="0"/>
        <w:adjustRightInd/>
        <w:snapToGrid/>
        <w:ind w:left="0" w:leftChars="0" w:firstLine="0" w:firstLineChars="0"/>
        <w:jc w:val="left"/>
        <w:textAlignment w:val="auto"/>
        <w:outlineLvl w:val="9"/>
        <w:rPr>
          <w:rFonts w:hint="default" w:ascii="Times New Roman" w:hAnsi="Times New Roman" w:eastAsia="宋体" w:cs="Times New Roman"/>
          <w:b/>
          <w:bCs/>
          <w:kern w:val="2"/>
          <w:sz w:val="28"/>
          <w:szCs w:val="28"/>
          <w:lang w:val="en-US" w:eastAsia="zh-CN" w:bidi="ar-SA"/>
        </w:rPr>
      </w:pPr>
    </w:p>
    <w:p w14:paraId="5A9569F2">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sz w:val="24"/>
          <w:szCs w:val="24"/>
          <w:lang w:val="en-US" w:eastAsia="zh-CN"/>
        </w:rPr>
      </w:pPr>
    </w:p>
    <w:p w14:paraId="5623C81A">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sz w:val="24"/>
          <w:szCs w:val="24"/>
          <w:lang w:val="en-US" w:eastAsia="zh-CN"/>
        </w:rPr>
      </w:pPr>
    </w:p>
    <w:p w14:paraId="552696E4">
      <w:pPr>
        <w:keepNext w:val="0"/>
        <w:keepLines w:val="0"/>
        <w:pageBreakBefore w:val="0"/>
        <w:widowControl w:val="0"/>
        <w:kinsoku/>
        <w:wordWrap/>
        <w:overflowPunct/>
        <w:topLinePunct w:val="0"/>
        <w:autoSpaceDE/>
        <w:autoSpaceDN/>
        <w:bidi w:val="0"/>
        <w:adjustRightInd/>
        <w:snapToGrid/>
        <w:textAlignment w:val="auto"/>
        <w:outlineLvl w:val="9"/>
        <w:rPr>
          <w:rFonts w:hint="eastAsia" w:ascii="Times New Roman" w:hAnsi="Times New Roman" w:cs="Times New Roman"/>
          <w:sz w:val="24"/>
          <w:szCs w:val="24"/>
          <w:lang w:val="en-US" w:eastAsia="zh-CN"/>
        </w:rPr>
      </w:pPr>
    </w:p>
    <w:p w14:paraId="1DA8A3CF">
      <w:pPr>
        <w:keepNext w:val="0"/>
        <w:keepLines w:val="0"/>
        <w:pageBreakBefore w:val="0"/>
        <w:widowControl w:val="0"/>
        <w:tabs>
          <w:tab w:val="left" w:pos="3056"/>
        </w:tabs>
        <w:kinsoku/>
        <w:wordWrap/>
        <w:overflowPunct/>
        <w:topLinePunct w:val="0"/>
        <w:autoSpaceDE/>
        <w:autoSpaceDN/>
        <w:bidi w:val="0"/>
        <w:adjustRightInd/>
        <w:snapToGrid/>
        <w:ind w:left="0" w:leftChars="0" w:firstLine="0" w:firstLineChars="0"/>
        <w:jc w:val="left"/>
        <w:textAlignment w:val="auto"/>
        <w:rPr>
          <w:rFonts w:hint="eastAsia" w:ascii="宋体" w:hAnsi="宋体" w:eastAsia="宋体" w:cs="宋体"/>
          <w:b/>
          <w:bCs/>
          <w:lang w:val="en-US" w:eastAsia="zh-CN"/>
        </w:rPr>
        <w:sectPr>
          <w:footerReference r:id="rId7" w:type="default"/>
          <w:pgSz w:w="11905" w:h="16838"/>
          <w:pgMar w:top="1440" w:right="1803" w:bottom="1440" w:left="1803" w:header="0" w:footer="1542" w:gutter="0"/>
          <w:pgBorders>
            <w:top w:val="none" w:sz="0" w:space="0"/>
            <w:left w:val="none" w:sz="0" w:space="0"/>
            <w:bottom w:val="none" w:sz="0" w:space="0"/>
            <w:right w:val="none" w:sz="0" w:space="0"/>
          </w:pgBorders>
          <w:pgNumType w:fmt="decimal" w:start="1"/>
          <w:cols w:space="0" w:num="1"/>
          <w:rtlGutter w:val="0"/>
          <w:docGrid w:linePitch="0" w:charSpace="0"/>
        </w:sectPr>
      </w:pPr>
    </w:p>
    <w:p w14:paraId="4FA711EF">
      <w:pPr>
        <w:pStyle w:val="5"/>
        <w:pageBreakBefore w:val="0"/>
        <w:widowControl w:val="0"/>
        <w:kinsoku/>
        <w:wordWrap/>
        <w:overflowPunct/>
        <w:topLinePunct w:val="0"/>
        <w:autoSpaceDE/>
        <w:autoSpaceDN/>
        <w:bidi w:val="0"/>
        <w:adjustRightInd/>
        <w:snapToGrid/>
        <w:spacing w:before="0" w:beforeLines="100" w:after="0" w:afterLines="100" w:afterAutospacing="0"/>
        <w:textAlignment w:val="auto"/>
        <w:rPr>
          <w:highlight w:val="none"/>
        </w:rPr>
      </w:pPr>
      <w:r>
        <w:rPr>
          <w:highlight w:val="none"/>
        </w:rPr>
        <w:t>1</w:t>
      </w:r>
      <w:r>
        <w:rPr>
          <w:rFonts w:hint="default"/>
          <w:highlight w:val="none"/>
        </w:rPr>
        <w:t>、概述</w:t>
      </w:r>
      <w:bookmarkEnd w:id="0"/>
      <w:bookmarkEnd w:id="1"/>
    </w:p>
    <w:p w14:paraId="707F239F">
      <w:pPr>
        <w:pStyle w:val="6"/>
        <w:pageBreakBefore w:val="0"/>
        <w:widowControl w:val="0"/>
        <w:kinsoku/>
        <w:wordWrap/>
        <w:overflowPunct/>
        <w:topLinePunct w:val="0"/>
        <w:autoSpaceDE/>
        <w:autoSpaceDN/>
        <w:bidi w:val="0"/>
        <w:adjustRightInd/>
        <w:snapToGrid/>
        <w:spacing w:before="0" w:beforeLines="100" w:after="0" w:afterLines="100" w:afterAutospacing="0"/>
        <w:textAlignment w:val="auto"/>
        <w:rPr>
          <w:highlight w:val="none"/>
        </w:rPr>
      </w:pPr>
      <w:bookmarkStart w:id="17" w:name="_Toc15455"/>
      <w:bookmarkStart w:id="18" w:name="_Toc488833051"/>
      <w:r>
        <w:rPr>
          <w:highlight w:val="none"/>
        </w:rPr>
        <w:t>1.1任务由来</w:t>
      </w:r>
      <w:bookmarkEnd w:id="17"/>
      <w:bookmarkEnd w:id="18"/>
    </w:p>
    <w:p w14:paraId="2C53559B">
      <w:pPr>
        <w:spacing w:line="360" w:lineRule="auto"/>
        <w:ind w:firstLine="468" w:firstLineChars="200"/>
        <w:rPr>
          <w:rFonts w:hint="default" w:ascii="Times New Roman" w:hAnsi="Times New Roman" w:eastAsia="宋体" w:cs="Times New Roman"/>
          <w:snapToGrid w:val="0"/>
          <w:color w:val="000000"/>
          <w:spacing w:val="-3"/>
          <w:kern w:val="0"/>
          <w:sz w:val="24"/>
          <w:szCs w:val="24"/>
          <w:highlight w:val="none"/>
          <w:lang w:val="en-US" w:eastAsia="en-US" w:bidi="ar-SA"/>
        </w:rPr>
      </w:pPr>
      <w:r>
        <w:rPr>
          <w:rFonts w:hint="default" w:ascii="Times New Roman" w:hAnsi="Times New Roman" w:eastAsia="宋体" w:cs="Times New Roman"/>
          <w:snapToGrid w:val="0"/>
          <w:color w:val="000000"/>
          <w:spacing w:val="-3"/>
          <w:kern w:val="0"/>
          <w:sz w:val="24"/>
          <w:szCs w:val="24"/>
          <w:highlight w:val="none"/>
          <w:lang w:val="en-US" w:eastAsia="en-US" w:bidi="ar-SA"/>
        </w:rPr>
        <w:t>纺织工业作为我国国民经济的重要支柱产业，长期以来在推动经济发展、增加就业等方面发挥着重要作用。随着科技的进步和市场竞争的加剧</w:t>
      </w:r>
      <w:r>
        <w:rPr>
          <w:rFonts w:hint="eastAsia" w:eastAsia="宋体" w:cs="Times New Roman"/>
          <w:snapToGrid w:val="0"/>
          <w:color w:val="000000"/>
          <w:spacing w:val="-3"/>
          <w:kern w:val="0"/>
          <w:sz w:val="24"/>
          <w:szCs w:val="24"/>
          <w:highlight w:val="none"/>
          <w:lang w:val="en-US" w:eastAsia="zh-CN" w:bidi="ar-SA"/>
        </w:rPr>
        <w:t>，</w:t>
      </w:r>
      <w:r>
        <w:rPr>
          <w:rFonts w:hint="default" w:ascii="Times New Roman" w:hAnsi="Times New Roman" w:eastAsia="宋体" w:cs="Times New Roman"/>
          <w:snapToGrid w:val="0"/>
          <w:color w:val="000000"/>
          <w:spacing w:val="-3"/>
          <w:kern w:val="0"/>
          <w:sz w:val="24"/>
          <w:szCs w:val="24"/>
          <w:highlight w:val="none"/>
          <w:lang w:val="en-US" w:eastAsia="en-US" w:bidi="ar-SA"/>
        </w:rPr>
        <w:t>纺织行业对提高产品质量降低生产成本的需求日益迫切。在此背景下，生物纺织酶和助剂作为能够改善纺织品性能、提高生产效率的重要化学品，其应用越来越广泛。</w:t>
      </w:r>
    </w:p>
    <w:p w14:paraId="71540859">
      <w:pPr>
        <w:spacing w:line="360" w:lineRule="auto"/>
        <w:ind w:firstLine="468" w:firstLineChars="200"/>
        <w:rPr>
          <w:rFonts w:hint="default" w:ascii="Times New Roman" w:hAnsi="Times New Roman" w:eastAsia="宋体" w:cs="Times New Roman"/>
          <w:snapToGrid w:val="0"/>
          <w:color w:val="000000"/>
          <w:spacing w:val="-3"/>
          <w:kern w:val="0"/>
          <w:sz w:val="24"/>
          <w:szCs w:val="24"/>
          <w:highlight w:val="none"/>
          <w:lang w:val="en-US" w:eastAsia="en-US" w:bidi="ar-SA"/>
        </w:rPr>
      </w:pPr>
      <w:r>
        <w:rPr>
          <w:rFonts w:hint="default" w:ascii="Times New Roman" w:hAnsi="Times New Roman" w:eastAsia="宋体" w:cs="Times New Roman"/>
          <w:snapToGrid w:val="0"/>
          <w:color w:val="000000"/>
          <w:spacing w:val="-3"/>
          <w:kern w:val="0"/>
          <w:sz w:val="24"/>
          <w:szCs w:val="24"/>
          <w:highlight w:val="none"/>
          <w:lang w:val="en-US" w:eastAsia="en-US" w:bidi="ar-SA"/>
        </w:rPr>
        <w:t>湖南怀若生物科技有限公司与湖南轩宇生物有限公司均是以出口业务为主的贸易企业，主要从事绿色生物纺织酶和助剂技术的研发、委托加工生产、销售为一体的高科技企业。主要销售生物酶制剂和各种助剂产品100多个，并可根据客户不同使用需求做产品个性化代加工定制。产品主要用于纺织、饲料、食品、造纸等行业，可显著提高这些行业的产业水平，减少环境污染和资源浪费。公司拥有各类先进的生产、检测、实验设备和专职研究开发人员，并与华东理工、武汉纺院等专业院校开展了应用研发合作，以持续发展酶制剂的新型应用领域。公司自成立以来，产品已遍布东南亚、非洲等20多个国家和地区，已成为行业内生物酶制剂和其他助剂产品的知名出口企业。</w:t>
      </w:r>
    </w:p>
    <w:p w14:paraId="7570B915">
      <w:pPr>
        <w:ind w:left="0" w:leftChars="0" w:firstLine="468" w:firstLineChars="200"/>
        <w:rPr>
          <w:rFonts w:hint="eastAsia" w:ascii="宋体" w:hAnsi="宋体" w:eastAsia="宋体" w:cs="宋体"/>
          <w:snapToGrid w:val="0"/>
          <w:color w:val="000000"/>
          <w:spacing w:val="-3"/>
          <w:kern w:val="0"/>
          <w:sz w:val="24"/>
          <w:szCs w:val="24"/>
          <w:highlight w:val="none"/>
          <w:lang w:val="en-US" w:eastAsia="zh-CN" w:bidi="ar-SA"/>
        </w:rPr>
      </w:pPr>
      <w:r>
        <w:rPr>
          <w:rFonts w:hint="default" w:ascii="Times New Roman" w:hAnsi="Times New Roman" w:eastAsia="宋体" w:cs="Times New Roman"/>
          <w:snapToGrid w:val="0"/>
          <w:color w:val="000000"/>
          <w:spacing w:val="-3"/>
          <w:kern w:val="0"/>
          <w:sz w:val="24"/>
          <w:szCs w:val="24"/>
          <w:highlight w:val="none"/>
          <w:lang w:val="en-US" w:eastAsia="en-US" w:bidi="ar-SA"/>
        </w:rPr>
        <w:t>两家公司为持续创新和提升中国制造品牌形象，将</w:t>
      </w:r>
      <w:r>
        <w:rPr>
          <w:rFonts w:hint="eastAsia" w:ascii="Times New Roman" w:hAnsi="Times New Roman" w:eastAsia="宋体" w:cs="Times New Roman"/>
          <w:snapToGrid w:val="0"/>
          <w:color w:val="000000"/>
          <w:spacing w:val="-3"/>
          <w:kern w:val="0"/>
          <w:sz w:val="24"/>
          <w:szCs w:val="24"/>
          <w:highlight w:val="none"/>
          <w:lang w:val="en-US" w:eastAsia="zh-CN" w:bidi="ar-SA"/>
        </w:rPr>
        <w:t>在岳阳县</w:t>
      </w:r>
      <w:r>
        <w:rPr>
          <w:rFonts w:hint="default" w:ascii="Times New Roman" w:hAnsi="Times New Roman" w:eastAsia="宋体" w:cs="Times New Roman"/>
          <w:snapToGrid w:val="0"/>
          <w:color w:val="000000"/>
          <w:spacing w:val="-3"/>
          <w:kern w:val="0"/>
          <w:sz w:val="24"/>
          <w:szCs w:val="24"/>
          <w:highlight w:val="none"/>
          <w:lang w:val="en-US" w:eastAsia="en-US" w:bidi="ar-SA"/>
        </w:rPr>
        <w:t>联合投资建设安全、环</w:t>
      </w:r>
      <w:r>
        <w:rPr>
          <w:rFonts w:hint="eastAsia" w:ascii="Times New Roman" w:hAnsi="Times New Roman" w:eastAsia="宋体" w:cs="Times New Roman"/>
          <w:snapToGrid w:val="0"/>
          <w:color w:val="000000"/>
          <w:spacing w:val="-3"/>
          <w:kern w:val="0"/>
          <w:sz w:val="24"/>
          <w:szCs w:val="24"/>
          <w:highlight w:val="none"/>
          <w:lang w:val="en-US" w:eastAsia="en-US" w:bidi="ar-SA"/>
        </w:rPr>
        <w:t>保、智能的高品质工厂</w:t>
      </w:r>
      <w:r>
        <w:rPr>
          <w:rFonts w:hint="eastAsia" w:eastAsia="宋体" w:cs="Times New Roman"/>
          <w:snapToGrid w:val="0"/>
          <w:color w:val="000000"/>
          <w:spacing w:val="-3"/>
          <w:kern w:val="0"/>
          <w:sz w:val="24"/>
          <w:szCs w:val="24"/>
          <w:highlight w:val="none"/>
          <w:lang w:val="en-US" w:eastAsia="zh-CN" w:bidi="ar-SA"/>
        </w:rPr>
        <w:t>——</w:t>
      </w:r>
      <w:r>
        <w:rPr>
          <w:rFonts w:hint="eastAsia" w:ascii="Times New Roman" w:hAnsi="Times New Roman" w:eastAsia="宋体" w:cs="Times New Roman"/>
          <w:snapToGrid w:val="0"/>
          <w:color w:val="000000"/>
          <w:spacing w:val="-3"/>
          <w:kern w:val="0"/>
          <w:sz w:val="24"/>
          <w:szCs w:val="24"/>
          <w:highlight w:val="none"/>
          <w:lang w:val="en-US" w:eastAsia="zh-CN" w:bidi="ar-SA"/>
        </w:rPr>
        <w:t>湖南鸿蒙新材料制造有限公司</w:t>
      </w:r>
      <w:r>
        <w:rPr>
          <w:rFonts w:hint="eastAsia" w:ascii="Times New Roman" w:hAnsi="Times New Roman" w:eastAsia="宋体" w:cs="Times New Roman"/>
          <w:snapToGrid w:val="0"/>
          <w:color w:val="000000"/>
          <w:spacing w:val="-3"/>
          <w:kern w:val="0"/>
          <w:sz w:val="24"/>
          <w:szCs w:val="24"/>
          <w:highlight w:val="none"/>
          <w:lang w:val="en-US" w:eastAsia="en-US" w:bidi="ar-SA"/>
        </w:rPr>
        <w:t>，</w:t>
      </w:r>
      <w:r>
        <w:rPr>
          <w:rFonts w:hint="eastAsia" w:eastAsia="宋体" w:cs="Times New Roman"/>
          <w:snapToGrid w:val="0"/>
          <w:color w:val="000000"/>
          <w:spacing w:val="-3"/>
          <w:kern w:val="0"/>
          <w:sz w:val="24"/>
          <w:szCs w:val="24"/>
          <w:highlight w:val="none"/>
          <w:lang w:val="en-US" w:eastAsia="zh-CN" w:bidi="ar-SA"/>
        </w:rPr>
        <w:t>从事以绿色生物纺织酶和助剂技术</w:t>
      </w:r>
      <w:r>
        <w:rPr>
          <w:rFonts w:hint="eastAsia" w:ascii="Times New Roman" w:hAnsi="Times New Roman" w:eastAsia="宋体" w:cs="Times New Roman"/>
          <w:snapToGrid w:val="0"/>
          <w:color w:val="000000"/>
          <w:spacing w:val="-3"/>
          <w:kern w:val="0"/>
          <w:sz w:val="24"/>
          <w:szCs w:val="24"/>
          <w:highlight w:val="none"/>
          <w:lang w:val="en-US" w:eastAsia="zh-CN" w:bidi="ar-SA"/>
        </w:rPr>
        <w:t>集</w:t>
      </w:r>
      <w:r>
        <w:rPr>
          <w:rFonts w:hint="eastAsia" w:ascii="Times New Roman" w:hAnsi="Times New Roman" w:eastAsia="宋体" w:cs="Times New Roman"/>
          <w:snapToGrid w:val="0"/>
          <w:color w:val="000000"/>
          <w:spacing w:val="-3"/>
          <w:kern w:val="0"/>
          <w:sz w:val="24"/>
          <w:szCs w:val="24"/>
          <w:highlight w:val="none"/>
          <w:lang w:val="en-US" w:eastAsia="en-US" w:bidi="ar-SA"/>
        </w:rPr>
        <w:t>研发、生产、销售</w:t>
      </w:r>
      <w:r>
        <w:rPr>
          <w:rFonts w:hint="eastAsia" w:ascii="Times New Roman" w:hAnsi="Times New Roman" w:eastAsia="宋体" w:cs="Times New Roman"/>
          <w:snapToGrid w:val="0"/>
          <w:color w:val="000000"/>
          <w:spacing w:val="-3"/>
          <w:kern w:val="0"/>
          <w:sz w:val="24"/>
          <w:szCs w:val="24"/>
          <w:highlight w:val="none"/>
          <w:lang w:val="en-US" w:eastAsia="zh-CN" w:bidi="ar-SA"/>
        </w:rPr>
        <w:t>于一</w:t>
      </w:r>
      <w:r>
        <w:rPr>
          <w:rFonts w:hint="eastAsia" w:eastAsia="宋体" w:cs="Times New Roman"/>
          <w:snapToGrid w:val="0"/>
          <w:color w:val="000000"/>
          <w:spacing w:val="-3"/>
          <w:kern w:val="0"/>
          <w:sz w:val="24"/>
          <w:szCs w:val="24"/>
          <w:highlight w:val="none"/>
          <w:lang w:val="en-US" w:eastAsia="zh-CN" w:bidi="ar-SA"/>
        </w:rPr>
        <w:t>体的科技型企业</w:t>
      </w:r>
      <w:r>
        <w:rPr>
          <w:rFonts w:hint="eastAsia" w:ascii="Times New Roman" w:hAnsi="Times New Roman" w:eastAsia="宋体" w:cs="Times New Roman"/>
          <w:snapToGrid w:val="0"/>
          <w:color w:val="000000"/>
          <w:spacing w:val="-3"/>
          <w:kern w:val="0"/>
          <w:sz w:val="24"/>
          <w:szCs w:val="24"/>
          <w:highlight w:val="none"/>
          <w:lang w:val="en-US" w:eastAsia="zh-CN" w:bidi="ar-SA"/>
        </w:rPr>
        <w:t>，</w:t>
      </w:r>
      <w:r>
        <w:rPr>
          <w:rFonts w:hint="eastAsia" w:ascii="宋体" w:hAnsi="宋体" w:eastAsia="宋体" w:cs="宋体"/>
          <w:snapToGrid w:val="0"/>
          <w:color w:val="000000"/>
          <w:spacing w:val="-3"/>
          <w:kern w:val="0"/>
          <w:sz w:val="24"/>
          <w:szCs w:val="24"/>
          <w:highlight w:val="none"/>
          <w:lang w:val="en-US" w:eastAsia="en-US" w:bidi="ar-SA"/>
        </w:rPr>
        <w:t>不断提高行业产品水平，保护自然环境，引导纺织洗水工业绿色革命</w:t>
      </w:r>
      <w:r>
        <w:rPr>
          <w:rFonts w:hint="eastAsia" w:ascii="宋体" w:hAnsi="宋体" w:eastAsia="宋体" w:cs="宋体"/>
          <w:snapToGrid w:val="0"/>
          <w:color w:val="000000"/>
          <w:spacing w:val="-3"/>
          <w:kern w:val="0"/>
          <w:sz w:val="24"/>
          <w:szCs w:val="24"/>
          <w:highlight w:val="none"/>
          <w:lang w:val="en-US" w:eastAsia="zh-CN" w:bidi="ar-SA"/>
        </w:rPr>
        <w:t>。</w:t>
      </w:r>
    </w:p>
    <w:p w14:paraId="2AF0552C">
      <w:pPr>
        <w:spacing w:line="360" w:lineRule="auto"/>
        <w:ind w:firstLine="468" w:firstLineChars="200"/>
        <w:rPr>
          <w:rFonts w:hint="default" w:ascii="Times New Roman" w:hAnsi="Times New Roman" w:eastAsia="宋体" w:cs="Times New Roman"/>
          <w:snapToGrid w:val="0"/>
          <w:color w:val="000000"/>
          <w:spacing w:val="-3"/>
          <w:kern w:val="0"/>
          <w:sz w:val="24"/>
          <w:szCs w:val="24"/>
          <w:highlight w:val="none"/>
          <w:lang w:val="en-US" w:eastAsia="en-US" w:bidi="ar-SA"/>
        </w:rPr>
      </w:pPr>
      <w:r>
        <w:rPr>
          <w:rFonts w:hint="eastAsia" w:ascii="Times New Roman" w:hAnsi="Times New Roman" w:eastAsia="宋体" w:cs="Times New Roman"/>
          <w:snapToGrid w:val="0"/>
          <w:color w:val="000000"/>
          <w:spacing w:val="-3"/>
          <w:kern w:val="0"/>
          <w:sz w:val="24"/>
          <w:szCs w:val="24"/>
          <w:highlight w:val="none"/>
          <w:lang w:val="en-US" w:eastAsia="zh-CN" w:bidi="ar-SA"/>
        </w:rPr>
        <w:t>湖南鸿蒙新材料制造有限公司拟在</w:t>
      </w:r>
      <w:r>
        <w:rPr>
          <w:rFonts w:hint="eastAsia" w:eastAsia="宋体" w:cs="Times New Roman"/>
          <w:snapToGrid w:val="0"/>
          <w:color w:val="000000"/>
          <w:spacing w:val="-3"/>
          <w:kern w:val="0"/>
          <w:sz w:val="24"/>
          <w:szCs w:val="24"/>
          <w:highlight w:val="none"/>
          <w:lang w:val="en-US" w:eastAsia="zh-CN" w:bidi="ar-SA"/>
        </w:rPr>
        <w:t>湖</w:t>
      </w:r>
      <w:r>
        <w:rPr>
          <w:rFonts w:hint="eastAsia" w:ascii="Times New Roman" w:hAnsi="Times New Roman" w:eastAsia="宋体" w:cs="Times New Roman"/>
          <w:snapToGrid w:val="0"/>
          <w:color w:val="000000"/>
          <w:spacing w:val="-3"/>
          <w:kern w:val="0"/>
          <w:sz w:val="24"/>
          <w:szCs w:val="24"/>
          <w:highlight w:val="none"/>
          <w:lang w:val="en-US" w:eastAsia="en-US" w:bidi="ar-SA"/>
        </w:rPr>
        <w:t>南省岳阳县荣家湾镇岳阳高新技术产业园武广路3号创新创业基地C栋</w:t>
      </w:r>
      <w:r>
        <w:rPr>
          <w:rFonts w:hint="eastAsia" w:eastAsia="宋体" w:cs="Times New Roman"/>
          <w:snapToGrid w:val="0"/>
          <w:color w:val="000000"/>
          <w:spacing w:val="-3"/>
          <w:kern w:val="0"/>
          <w:sz w:val="24"/>
          <w:szCs w:val="24"/>
          <w:highlight w:val="none"/>
          <w:lang w:val="en-US" w:eastAsia="zh-CN" w:bidi="ar-SA"/>
        </w:rPr>
        <w:t>（2F）</w:t>
      </w:r>
      <w:r>
        <w:rPr>
          <w:rFonts w:hint="eastAsia" w:ascii="Times New Roman" w:hAnsi="Times New Roman" w:eastAsia="宋体" w:cs="Times New Roman"/>
          <w:snapToGrid w:val="0"/>
          <w:color w:val="000000"/>
          <w:spacing w:val="-3"/>
          <w:kern w:val="0"/>
          <w:sz w:val="24"/>
          <w:szCs w:val="24"/>
          <w:highlight w:val="none"/>
          <w:lang w:val="en-US" w:eastAsia="en-US" w:bidi="ar-SA"/>
        </w:rPr>
        <w:t>开展</w:t>
      </w:r>
      <w:r>
        <w:rPr>
          <w:rFonts w:hint="eastAsia" w:ascii="Times New Roman" w:hAnsi="Times New Roman" w:eastAsia="宋体" w:cs="Times New Roman"/>
          <w:snapToGrid w:val="0"/>
          <w:color w:val="000000"/>
          <w:spacing w:val="-3"/>
          <w:kern w:val="0"/>
          <w:sz w:val="24"/>
          <w:szCs w:val="24"/>
          <w:highlight w:val="none"/>
          <w:lang w:val="en-US" w:eastAsia="zh-CN" w:bidi="ar-SA"/>
        </w:rPr>
        <w:t>“</w:t>
      </w:r>
      <w:r>
        <w:rPr>
          <w:rFonts w:hint="eastAsia" w:ascii="Times New Roman" w:hAnsi="Times New Roman" w:eastAsia="宋体" w:cs="Times New Roman"/>
          <w:snapToGrid w:val="0"/>
          <w:color w:val="000000"/>
          <w:spacing w:val="-3"/>
          <w:kern w:val="0"/>
          <w:sz w:val="24"/>
          <w:szCs w:val="24"/>
          <w:highlight w:val="none"/>
          <w:lang w:val="en-US" w:eastAsia="en-US" w:bidi="ar-SA"/>
        </w:rPr>
        <w:t>年复配3500吨生物酶制剂及1500吨酶制品助剂应用项目</w:t>
      </w:r>
      <w:r>
        <w:rPr>
          <w:rFonts w:hint="eastAsia" w:ascii="Times New Roman" w:hAnsi="Times New Roman" w:eastAsia="宋体" w:cs="Times New Roman"/>
          <w:snapToGrid w:val="0"/>
          <w:color w:val="000000"/>
          <w:spacing w:val="-3"/>
          <w:kern w:val="0"/>
          <w:sz w:val="24"/>
          <w:szCs w:val="24"/>
          <w:highlight w:val="none"/>
          <w:lang w:val="en-US" w:eastAsia="zh-CN" w:bidi="ar-SA"/>
        </w:rPr>
        <w:t>”，</w:t>
      </w:r>
      <w:r>
        <w:rPr>
          <w:rFonts w:hint="eastAsia" w:ascii="Times New Roman" w:hAnsi="Times New Roman" w:eastAsia="宋体" w:cs="Times New Roman"/>
          <w:snapToGrid w:val="0"/>
          <w:color w:val="000000"/>
          <w:spacing w:val="-3"/>
          <w:kern w:val="0"/>
          <w:sz w:val="24"/>
          <w:szCs w:val="24"/>
          <w:highlight w:val="none"/>
          <w:lang w:val="en-US" w:eastAsia="en-US" w:bidi="ar-SA"/>
        </w:rPr>
        <w:t>计划投资建设</w:t>
      </w:r>
      <w:r>
        <w:rPr>
          <w:rFonts w:hint="eastAsia" w:eastAsia="宋体"/>
          <w:snapToGrid w:val="0"/>
          <w:color w:val="000000"/>
          <w:spacing w:val="-3"/>
          <w:kern w:val="0"/>
          <w:sz w:val="24"/>
          <w:szCs w:val="24"/>
          <w:highlight w:val="none"/>
          <w:lang w:eastAsia="en-US"/>
        </w:rPr>
        <w:t>5条生产线：1条酶制剂</w:t>
      </w:r>
      <w:r>
        <w:rPr>
          <w:rFonts w:hint="eastAsia" w:eastAsia="宋体"/>
          <w:snapToGrid w:val="0"/>
          <w:color w:val="000000"/>
          <w:spacing w:val="-3"/>
          <w:kern w:val="0"/>
          <w:sz w:val="24"/>
          <w:szCs w:val="24"/>
          <w:highlight w:val="none"/>
          <w:lang w:val="en-US" w:eastAsia="zh-CN"/>
        </w:rPr>
        <w:t>水剂</w:t>
      </w:r>
      <w:r>
        <w:rPr>
          <w:rFonts w:hint="eastAsia" w:eastAsia="宋体"/>
          <w:snapToGrid w:val="0"/>
          <w:color w:val="000000"/>
          <w:spacing w:val="-3"/>
          <w:kern w:val="0"/>
          <w:sz w:val="24"/>
          <w:szCs w:val="24"/>
          <w:highlight w:val="none"/>
          <w:lang w:eastAsia="en-US"/>
        </w:rPr>
        <w:t>复配生产线（ 产品为酶制剂</w:t>
      </w:r>
      <w:r>
        <w:rPr>
          <w:rFonts w:hint="eastAsia" w:eastAsia="宋体"/>
          <w:snapToGrid w:val="0"/>
          <w:color w:val="000000"/>
          <w:spacing w:val="-3"/>
          <w:kern w:val="0"/>
          <w:sz w:val="24"/>
          <w:szCs w:val="24"/>
          <w:highlight w:val="none"/>
          <w:lang w:val="en-US" w:eastAsia="zh-CN"/>
        </w:rPr>
        <w:t>水剂</w:t>
      </w:r>
      <w:r>
        <w:rPr>
          <w:rFonts w:hint="eastAsia" w:eastAsia="宋体"/>
          <w:snapToGrid w:val="0"/>
          <w:color w:val="000000"/>
          <w:spacing w:val="-3"/>
          <w:kern w:val="0"/>
          <w:sz w:val="24"/>
          <w:szCs w:val="24"/>
          <w:highlight w:val="none"/>
          <w:lang w:eastAsia="en-US"/>
        </w:rPr>
        <w:t>），2条配套助剂水剂复配生产线（包括硅油生产线1条和防染剂生产线1条），1条酶制剂粉剂复配生产线（产品为酶制剂粉剂</w:t>
      </w:r>
      <w:r>
        <w:rPr>
          <w:rFonts w:hint="eastAsia" w:eastAsia="宋体"/>
          <w:snapToGrid w:val="0"/>
          <w:color w:val="000000"/>
          <w:spacing w:val="-3"/>
          <w:kern w:val="0"/>
          <w:sz w:val="24"/>
          <w:szCs w:val="24"/>
          <w:highlight w:val="none"/>
          <w:lang w:val="en-US" w:eastAsia="zh-CN"/>
        </w:rPr>
        <w:t>和防染粉2#</w:t>
      </w:r>
      <w:r>
        <w:rPr>
          <w:rFonts w:hint="eastAsia" w:eastAsia="宋体"/>
          <w:snapToGrid w:val="0"/>
          <w:color w:val="000000"/>
          <w:spacing w:val="-3"/>
          <w:kern w:val="0"/>
          <w:sz w:val="24"/>
          <w:szCs w:val="24"/>
          <w:highlight w:val="none"/>
          <w:lang w:eastAsia="en-US"/>
        </w:rPr>
        <w:t>），1条配套助剂粉剂复配生产线（ 产品为防染粉</w:t>
      </w:r>
      <w:r>
        <w:rPr>
          <w:rFonts w:hint="eastAsia" w:eastAsia="宋体"/>
          <w:snapToGrid w:val="0"/>
          <w:color w:val="000000"/>
          <w:spacing w:val="-3"/>
          <w:kern w:val="0"/>
          <w:sz w:val="24"/>
          <w:szCs w:val="24"/>
          <w:highlight w:val="none"/>
          <w:lang w:val="en-US" w:eastAsia="zh-CN"/>
        </w:rPr>
        <w:t>1#</w:t>
      </w:r>
      <w:r>
        <w:rPr>
          <w:rFonts w:hint="eastAsia" w:eastAsia="宋体"/>
          <w:snapToGrid w:val="0"/>
          <w:color w:val="000000"/>
          <w:spacing w:val="-3"/>
          <w:kern w:val="0"/>
          <w:sz w:val="24"/>
          <w:szCs w:val="24"/>
          <w:highlight w:val="none"/>
          <w:lang w:eastAsia="en-US"/>
        </w:rPr>
        <w:t>）</w:t>
      </w:r>
      <w:r>
        <w:rPr>
          <w:rFonts w:hint="eastAsia" w:eastAsia="宋体"/>
          <w:snapToGrid w:val="0"/>
          <w:color w:val="000000"/>
          <w:spacing w:val="-3"/>
          <w:kern w:val="0"/>
          <w:sz w:val="24"/>
          <w:szCs w:val="24"/>
          <w:highlight w:val="none"/>
          <w:lang w:eastAsia="zh-CN"/>
        </w:rPr>
        <w:t>，</w:t>
      </w:r>
      <w:r>
        <w:rPr>
          <w:rFonts w:hint="eastAsia" w:eastAsia="宋体" w:cs="Times New Roman"/>
          <w:snapToGrid w:val="0"/>
          <w:color w:val="000000"/>
          <w:spacing w:val="-3"/>
          <w:kern w:val="0"/>
          <w:sz w:val="24"/>
          <w:szCs w:val="24"/>
          <w:highlight w:val="none"/>
          <w:lang w:val="en-US" w:eastAsia="zh-CN" w:bidi="ar-SA"/>
        </w:rPr>
        <w:t>产品主要用于纺织行业</w:t>
      </w:r>
      <w:r>
        <w:rPr>
          <w:rFonts w:hint="eastAsia" w:ascii="Times New Roman" w:hAnsi="Times New Roman" w:eastAsia="宋体" w:cs="Times New Roman"/>
          <w:snapToGrid w:val="0"/>
          <w:color w:val="000000"/>
          <w:spacing w:val="-3"/>
          <w:kern w:val="0"/>
          <w:sz w:val="24"/>
          <w:szCs w:val="24"/>
          <w:highlight w:val="none"/>
          <w:lang w:val="en-US" w:eastAsia="en-US" w:bidi="ar-SA"/>
        </w:rPr>
        <w:t>。</w:t>
      </w:r>
      <w:r>
        <w:rPr>
          <w:rFonts w:hint="eastAsia" w:eastAsia="宋体" w:cs="Times New Roman"/>
          <w:snapToGrid w:val="0"/>
          <w:color w:val="000000"/>
          <w:spacing w:val="-3"/>
          <w:kern w:val="0"/>
          <w:sz w:val="24"/>
          <w:szCs w:val="24"/>
          <w:highlight w:val="none"/>
          <w:lang w:val="en-US" w:eastAsia="zh-CN" w:bidi="ar-SA"/>
        </w:rPr>
        <w:t>建设</w:t>
      </w:r>
      <w:r>
        <w:rPr>
          <w:rFonts w:hint="default" w:ascii="Times New Roman" w:hAnsi="Times New Roman" w:eastAsia="宋体" w:cs="Times New Roman"/>
          <w:snapToGrid w:val="0"/>
          <w:color w:val="000000"/>
          <w:spacing w:val="-3"/>
          <w:kern w:val="0"/>
          <w:sz w:val="24"/>
          <w:szCs w:val="24"/>
          <w:highlight w:val="none"/>
          <w:lang w:val="en-US" w:eastAsia="en-US" w:bidi="ar-SA"/>
        </w:rPr>
        <w:t>内容包括</w:t>
      </w:r>
      <w:r>
        <w:rPr>
          <w:rFonts w:hint="eastAsia" w:ascii="Times New Roman" w:hAnsi="Times New Roman" w:eastAsia="宋体" w:cs="Times New Roman"/>
          <w:snapToGrid w:val="0"/>
          <w:color w:val="000000"/>
          <w:spacing w:val="-3"/>
          <w:kern w:val="0"/>
          <w:sz w:val="24"/>
          <w:szCs w:val="24"/>
          <w:highlight w:val="none"/>
          <w:lang w:val="en-US" w:eastAsia="en-US" w:bidi="ar-SA"/>
        </w:rPr>
        <w:t>园区租赁</w:t>
      </w:r>
      <w:r>
        <w:rPr>
          <w:rFonts w:hint="default" w:ascii="Times New Roman" w:hAnsi="Times New Roman" w:eastAsia="宋体" w:cs="Times New Roman"/>
          <w:snapToGrid w:val="0"/>
          <w:color w:val="000000"/>
          <w:spacing w:val="-3"/>
          <w:kern w:val="0"/>
          <w:sz w:val="24"/>
          <w:szCs w:val="24"/>
          <w:highlight w:val="none"/>
          <w:lang w:val="en-US" w:eastAsia="en-US" w:bidi="ar-SA"/>
        </w:rPr>
        <w:t>厂房</w:t>
      </w:r>
      <w:r>
        <w:rPr>
          <w:rFonts w:hint="eastAsia" w:ascii="Times New Roman" w:hAnsi="Times New Roman" w:eastAsia="宋体" w:cs="Times New Roman"/>
          <w:snapToGrid w:val="0"/>
          <w:color w:val="000000"/>
          <w:spacing w:val="-3"/>
          <w:kern w:val="0"/>
          <w:sz w:val="24"/>
          <w:szCs w:val="24"/>
          <w:highlight w:val="none"/>
          <w:lang w:val="en-US" w:eastAsia="en-US" w:bidi="ar-SA"/>
        </w:rPr>
        <w:t>及办公场地</w:t>
      </w:r>
      <w:r>
        <w:rPr>
          <w:rFonts w:hint="eastAsia" w:eastAsia="宋体" w:cs="Times New Roman"/>
          <w:snapToGrid w:val="0"/>
          <w:color w:val="000000"/>
          <w:spacing w:val="-3"/>
          <w:kern w:val="0"/>
          <w:sz w:val="24"/>
          <w:szCs w:val="24"/>
          <w:highlight w:val="none"/>
          <w:lang w:val="en-US" w:eastAsia="zh-CN" w:bidi="ar-SA"/>
        </w:rPr>
        <w:t>的</w:t>
      </w:r>
      <w:r>
        <w:rPr>
          <w:rFonts w:hint="eastAsia" w:ascii="Times New Roman" w:hAnsi="Times New Roman" w:eastAsia="宋体" w:cs="Times New Roman"/>
          <w:snapToGrid w:val="0"/>
          <w:color w:val="000000"/>
          <w:spacing w:val="-3"/>
          <w:kern w:val="0"/>
          <w:sz w:val="24"/>
          <w:szCs w:val="24"/>
          <w:highlight w:val="none"/>
          <w:lang w:val="en-US" w:eastAsia="en-US" w:bidi="ar-SA"/>
        </w:rPr>
        <w:t>装修、设备安装等</w:t>
      </w:r>
      <w:r>
        <w:rPr>
          <w:rFonts w:hint="default" w:ascii="Times New Roman" w:hAnsi="Times New Roman" w:eastAsia="宋体" w:cs="Times New Roman"/>
          <w:snapToGrid w:val="0"/>
          <w:color w:val="000000"/>
          <w:spacing w:val="-3"/>
          <w:kern w:val="0"/>
          <w:sz w:val="24"/>
          <w:szCs w:val="24"/>
          <w:highlight w:val="none"/>
          <w:lang w:val="en-US" w:eastAsia="en-US" w:bidi="ar-SA"/>
        </w:rPr>
        <w:t>，</w:t>
      </w:r>
      <w:r>
        <w:rPr>
          <w:rFonts w:hint="eastAsia" w:ascii="Times New Roman" w:hAnsi="Times New Roman" w:eastAsia="宋体" w:cs="Times New Roman"/>
          <w:snapToGrid w:val="0"/>
          <w:color w:val="000000"/>
          <w:spacing w:val="-3"/>
          <w:kern w:val="0"/>
          <w:sz w:val="24"/>
          <w:szCs w:val="24"/>
          <w:highlight w:val="none"/>
          <w:lang w:val="en-US" w:eastAsia="en-US" w:bidi="ar-SA"/>
        </w:rPr>
        <w:t>项目投资金额约为</w:t>
      </w:r>
      <w:r>
        <w:rPr>
          <w:rFonts w:hint="eastAsia" w:eastAsia="宋体" w:cs="Times New Roman"/>
          <w:snapToGrid w:val="0"/>
          <w:color w:val="000000"/>
          <w:spacing w:val="-3"/>
          <w:kern w:val="0"/>
          <w:sz w:val="24"/>
          <w:szCs w:val="24"/>
          <w:highlight w:val="none"/>
          <w:lang w:val="en-US" w:eastAsia="zh-CN" w:bidi="ar-SA"/>
        </w:rPr>
        <w:t>8</w:t>
      </w:r>
      <w:r>
        <w:rPr>
          <w:rFonts w:hint="default" w:ascii="Times New Roman" w:hAnsi="Times New Roman" w:eastAsia="宋体" w:cs="Times New Roman"/>
          <w:snapToGrid w:val="0"/>
          <w:color w:val="000000"/>
          <w:spacing w:val="-3"/>
          <w:kern w:val="0"/>
          <w:sz w:val="24"/>
          <w:szCs w:val="24"/>
          <w:highlight w:val="none"/>
          <w:lang w:val="en-US" w:eastAsia="en-US" w:bidi="ar-SA"/>
        </w:rPr>
        <w:t>00</w:t>
      </w:r>
      <w:r>
        <w:rPr>
          <w:rFonts w:hint="eastAsia" w:ascii="Times New Roman" w:hAnsi="Times New Roman" w:eastAsia="宋体" w:cs="Times New Roman"/>
          <w:snapToGrid w:val="0"/>
          <w:color w:val="000000"/>
          <w:spacing w:val="-3"/>
          <w:kern w:val="0"/>
          <w:sz w:val="24"/>
          <w:szCs w:val="24"/>
          <w:highlight w:val="none"/>
          <w:lang w:val="en-US" w:eastAsia="en-US" w:bidi="ar-SA"/>
        </w:rPr>
        <w:t>万元人民币</w:t>
      </w:r>
      <w:r>
        <w:rPr>
          <w:rFonts w:hint="default" w:ascii="Times New Roman" w:hAnsi="Times New Roman" w:eastAsia="宋体" w:cs="Times New Roman"/>
          <w:snapToGrid w:val="0"/>
          <w:color w:val="000000"/>
          <w:spacing w:val="-3"/>
          <w:kern w:val="0"/>
          <w:sz w:val="24"/>
          <w:szCs w:val="24"/>
          <w:highlight w:val="none"/>
          <w:lang w:val="en-US" w:eastAsia="en-US" w:bidi="ar-SA"/>
        </w:rPr>
        <w:t>。生产工厂建成量产后，年产能约为5000万元，创地方利税约150万。</w:t>
      </w:r>
    </w:p>
    <w:p w14:paraId="52CF6881">
      <w:pPr>
        <w:pStyle w:val="2"/>
        <w:spacing w:before="4" w:line="360" w:lineRule="auto"/>
        <w:ind w:firstLine="483"/>
        <w:jc w:val="both"/>
        <w:rPr>
          <w:rFonts w:hint="default" w:ascii="宋体" w:hAnsi="宋体" w:eastAsia="仿宋" w:cs="宋体"/>
          <w:snapToGrid w:val="0"/>
          <w:color w:val="0000FF"/>
          <w:spacing w:val="-3"/>
          <w:kern w:val="0"/>
          <w:sz w:val="24"/>
          <w:szCs w:val="24"/>
          <w:highlight w:val="none"/>
          <w:lang w:val="en-US" w:eastAsia="zh-CN" w:bidi="ar-SA"/>
        </w:rPr>
      </w:pPr>
      <w:r>
        <w:rPr>
          <w:rFonts w:hint="eastAsia" w:ascii="Times New Roman" w:hAnsi="Times New Roman" w:eastAsia="宋体" w:cs="Times New Roman"/>
          <w:color w:val="auto"/>
          <w:sz w:val="24"/>
          <w:highlight w:val="none"/>
          <w:u w:val="none" w:color="auto"/>
          <w:lang w:val="en-US" w:eastAsia="zh-CN"/>
        </w:rPr>
        <w:t>本项目产品为生物纺织酶及助剂，</w:t>
      </w:r>
      <w:r>
        <w:rPr>
          <w:rFonts w:hint="default" w:ascii="Times New Roman" w:hAnsi="Times New Roman" w:eastAsia="宋体" w:cs="Times New Roman"/>
          <w:color w:val="auto"/>
          <w:sz w:val="24"/>
          <w:highlight w:val="none"/>
          <w:u w:val="none" w:color="auto"/>
          <w:lang w:val="en-US" w:eastAsia="zh-CN"/>
        </w:rPr>
        <w:t>根据《国民经济行业分类》（GB/T4754-2017）（2019年修订）及其国民经济行业分类注释，本项目所属行业为C2</w:t>
      </w:r>
      <w:r>
        <w:rPr>
          <w:rFonts w:hint="eastAsia" w:ascii="Times New Roman" w:hAnsi="Times New Roman" w:eastAsia="宋体" w:cs="Times New Roman"/>
          <w:color w:val="auto"/>
          <w:sz w:val="24"/>
          <w:highlight w:val="none"/>
          <w:u w:val="none" w:color="auto"/>
          <w:lang w:val="en-US" w:eastAsia="zh-CN"/>
        </w:rPr>
        <w:t>661化学试剂和助剂制造及C2662专项化学用品制造，属于《建设项目环境影响评价分类管理名录》（2021版）的二十三、化学原料和化学制品制造业26</w:t>
      </w:r>
      <w:r>
        <w:rPr>
          <w:rFonts w:hint="default" w:ascii="Times New Roman" w:hAnsi="Times New Roman" w:eastAsia="宋体" w:cs="Times New Roman"/>
          <w:color w:val="auto"/>
          <w:sz w:val="24"/>
          <w:highlight w:val="none"/>
          <w:u w:val="none" w:color="auto"/>
          <w:lang w:val="en-US" w:eastAsia="zh-CN"/>
        </w:rPr>
        <w:t>的“全部（含研发中试；不含单纯</w:t>
      </w:r>
      <w:r>
        <w:rPr>
          <w:rFonts w:hint="eastAsia" w:eastAsia="宋体" w:cs="Times New Roman"/>
          <w:color w:val="auto"/>
          <w:sz w:val="24"/>
          <w:highlight w:val="none"/>
          <w:u w:val="none" w:color="auto"/>
          <w:lang w:val="en-US" w:eastAsia="zh-CN"/>
        </w:rPr>
        <w:t>物理分离、物理提纯、混合、分装的</w:t>
      </w:r>
      <w:r>
        <w:rPr>
          <w:rFonts w:hint="default" w:ascii="Times New Roman" w:hAnsi="Times New Roman" w:eastAsia="宋体" w:cs="Times New Roman"/>
          <w:color w:val="auto"/>
          <w:sz w:val="24"/>
          <w:highlight w:val="none"/>
          <w:u w:val="none" w:color="auto"/>
          <w:lang w:val="en-US" w:eastAsia="zh-CN"/>
        </w:rPr>
        <w:t>）”，应当</w:t>
      </w:r>
      <w:r>
        <w:rPr>
          <w:rFonts w:hint="default" w:ascii="Times New Roman" w:hAnsi="Times New Roman" w:eastAsia="宋体" w:cs="Times New Roman"/>
          <w:color w:val="auto"/>
          <w:sz w:val="24"/>
          <w:highlight w:val="none"/>
          <w:u w:val="none" w:color="auto"/>
          <w:lang w:eastAsia="zh-CN"/>
        </w:rPr>
        <w:t>编制环境影响报告书。</w:t>
      </w:r>
      <w:r>
        <w:rPr>
          <w:rFonts w:hint="eastAsia" w:eastAsia="宋体" w:cs="Times New Roman"/>
          <w:color w:val="auto"/>
          <w:sz w:val="24"/>
          <w:highlight w:val="none"/>
          <w:u w:val="none" w:color="auto"/>
          <w:lang w:val="en-US" w:eastAsia="zh-CN"/>
        </w:rPr>
        <w:t>为此，</w:t>
      </w:r>
      <w:r>
        <w:rPr>
          <w:rFonts w:hint="eastAsia" w:ascii="Times New Roman" w:hAnsi="Times New Roman" w:eastAsia="宋体" w:cs="Times New Roman"/>
          <w:snapToGrid w:val="0"/>
          <w:color w:val="000000"/>
          <w:spacing w:val="-3"/>
          <w:kern w:val="0"/>
          <w:sz w:val="24"/>
          <w:szCs w:val="24"/>
          <w:highlight w:val="none"/>
          <w:lang w:val="en-US" w:eastAsia="zh-CN" w:bidi="ar-SA"/>
        </w:rPr>
        <w:t>湖南鸿蒙新材料制造有限公司</w:t>
      </w:r>
      <w:r>
        <w:rPr>
          <w:rFonts w:hint="eastAsia" w:eastAsia="宋体" w:cs="Times New Roman"/>
          <w:snapToGrid w:val="0"/>
          <w:color w:val="000000"/>
          <w:spacing w:val="-3"/>
          <w:kern w:val="0"/>
          <w:sz w:val="24"/>
          <w:szCs w:val="24"/>
          <w:highlight w:val="none"/>
          <w:lang w:val="en-US" w:eastAsia="zh-CN" w:bidi="ar-SA"/>
        </w:rPr>
        <w:t>委托湖南绿韵环境科技有限公司“</w:t>
      </w:r>
      <w:r>
        <w:rPr>
          <w:rFonts w:hint="eastAsia" w:ascii="Times New Roman" w:hAnsi="Times New Roman" w:eastAsia="宋体" w:cs="Times New Roman"/>
          <w:snapToGrid w:val="0"/>
          <w:color w:val="000000"/>
          <w:spacing w:val="-3"/>
          <w:kern w:val="0"/>
          <w:sz w:val="24"/>
          <w:szCs w:val="24"/>
          <w:highlight w:val="none"/>
          <w:lang w:val="en-US" w:eastAsia="en-US" w:bidi="ar-SA"/>
        </w:rPr>
        <w:t>年复配3500吨生物酶制剂及1500吨酶制品助剂应用项目</w:t>
      </w:r>
      <w:r>
        <w:rPr>
          <w:rFonts w:hint="eastAsia" w:eastAsia="宋体" w:cs="Times New Roman"/>
          <w:snapToGrid w:val="0"/>
          <w:color w:val="000000"/>
          <w:spacing w:val="-3"/>
          <w:kern w:val="0"/>
          <w:sz w:val="24"/>
          <w:szCs w:val="24"/>
          <w:highlight w:val="none"/>
          <w:lang w:val="en-US" w:eastAsia="zh-CN" w:bidi="ar-SA"/>
        </w:rPr>
        <w:t>”</w:t>
      </w:r>
      <w:r>
        <w:rPr>
          <w:spacing w:val="3"/>
          <w:highlight w:val="none"/>
        </w:rPr>
        <w:t>的环</w:t>
      </w:r>
      <w:r>
        <w:rPr>
          <w:spacing w:val="2"/>
          <w:highlight w:val="none"/>
        </w:rPr>
        <w:t>境影响评价工作。我公司在接受委</w:t>
      </w:r>
      <w:r>
        <w:rPr>
          <w:spacing w:val="-2"/>
          <w:highlight w:val="none"/>
        </w:rPr>
        <w:t>托后成立了环评工作小组，对项目现场及周边环境进行实地勘查、调研和资料收集，在此基础上，按照相关法律、法规、环境影响评价技术导则、规范和标准，编制了本项目</w:t>
      </w:r>
      <w:r>
        <w:rPr>
          <w:spacing w:val="-4"/>
          <w:highlight w:val="none"/>
        </w:rPr>
        <w:t>的环境影响报告书。</w:t>
      </w:r>
    </w:p>
    <w:p w14:paraId="1701D780">
      <w:pPr>
        <w:pStyle w:val="6"/>
        <w:bidi w:val="0"/>
        <w:rPr>
          <w:highlight w:val="none"/>
        </w:rPr>
      </w:pPr>
      <w:bookmarkStart w:id="19" w:name="_Toc28811"/>
      <w:bookmarkStart w:id="20" w:name="_Toc488833053"/>
      <w:r>
        <w:rPr>
          <w:highlight w:val="none"/>
        </w:rPr>
        <w:t>1.</w:t>
      </w:r>
      <w:r>
        <w:rPr>
          <w:rFonts w:hint="eastAsia"/>
          <w:highlight w:val="none"/>
          <w:lang w:val="en-US" w:eastAsia="zh-CN"/>
        </w:rPr>
        <w:t>2</w:t>
      </w:r>
      <w:r>
        <w:rPr>
          <w:highlight w:val="none"/>
        </w:rPr>
        <w:t>建设项目特点</w:t>
      </w:r>
      <w:bookmarkEnd w:id="19"/>
      <w:bookmarkEnd w:id="20"/>
    </w:p>
    <w:p w14:paraId="65014FCB">
      <w:pPr>
        <w:ind w:firstLine="468" w:firstLineChars="200"/>
        <w:rPr>
          <w:highlight w:val="none"/>
        </w:rPr>
      </w:pPr>
      <w:r>
        <w:rPr>
          <w:rFonts w:ascii="宋体" w:hAnsi="宋体" w:eastAsia="宋体" w:cs="宋体"/>
          <w:snapToGrid w:val="0"/>
          <w:color w:val="000000"/>
          <w:spacing w:val="-3"/>
          <w:kern w:val="0"/>
          <w:sz w:val="24"/>
          <w:szCs w:val="24"/>
          <w:highlight w:val="none"/>
          <w:lang w:val="en-US" w:eastAsia="en-US" w:bidi="ar-SA"/>
        </w:rPr>
        <w:t>本项目产品属于</w:t>
      </w:r>
      <w:r>
        <w:rPr>
          <w:rFonts w:hint="eastAsia" w:ascii="宋体" w:hAnsi="宋体" w:eastAsia="宋体" w:cs="宋体"/>
          <w:snapToGrid w:val="0"/>
          <w:color w:val="000000"/>
          <w:spacing w:val="-3"/>
          <w:kern w:val="0"/>
          <w:sz w:val="24"/>
          <w:szCs w:val="24"/>
          <w:highlight w:val="none"/>
          <w:lang w:val="en-US" w:eastAsia="en-US" w:bidi="ar-SA"/>
        </w:rPr>
        <w:t>生物酶制剂</w:t>
      </w:r>
      <w:r>
        <w:rPr>
          <w:rFonts w:hint="eastAsia" w:ascii="宋体" w:hAnsi="宋体" w:eastAsia="宋体" w:cs="宋体"/>
          <w:snapToGrid w:val="0"/>
          <w:color w:val="000000"/>
          <w:spacing w:val="-3"/>
          <w:kern w:val="0"/>
          <w:sz w:val="24"/>
          <w:szCs w:val="24"/>
          <w:highlight w:val="none"/>
          <w:lang w:val="en-US" w:eastAsia="zh-CN" w:bidi="ar-SA"/>
        </w:rPr>
        <w:t>及酶制品助剂</w:t>
      </w:r>
      <w:r>
        <w:rPr>
          <w:rFonts w:hint="eastAsia" w:ascii="宋体" w:hAnsi="宋体" w:eastAsia="宋体" w:cs="宋体"/>
          <w:snapToGrid w:val="0"/>
          <w:color w:val="000000"/>
          <w:spacing w:val="-3"/>
          <w:kern w:val="0"/>
          <w:sz w:val="24"/>
          <w:szCs w:val="24"/>
          <w:highlight w:val="none"/>
          <w:lang w:val="en-US" w:eastAsia="en-US" w:bidi="ar-SA"/>
        </w:rPr>
        <w:t>项目</w:t>
      </w:r>
      <w:r>
        <w:rPr>
          <w:rFonts w:hint="eastAsia" w:ascii="宋体" w:hAnsi="宋体" w:eastAsia="宋体" w:cs="宋体"/>
          <w:snapToGrid w:val="0"/>
          <w:color w:val="000000"/>
          <w:spacing w:val="-3"/>
          <w:kern w:val="0"/>
          <w:sz w:val="24"/>
          <w:szCs w:val="24"/>
          <w:highlight w:val="none"/>
          <w:lang w:val="en-US" w:eastAsia="zh-CN" w:bidi="ar-SA"/>
        </w:rPr>
        <w:t>。</w:t>
      </w:r>
      <w:r>
        <w:rPr>
          <w:rFonts w:hint="eastAsia" w:ascii="宋体" w:hAnsi="宋体" w:eastAsia="宋体" w:cs="宋体"/>
          <w:snapToGrid w:val="0"/>
          <w:color w:val="000000"/>
          <w:spacing w:val="-3"/>
          <w:kern w:val="0"/>
          <w:sz w:val="24"/>
          <w:szCs w:val="24"/>
          <w:highlight w:val="none"/>
          <w:lang w:val="en-US" w:eastAsia="en-US" w:bidi="ar-SA"/>
        </w:rPr>
        <w:t>本次工程建设性质属于新建工程，选址在岳阳县荣家湾镇岳阳高新技术产业园武广路3号创新创业基地C栋</w:t>
      </w:r>
      <w:r>
        <w:rPr>
          <w:rFonts w:hint="eastAsia" w:ascii="宋体" w:hAnsi="宋体" w:eastAsia="宋体" w:cs="宋体"/>
          <w:snapToGrid w:val="0"/>
          <w:color w:val="000000"/>
          <w:spacing w:val="-3"/>
          <w:kern w:val="0"/>
          <w:sz w:val="24"/>
          <w:szCs w:val="24"/>
          <w:highlight w:val="none"/>
          <w:lang w:val="en-US" w:eastAsia="zh-CN" w:bidi="ar-SA"/>
        </w:rPr>
        <w:t>（2F）</w:t>
      </w:r>
      <w:r>
        <w:rPr>
          <w:rFonts w:hint="eastAsia" w:ascii="宋体" w:hAnsi="宋体" w:eastAsia="宋体" w:cs="宋体"/>
          <w:snapToGrid w:val="0"/>
          <w:color w:val="000000"/>
          <w:spacing w:val="-3"/>
          <w:kern w:val="0"/>
          <w:sz w:val="24"/>
          <w:szCs w:val="24"/>
          <w:highlight w:val="none"/>
          <w:lang w:val="en-US" w:eastAsia="en-US" w:bidi="ar-SA"/>
        </w:rPr>
        <w:t>的</w:t>
      </w:r>
      <w:r>
        <w:rPr>
          <w:rFonts w:hint="eastAsia" w:ascii="宋体" w:hAnsi="宋体" w:eastAsia="宋体" w:cs="宋体"/>
          <w:snapToGrid w:val="0"/>
          <w:color w:val="000000"/>
          <w:spacing w:val="-3"/>
          <w:kern w:val="0"/>
          <w:sz w:val="24"/>
          <w:szCs w:val="24"/>
          <w:highlight w:val="none"/>
          <w:lang w:val="en-US" w:eastAsia="zh-CN" w:bidi="ar-SA"/>
        </w:rPr>
        <w:t>闲置标准</w:t>
      </w:r>
      <w:r>
        <w:rPr>
          <w:rFonts w:hint="eastAsia" w:ascii="宋体" w:hAnsi="宋体" w:eastAsia="宋体" w:cs="宋体"/>
          <w:snapToGrid w:val="0"/>
          <w:color w:val="000000"/>
          <w:spacing w:val="-3"/>
          <w:kern w:val="0"/>
          <w:sz w:val="24"/>
          <w:szCs w:val="24"/>
          <w:highlight w:val="none"/>
          <w:lang w:val="en-US" w:eastAsia="en-US" w:bidi="ar-SA"/>
        </w:rPr>
        <w:t>厂房，在环境影响方面，本项目产生的污染物主要为废气、废水、噪声和固废，本次评价将重点分析本项目污染源源强及污染防治措施的有效性</w:t>
      </w:r>
      <w:r>
        <w:rPr>
          <w:rFonts w:hint="eastAsia" w:ascii="Times New Roman" w:hAnsi="Times New Roman" w:cs="Times New Roman"/>
          <w:color w:val="auto"/>
          <w:highlight w:val="none"/>
        </w:rPr>
        <w:t>。</w:t>
      </w:r>
    </w:p>
    <w:p w14:paraId="24603025">
      <w:pPr>
        <w:pStyle w:val="6"/>
        <w:bidi w:val="0"/>
        <w:rPr>
          <w:rFonts w:hint="eastAsia" w:ascii="Times New Roman" w:hAnsi="Times New Roman" w:eastAsia="宋体" w:cs="Times New Roman"/>
          <w:highlight w:val="none"/>
          <w:lang w:val="en-US" w:eastAsia="zh-CN"/>
        </w:rPr>
      </w:pPr>
      <w:bookmarkStart w:id="21" w:name="_Toc488833054"/>
      <w:bookmarkStart w:id="22" w:name="_Toc22371"/>
      <w:r>
        <w:rPr>
          <w:rFonts w:hint="eastAsia" w:ascii="Times New Roman" w:hAnsi="Times New Roman" w:eastAsia="宋体" w:cs="Times New Roman"/>
          <w:highlight w:val="none"/>
        </w:rPr>
        <w:t>1.</w:t>
      </w:r>
      <w:r>
        <w:rPr>
          <w:rFonts w:hint="eastAsia" w:cs="Times New Roman"/>
          <w:highlight w:val="none"/>
          <w:lang w:val="en-US" w:eastAsia="zh-CN"/>
        </w:rPr>
        <w:t>3</w:t>
      </w:r>
      <w:r>
        <w:rPr>
          <w:rFonts w:hint="eastAsia" w:ascii="Times New Roman" w:hAnsi="Times New Roman" w:eastAsia="宋体" w:cs="Times New Roman"/>
          <w:highlight w:val="none"/>
        </w:rPr>
        <w:t>环境影响评价</w:t>
      </w:r>
      <w:bookmarkEnd w:id="21"/>
      <w:r>
        <w:rPr>
          <w:rFonts w:hint="eastAsia" w:ascii="Times New Roman" w:hAnsi="Times New Roman" w:eastAsia="宋体" w:cs="Times New Roman"/>
          <w:highlight w:val="none"/>
          <w:lang w:val="en-US" w:eastAsia="zh-CN"/>
        </w:rPr>
        <w:t>工作程序</w:t>
      </w:r>
      <w:bookmarkEnd w:id="22"/>
    </w:p>
    <w:p w14:paraId="41E1E544">
      <w:pPr>
        <w:pStyle w:val="2"/>
        <w:widowControl/>
        <w:bidi w:val="0"/>
        <w:snapToGrid w:val="0"/>
        <w:spacing w:before="0" w:after="0" w:line="360" w:lineRule="auto"/>
        <w:ind w:left="0" w:leftChars="0" w:right="0" w:firstLine="468" w:firstLineChars="200"/>
        <w:jc w:val="both"/>
        <w:rPr>
          <w:rFonts w:ascii="宋体" w:hAnsi="宋体" w:eastAsia="宋体" w:cs="宋体"/>
          <w:snapToGrid w:val="0"/>
          <w:color w:val="000000"/>
          <w:spacing w:val="-3"/>
          <w:kern w:val="0"/>
          <w:sz w:val="24"/>
          <w:szCs w:val="24"/>
          <w:highlight w:val="none"/>
          <w:lang w:val="en-US" w:eastAsia="en-US" w:bidi="ar-SA"/>
        </w:rPr>
      </w:pPr>
      <w:r>
        <w:rPr>
          <w:rFonts w:ascii="宋体" w:hAnsi="宋体" w:eastAsia="宋体" w:cs="宋体"/>
          <w:snapToGrid w:val="0"/>
          <w:color w:val="000000"/>
          <w:spacing w:val="-3"/>
          <w:kern w:val="0"/>
          <w:sz w:val="24"/>
          <w:szCs w:val="24"/>
          <w:highlight w:val="none"/>
          <w:lang w:val="en-US" w:eastAsia="en-US" w:bidi="ar-SA"/>
        </w:rPr>
        <w:t>本次环境影响评价工作分为三个阶段，第一阶段的主要工作为前期准备、调研。具体工作内容是研究国家和地方有关环境保护的法律法规、政策、标准及相关规划，并在此基础上进行环境影响因素的识别与评价因子筛选，明确评价工作的重点和环境保护目标，确定大气、水、噪声、土壤等专项评价的工作等级、评价范围和评价基础，制定本次评价的工作方案；第二阶段的工作是根据评价工作方案完成评价范围内的环境状况的调查、监测和建设项目的工程分析，在此基础上对各环境要素进行环境影响预测与评价； 第三阶段的工作是提出环境保护措施，进行技术经济论证，给出建设项目环境可行性的评价结论，最终完成环境影响报告书的编制。评价过程见评价工作程序图。</w:t>
      </w:r>
    </w:p>
    <w:p w14:paraId="3390D78B">
      <w:pPr>
        <w:pStyle w:val="2"/>
        <w:widowControl/>
        <w:bidi w:val="0"/>
        <w:snapToGrid w:val="0"/>
        <w:spacing w:before="0" w:after="0" w:line="240" w:lineRule="auto"/>
        <w:ind w:left="0" w:leftChars="0" w:right="0" w:firstLine="0" w:firstLineChars="0"/>
        <w:jc w:val="center"/>
        <w:rPr>
          <w:rFonts w:hint="eastAsia" w:ascii="宋体" w:hAnsi="宋体" w:eastAsia="宋体" w:cs="宋体"/>
          <w:snapToGrid w:val="0"/>
          <w:color w:val="000000"/>
          <w:spacing w:val="-3"/>
          <w:kern w:val="0"/>
          <w:sz w:val="24"/>
          <w:szCs w:val="24"/>
          <w:highlight w:val="none"/>
          <w:lang w:val="en-US" w:eastAsia="zh-CN" w:bidi="ar-SA"/>
        </w:rPr>
      </w:pPr>
      <w:r>
        <w:rPr>
          <w:rFonts w:hint="eastAsia" w:ascii="宋体" w:hAnsi="宋体" w:eastAsia="宋体" w:cs="宋体"/>
          <w:snapToGrid w:val="0"/>
          <w:color w:val="000000"/>
          <w:spacing w:val="-3"/>
          <w:kern w:val="0"/>
          <w:sz w:val="24"/>
          <w:szCs w:val="24"/>
          <w:highlight w:val="none"/>
          <w:lang w:val="en-US" w:eastAsia="zh-CN" w:bidi="ar-SA"/>
        </w:rPr>
        <w:drawing>
          <wp:inline distT="0" distB="0" distL="114300" distR="114300">
            <wp:extent cx="5364480" cy="5110480"/>
            <wp:effectExtent l="0" t="0" r="7620" b="13970"/>
            <wp:docPr id="3" name="图片 3" descr="870e93d51ba92b5a9a57a6c72349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0e93d51ba92b5a9a57a6c723492ed"/>
                    <pic:cNvPicPr>
                      <a:picLocks noChangeAspect="1"/>
                    </pic:cNvPicPr>
                  </pic:nvPicPr>
                  <pic:blipFill>
                    <a:blip r:embed="rId14"/>
                    <a:stretch>
                      <a:fillRect/>
                    </a:stretch>
                  </pic:blipFill>
                  <pic:spPr>
                    <a:xfrm>
                      <a:off x="0" y="0"/>
                      <a:ext cx="5364480" cy="5110480"/>
                    </a:xfrm>
                    <a:prstGeom prst="rect">
                      <a:avLst/>
                    </a:prstGeom>
                  </pic:spPr>
                </pic:pic>
              </a:graphicData>
            </a:graphic>
          </wp:inline>
        </w:drawing>
      </w:r>
    </w:p>
    <w:p w14:paraId="76B7A6E4">
      <w:pPr>
        <w:spacing w:before="181" w:line="218" w:lineRule="auto"/>
        <w:ind w:left="1963"/>
        <w:rPr>
          <w:rFonts w:ascii="宋体" w:hAnsi="宋体" w:eastAsia="宋体" w:cs="宋体"/>
          <w:sz w:val="24"/>
          <w:szCs w:val="24"/>
          <w:highlight w:val="none"/>
        </w:rPr>
      </w:pPr>
      <w:r>
        <w:rPr>
          <w:rFonts w:ascii="宋体" w:hAnsi="宋体" w:eastAsia="宋体" w:cs="宋体"/>
          <w:b/>
          <w:bCs/>
          <w:spacing w:val="-4"/>
          <w:sz w:val="24"/>
          <w:szCs w:val="24"/>
          <w:highlight w:val="none"/>
        </w:rPr>
        <w:t>图</w:t>
      </w:r>
      <w:r>
        <w:rPr>
          <w:rFonts w:ascii="宋体" w:hAnsi="宋体" w:eastAsia="宋体" w:cs="宋体"/>
          <w:spacing w:val="-35"/>
          <w:sz w:val="24"/>
          <w:szCs w:val="24"/>
          <w:highlight w:val="none"/>
        </w:rPr>
        <w:t xml:space="preserve"> </w:t>
      </w:r>
      <w:r>
        <w:rPr>
          <w:rFonts w:ascii="Times New Roman" w:hAnsi="Times New Roman" w:eastAsia="Times New Roman" w:cs="Times New Roman"/>
          <w:b/>
          <w:bCs/>
          <w:spacing w:val="-4"/>
          <w:sz w:val="24"/>
          <w:szCs w:val="24"/>
          <w:highlight w:val="none"/>
        </w:rPr>
        <w:t>1.</w:t>
      </w:r>
      <w:r>
        <w:rPr>
          <w:rFonts w:hint="eastAsia" w:ascii="Times New Roman" w:hAnsi="Times New Roman" w:eastAsia="宋体" w:cs="Times New Roman"/>
          <w:b/>
          <w:bCs/>
          <w:spacing w:val="-4"/>
          <w:sz w:val="24"/>
          <w:szCs w:val="24"/>
          <w:highlight w:val="none"/>
          <w:lang w:val="en-US" w:eastAsia="zh-CN"/>
        </w:rPr>
        <w:t>4</w:t>
      </w:r>
      <w:r>
        <w:rPr>
          <w:rFonts w:ascii="Times New Roman" w:hAnsi="Times New Roman" w:eastAsia="Times New Roman" w:cs="Times New Roman"/>
          <w:b/>
          <w:bCs/>
          <w:spacing w:val="-4"/>
          <w:sz w:val="24"/>
          <w:szCs w:val="24"/>
          <w:highlight w:val="none"/>
        </w:rPr>
        <w:t xml:space="preserve">-1 </w:t>
      </w:r>
      <w:r>
        <w:rPr>
          <w:rFonts w:ascii="宋体" w:hAnsi="宋体" w:eastAsia="宋体" w:cs="宋体"/>
          <w:b/>
          <w:bCs/>
          <w:spacing w:val="-4"/>
          <w:sz w:val="24"/>
          <w:szCs w:val="24"/>
          <w:highlight w:val="none"/>
        </w:rPr>
        <w:t>建设项目环境影响评价工作程序图</w:t>
      </w:r>
    </w:p>
    <w:p w14:paraId="39C7FEA2">
      <w:pPr>
        <w:pStyle w:val="6"/>
        <w:bidi w:val="0"/>
        <w:rPr>
          <w:rFonts w:hint="eastAsia" w:ascii="Times New Roman" w:hAnsi="Times New Roman" w:eastAsia="宋体" w:cs="Times New Roman"/>
          <w:highlight w:val="none"/>
        </w:rPr>
      </w:pPr>
      <w:bookmarkStart w:id="23" w:name="_Toc22323"/>
      <w:r>
        <w:rPr>
          <w:rFonts w:hint="eastAsia" w:ascii="Times New Roman" w:hAnsi="Times New Roman" w:eastAsia="宋体" w:cs="Times New Roman"/>
          <w:highlight w:val="none"/>
        </w:rPr>
        <w:t>1.</w:t>
      </w:r>
      <w:r>
        <w:rPr>
          <w:rFonts w:hint="eastAsia" w:cs="Times New Roman"/>
          <w:highlight w:val="none"/>
          <w:lang w:val="en-US" w:eastAsia="zh-CN"/>
        </w:rPr>
        <w:t>4</w:t>
      </w:r>
      <w:r>
        <w:rPr>
          <w:rFonts w:hint="eastAsia" w:ascii="Times New Roman" w:hAnsi="Times New Roman" w:eastAsia="宋体" w:cs="Times New Roman"/>
          <w:highlight w:val="none"/>
        </w:rPr>
        <w:t xml:space="preserve"> 分析判断相关情况</w:t>
      </w:r>
      <w:bookmarkEnd w:id="23"/>
    </w:p>
    <w:p w14:paraId="0733D604">
      <w:pPr>
        <w:pStyle w:val="7"/>
        <w:bidi w:val="0"/>
        <w:rPr>
          <w:rFonts w:hint="default"/>
          <w:highlight w:val="none"/>
        </w:rPr>
      </w:pPr>
      <w:bookmarkStart w:id="24" w:name="_Toc16232"/>
      <w:r>
        <w:rPr>
          <w:rFonts w:hint="eastAsia"/>
          <w:highlight w:val="none"/>
          <w:lang w:val="en-US" w:eastAsia="zh-CN"/>
        </w:rPr>
        <w:t>1.4.1</w:t>
      </w:r>
      <w:r>
        <w:rPr>
          <w:rFonts w:hint="default"/>
          <w:highlight w:val="none"/>
        </w:rPr>
        <w:t>产业政策的相符性分析</w:t>
      </w:r>
      <w:bookmarkEnd w:id="24"/>
    </w:p>
    <w:p w14:paraId="59008E66">
      <w:pPr>
        <w:pStyle w:val="9"/>
        <w:numPr>
          <w:ilvl w:val="0"/>
          <w:numId w:val="0"/>
        </w:numPr>
        <w:rPr>
          <w:rFonts w:hint="eastAsia" w:eastAsia="宋体" w:cs="Times New Roman"/>
          <w:color w:val="000000"/>
          <w:kern w:val="0"/>
          <w:sz w:val="24"/>
          <w:szCs w:val="24"/>
          <w:highlight w:val="none"/>
          <w:lang w:val="en-US" w:eastAsia="zh-CN" w:bidi="ar"/>
        </w:rPr>
      </w:pPr>
      <w:r>
        <w:rPr>
          <w:rFonts w:hint="default" w:ascii="Times New Roman" w:hAnsi="Times New Roman" w:eastAsia="宋体" w:cs="Times New Roman"/>
          <w:color w:val="auto"/>
          <w:highlight w:val="none"/>
          <w:u w:val="none" w:color="auto"/>
          <w:lang w:val="en-US" w:eastAsia="zh-CN"/>
        </w:rPr>
        <w:t>（1）产业政策符合性分析</w:t>
      </w:r>
    </w:p>
    <w:p w14:paraId="34A14728">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color w:val="000000"/>
          <w:kern w:val="0"/>
          <w:sz w:val="24"/>
          <w:szCs w:val="24"/>
          <w:highlight w:val="none"/>
          <w:lang w:val="en-US" w:eastAsia="zh-CN" w:bidi="ar"/>
        </w:rPr>
      </w:pPr>
      <w:r>
        <w:rPr>
          <w:rFonts w:hint="eastAsia" w:eastAsia="宋体" w:cs="Times New Roman"/>
          <w:color w:val="000000"/>
          <w:kern w:val="0"/>
          <w:sz w:val="24"/>
          <w:szCs w:val="24"/>
          <w:highlight w:val="none"/>
          <w:lang w:val="en-US" w:eastAsia="zh-CN" w:bidi="ar"/>
        </w:rPr>
        <w:t>本</w:t>
      </w:r>
      <w:r>
        <w:rPr>
          <w:rFonts w:hint="eastAsia" w:ascii="Times New Roman" w:hAnsi="Times New Roman" w:eastAsia="宋体" w:cs="Times New Roman"/>
          <w:color w:val="000000"/>
          <w:kern w:val="0"/>
          <w:sz w:val="24"/>
          <w:szCs w:val="24"/>
          <w:highlight w:val="none"/>
          <w:lang w:val="en-US" w:eastAsia="zh-CN" w:bidi="ar"/>
        </w:rPr>
        <w:t>项目已于</w:t>
      </w:r>
      <w:r>
        <w:rPr>
          <w:rFonts w:hint="default" w:ascii="Times New Roman" w:hAnsi="Times New Roman" w:eastAsia="宋体" w:cs="Times New Roman"/>
          <w:color w:val="000000"/>
          <w:kern w:val="0"/>
          <w:sz w:val="24"/>
          <w:szCs w:val="24"/>
          <w:highlight w:val="none"/>
          <w:lang w:val="en-US" w:eastAsia="zh-CN" w:bidi="ar"/>
        </w:rPr>
        <w:t>2025</w:t>
      </w:r>
      <w:r>
        <w:rPr>
          <w:rFonts w:hint="eastAsia" w:ascii="Times New Roman" w:hAnsi="Times New Roman" w:eastAsia="宋体" w:cs="Times New Roman"/>
          <w:color w:val="000000"/>
          <w:kern w:val="0"/>
          <w:sz w:val="24"/>
          <w:szCs w:val="24"/>
          <w:highlight w:val="none"/>
          <w:lang w:val="en-US" w:eastAsia="zh-CN" w:bidi="ar"/>
        </w:rPr>
        <w:t>年</w:t>
      </w:r>
      <w:r>
        <w:rPr>
          <w:rFonts w:hint="default" w:ascii="Times New Roman" w:hAnsi="Times New Roman" w:eastAsia="宋体" w:cs="Times New Roman"/>
          <w:color w:val="000000"/>
          <w:kern w:val="0"/>
          <w:sz w:val="24"/>
          <w:szCs w:val="24"/>
          <w:highlight w:val="none"/>
          <w:lang w:val="en-US" w:eastAsia="zh-CN" w:bidi="ar"/>
        </w:rPr>
        <w:t>3</w:t>
      </w:r>
      <w:r>
        <w:rPr>
          <w:rFonts w:hint="eastAsia" w:ascii="Times New Roman" w:hAnsi="Times New Roman" w:eastAsia="宋体" w:cs="Times New Roman"/>
          <w:color w:val="000000"/>
          <w:kern w:val="0"/>
          <w:sz w:val="24"/>
          <w:szCs w:val="24"/>
          <w:highlight w:val="none"/>
          <w:lang w:val="en-US" w:eastAsia="zh-CN" w:bidi="ar"/>
        </w:rPr>
        <w:t>月</w:t>
      </w:r>
      <w:r>
        <w:rPr>
          <w:rFonts w:hint="default" w:ascii="Times New Roman" w:hAnsi="Times New Roman" w:eastAsia="宋体" w:cs="Times New Roman"/>
          <w:color w:val="000000"/>
          <w:kern w:val="0"/>
          <w:sz w:val="24"/>
          <w:szCs w:val="24"/>
          <w:highlight w:val="none"/>
          <w:lang w:val="en-US" w:eastAsia="zh-CN" w:bidi="ar"/>
        </w:rPr>
        <w:t>7</w:t>
      </w:r>
      <w:r>
        <w:rPr>
          <w:rFonts w:hint="eastAsia" w:ascii="Times New Roman" w:hAnsi="Times New Roman" w:eastAsia="宋体" w:cs="Times New Roman"/>
          <w:color w:val="000000"/>
          <w:kern w:val="0"/>
          <w:sz w:val="24"/>
          <w:szCs w:val="24"/>
          <w:highlight w:val="none"/>
          <w:lang w:val="en-US" w:eastAsia="zh-CN" w:bidi="ar"/>
        </w:rPr>
        <w:t xml:space="preserve">日在湖南省投资项目在线审批监管平台备案 ，项目代码： </w:t>
      </w:r>
      <w:r>
        <w:rPr>
          <w:rFonts w:hint="default" w:ascii="Times New Roman" w:hAnsi="Times New Roman" w:eastAsia="宋体" w:cs="Times New Roman"/>
          <w:color w:val="000000"/>
          <w:kern w:val="0"/>
          <w:sz w:val="24"/>
          <w:szCs w:val="24"/>
          <w:highlight w:val="none"/>
          <w:lang w:val="en-US" w:eastAsia="zh-CN" w:bidi="ar"/>
        </w:rPr>
        <w:t>2503 - 430621- 04 - 01 - 916967</w:t>
      </w:r>
      <w:r>
        <w:rPr>
          <w:rFonts w:hint="eastAsia" w:eastAsia="宋体" w:cs="Times New Roman"/>
          <w:color w:val="000000"/>
          <w:kern w:val="0"/>
          <w:sz w:val="24"/>
          <w:szCs w:val="24"/>
          <w:highlight w:val="none"/>
          <w:lang w:val="en-US" w:eastAsia="zh-CN" w:bidi="ar"/>
        </w:rPr>
        <w:t>。</w:t>
      </w:r>
    </w:p>
    <w:p w14:paraId="2264FD3D">
      <w:pPr>
        <w:keepNext w:val="0"/>
        <w:keepLines w:val="0"/>
        <w:pageBreakBefore w:val="0"/>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本项目属于纺织方面的复配生物酶制剂及酶制剂助剂应用项目，</w:t>
      </w:r>
      <w:r>
        <w:rPr>
          <w:rFonts w:hint="default" w:ascii="Times New Roman" w:hAnsi="Times New Roman" w:eastAsia="宋体" w:cs="Times New Roman"/>
          <w:color w:val="000000"/>
          <w:kern w:val="0"/>
          <w:sz w:val="24"/>
          <w:szCs w:val="24"/>
          <w:highlight w:val="none"/>
          <w:lang w:val="en-US" w:eastAsia="zh-CN" w:bidi="ar"/>
        </w:rPr>
        <w:t>根据《国民经济行业分类》（GB/T4754-2017），本项目属于</w:t>
      </w:r>
      <w:r>
        <w:rPr>
          <w:rFonts w:hint="eastAsia" w:ascii="Times New Roman" w:hAnsi="Times New Roman" w:eastAsia="宋体" w:cs="Times New Roman"/>
          <w:color w:val="000000"/>
          <w:kern w:val="0"/>
          <w:sz w:val="24"/>
          <w:szCs w:val="24"/>
          <w:highlight w:val="none"/>
          <w:lang w:val="en-US" w:eastAsia="zh-CN" w:bidi="ar"/>
        </w:rPr>
        <w:t>C2661化学试剂和助剂制造和C2662专项化学用品制造</w:t>
      </w:r>
      <w:r>
        <w:rPr>
          <w:rFonts w:hint="eastAsia" w:eastAsia="宋体" w:cs="Times New Roman"/>
          <w:color w:val="000000"/>
          <w:kern w:val="0"/>
          <w:sz w:val="24"/>
          <w:szCs w:val="24"/>
          <w:highlight w:val="none"/>
          <w:lang w:val="en-US" w:eastAsia="zh-CN" w:bidi="ar"/>
        </w:rPr>
        <w:t>。本项目生产的纺织用酶制剂符合</w:t>
      </w:r>
      <w:r>
        <w:rPr>
          <w:rFonts w:hint="default" w:ascii="Times New Roman" w:hAnsi="Times New Roman" w:eastAsia="宋体" w:cs="Times New Roman"/>
          <w:color w:val="000000"/>
          <w:kern w:val="0"/>
          <w:sz w:val="24"/>
          <w:szCs w:val="24"/>
          <w:highlight w:val="none"/>
          <w:lang w:val="en-US" w:eastAsia="zh-CN" w:bidi="ar"/>
        </w:rPr>
        <w:t>《产业结构调整指导目录》（2024 年本）</w:t>
      </w:r>
      <w:r>
        <w:rPr>
          <w:rFonts w:hint="eastAsia"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sz w:val="24"/>
          <w:szCs w:val="24"/>
          <w:highlight w:val="none"/>
        </w:rPr>
        <w:t>本项目不属于限制、淘汰类建设项目范围。因此，项目的建设符合国家现行产业政策。</w:t>
      </w:r>
    </w:p>
    <w:p w14:paraId="38E31299">
      <w:pPr>
        <w:ind w:firstLine="480" w:firstLineChars="200"/>
        <w:rPr>
          <w:rFonts w:hint="eastAsia"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根据《市场准入负面清单(2022 年版)》，本项目不属于禁止准入类、也不属于许可准入类中的禁止事项</w:t>
      </w:r>
      <w:r>
        <w:rPr>
          <w:rFonts w:hint="eastAsia" w:eastAsia="宋体" w:cs="Times New Roman"/>
          <w:color w:val="000000"/>
          <w:kern w:val="0"/>
          <w:sz w:val="24"/>
          <w:szCs w:val="24"/>
          <w:highlight w:val="none"/>
          <w:lang w:val="en-US" w:eastAsia="zh-CN" w:bidi="ar"/>
        </w:rPr>
        <w:t>。</w:t>
      </w:r>
    </w:p>
    <w:p w14:paraId="630E20CF">
      <w:pPr>
        <w:keepNext w:val="0"/>
        <w:keepLines w:val="0"/>
        <w:pageBreakBefore w:val="0"/>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因此，项目的建设符合国家产业政策的相关规定。</w:t>
      </w:r>
    </w:p>
    <w:p w14:paraId="5061FA2F">
      <w:pPr>
        <w:pStyle w:val="9"/>
        <w:numPr>
          <w:ilvl w:val="0"/>
          <w:numId w:val="1"/>
        </w:numPr>
        <w:rPr>
          <w:rFonts w:hint="eastAsia" w:ascii="Times New Roman" w:hAnsi="Times New Roman" w:eastAsia="宋体" w:cs="Times New Roman"/>
          <w:color w:val="auto"/>
          <w:highlight w:val="none"/>
          <w:u w:val="none" w:color="auto"/>
          <w:lang w:val="en-US" w:eastAsia="zh-CN"/>
        </w:rPr>
      </w:pPr>
      <w:bookmarkStart w:id="25" w:name="_Toc463"/>
      <w:r>
        <w:rPr>
          <w:rFonts w:hint="eastAsia" w:ascii="Times New Roman" w:hAnsi="Times New Roman" w:eastAsia="宋体" w:cs="Times New Roman"/>
          <w:color w:val="auto"/>
          <w:highlight w:val="none"/>
          <w:u w:val="none" w:color="auto"/>
          <w:lang w:val="en-US" w:eastAsia="zh-CN"/>
        </w:rPr>
        <w:t>与《关于加强高耗能、高排放建设项目生态环境源头防控的指导意见》（环环评〔2021〕45号）符合性分析</w:t>
      </w:r>
    </w:p>
    <w:p w14:paraId="1324C928">
      <w:pPr>
        <w:keepNext w:val="0"/>
        <w:keepLines w:val="0"/>
        <w:pageBreakBefore w:val="0"/>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关于加强高耗能、高排放建设项目生态环境源头防控的指导意见》（环环评〔2021〕45号）：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p w14:paraId="11B300A1">
      <w:pPr>
        <w:keepNext w:val="0"/>
        <w:keepLines w:val="0"/>
        <w:pageBreakBefore w:val="0"/>
        <w:kinsoku/>
        <w:wordWrap/>
        <w:overflowPunct/>
        <w:topLinePunct w:val="0"/>
        <w:autoSpaceDE/>
        <w:autoSpaceDN/>
        <w:bidi w:val="0"/>
        <w:adjustRightInd/>
        <w:snapToGrid/>
        <w:jc w:val="both"/>
        <w:textAlignment w:val="auto"/>
        <w:outlineLvl w:val="9"/>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对照《湖南省“两高”项目管理目录》可知，本项目属于C2661化学试剂和助剂制造和C2662专项化学用品制造，不属于“两高”项目中的化工类无机酸制造、无机碱制造、无机盐制造项目，不涉及烧碱、纯碱、工业硫酸、黄磷、合成氰、尿素、磷铵、电石、聚氮乙烯、聚丙烯、精对苯二甲酸、对二甲苯、苯乙烯、乙酸乙烯酯、二苯基甲烷二异氰酸酯、1.4-丁二醇等产品及工序。因此本项目符合《关于加强高耗能、高排放建设项目生态环境源头防控的指导意见》的相关规定。</w:t>
      </w:r>
    </w:p>
    <w:p w14:paraId="525A5C46">
      <w:pPr>
        <w:pStyle w:val="7"/>
        <w:bidi w:val="0"/>
        <w:rPr>
          <w:rFonts w:hint="default"/>
          <w:highlight w:val="none"/>
        </w:rPr>
      </w:pPr>
      <w:r>
        <w:rPr>
          <w:rFonts w:hint="eastAsia"/>
          <w:highlight w:val="none"/>
          <w:lang w:val="en-US" w:eastAsia="zh-CN"/>
        </w:rPr>
        <w:t>1.4.2</w:t>
      </w:r>
      <w:r>
        <w:rPr>
          <w:rFonts w:hint="default"/>
          <w:highlight w:val="none"/>
        </w:rPr>
        <w:t>规划符合性分析</w:t>
      </w:r>
      <w:bookmarkEnd w:id="25"/>
    </w:p>
    <w:p w14:paraId="52F082FA">
      <w:pPr>
        <w:pStyle w:val="21"/>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leftChars="0" w:firstLine="462" w:firstLineChars="200"/>
        <w:jc w:val="both"/>
        <w:textAlignment w:val="auto"/>
        <w:rPr>
          <w:rFonts w:hint="default" w:ascii="Times New Roman" w:hAnsi="Times New Roman" w:eastAsia="宋体" w:cs="Times New Roman"/>
          <w:b/>
          <w:bCs/>
          <w:spacing w:val="-5"/>
          <w:kern w:val="2"/>
          <w:sz w:val="24"/>
          <w:szCs w:val="24"/>
          <w:highlight w:val="none"/>
          <w:lang w:val="en-US" w:eastAsia="zh-CN" w:bidi="ar-SA"/>
        </w:rPr>
      </w:pPr>
      <w:r>
        <w:rPr>
          <w:rFonts w:hint="eastAsia" w:ascii="Times New Roman" w:hAnsi="Times New Roman" w:eastAsia="宋体" w:cs="Times New Roman"/>
          <w:b/>
          <w:bCs/>
          <w:spacing w:val="-5"/>
          <w:kern w:val="2"/>
          <w:sz w:val="24"/>
          <w:szCs w:val="24"/>
          <w:highlight w:val="none"/>
          <w:lang w:val="en-US" w:eastAsia="zh-CN" w:bidi="ar-SA"/>
        </w:rPr>
        <w:t>1、</w:t>
      </w:r>
      <w:r>
        <w:rPr>
          <w:rFonts w:hint="default" w:ascii="Times New Roman" w:hAnsi="Times New Roman" w:eastAsia="宋体" w:cs="Times New Roman"/>
          <w:b/>
          <w:bCs/>
          <w:spacing w:val="-5"/>
          <w:kern w:val="2"/>
          <w:sz w:val="24"/>
          <w:szCs w:val="24"/>
          <w:highlight w:val="none"/>
          <w:lang w:val="en-US" w:eastAsia="zh-CN" w:bidi="ar-SA"/>
        </w:rPr>
        <w:t>与岳阳高新技术产业园规划相符性分析</w:t>
      </w:r>
    </w:p>
    <w:p w14:paraId="708E18B9">
      <w:pPr>
        <w:keepNext w:val="0"/>
        <w:keepLines w:val="0"/>
        <w:pageBreakBefore w:val="0"/>
        <w:widowControl w:val="0"/>
        <w:kinsoku/>
        <w:wordWrap/>
        <w:overflowPunct/>
        <w:topLinePunct w:val="0"/>
        <w:autoSpaceDE/>
        <w:autoSpaceDN/>
        <w:bidi w:val="0"/>
        <w:adjustRightInd/>
        <w:snapToGrid/>
        <w:spacing w:line="360" w:lineRule="auto"/>
        <w:ind w:left="0" w:right="0" w:firstLine="484"/>
        <w:jc w:val="both"/>
        <w:textAlignment w:val="auto"/>
        <w:rPr>
          <w:rFonts w:ascii="宋体" w:hAnsi="宋体" w:eastAsia="宋体" w:cs="宋体"/>
          <w:sz w:val="24"/>
          <w:szCs w:val="24"/>
          <w:highlight w:val="none"/>
        </w:rPr>
      </w:pPr>
      <w:r>
        <w:rPr>
          <w:rFonts w:ascii="宋体" w:hAnsi="宋体" w:eastAsia="宋体" w:cs="宋体"/>
          <w:spacing w:val="5"/>
          <w:sz w:val="24"/>
          <w:szCs w:val="24"/>
          <w:highlight w:val="none"/>
        </w:rPr>
        <w:t>岳阳高新技术产业园区位于岳阳县城区东部，前身为岳阳县生态产业园，</w:t>
      </w:r>
      <w:r>
        <w:rPr>
          <w:rFonts w:ascii="宋体" w:hAnsi="宋体" w:eastAsia="宋体" w:cs="宋体"/>
          <w:spacing w:val="9"/>
          <w:sz w:val="24"/>
          <w:szCs w:val="24"/>
          <w:highlight w:val="none"/>
        </w:rPr>
        <w:t xml:space="preserve"> </w:t>
      </w:r>
      <w:r>
        <w:rPr>
          <w:rFonts w:ascii="Times New Roman" w:hAnsi="Times New Roman" w:eastAsia="Times New Roman" w:cs="Times New Roman"/>
          <w:spacing w:val="3"/>
          <w:sz w:val="24"/>
          <w:szCs w:val="24"/>
          <w:highlight w:val="none"/>
        </w:rPr>
        <w:t>2012</w:t>
      </w:r>
      <w:r>
        <w:rPr>
          <w:rFonts w:ascii="宋体" w:hAnsi="宋体" w:eastAsia="宋体" w:cs="宋体"/>
          <w:spacing w:val="3"/>
          <w:sz w:val="24"/>
          <w:szCs w:val="24"/>
          <w:highlight w:val="none"/>
        </w:rPr>
        <w:t>年经湖南省人民政府批准成为县级工</w:t>
      </w:r>
      <w:r>
        <w:rPr>
          <w:rFonts w:ascii="宋体" w:hAnsi="宋体" w:eastAsia="宋体" w:cs="宋体"/>
          <w:spacing w:val="2"/>
          <w:sz w:val="24"/>
          <w:szCs w:val="24"/>
          <w:highlight w:val="none"/>
        </w:rPr>
        <w:t>业集中区（湘政办函</w:t>
      </w:r>
      <w:r>
        <w:rPr>
          <w:rFonts w:ascii="Times New Roman" w:hAnsi="Times New Roman" w:eastAsia="Times New Roman" w:cs="Times New Roman"/>
          <w:spacing w:val="2"/>
          <w:sz w:val="24"/>
          <w:szCs w:val="24"/>
          <w:highlight w:val="none"/>
        </w:rPr>
        <w:t>[2012]187</w:t>
      </w:r>
      <w:r>
        <w:rPr>
          <w:rFonts w:ascii="宋体" w:hAnsi="宋体" w:eastAsia="宋体" w:cs="宋体"/>
          <w:spacing w:val="2"/>
          <w:sz w:val="24"/>
          <w:szCs w:val="24"/>
          <w:highlight w:val="none"/>
        </w:rPr>
        <w:t>号</w:t>
      </w:r>
      <w:r>
        <w:rPr>
          <w:rFonts w:ascii="宋体" w:hAnsi="宋体" w:eastAsia="宋体" w:cs="宋体"/>
          <w:spacing w:val="18"/>
          <w:sz w:val="24"/>
          <w:szCs w:val="24"/>
          <w:highlight w:val="none"/>
        </w:rPr>
        <w:t>），</w:t>
      </w:r>
      <w:r>
        <w:rPr>
          <w:rFonts w:ascii="宋体" w:hAnsi="宋体" w:eastAsia="宋体" w:cs="宋体"/>
          <w:sz w:val="24"/>
          <w:szCs w:val="24"/>
          <w:highlight w:val="none"/>
        </w:rPr>
        <w:t xml:space="preserve"> </w:t>
      </w:r>
      <w:r>
        <w:rPr>
          <w:rFonts w:ascii="Times New Roman" w:hAnsi="Times New Roman" w:eastAsia="Times New Roman" w:cs="Times New Roman"/>
          <w:spacing w:val="-1"/>
          <w:sz w:val="24"/>
          <w:szCs w:val="24"/>
          <w:highlight w:val="none"/>
        </w:rPr>
        <w:t>2012</w:t>
      </w:r>
      <w:r>
        <w:rPr>
          <w:rFonts w:ascii="宋体" w:hAnsi="宋体" w:eastAsia="宋体" w:cs="宋体"/>
          <w:spacing w:val="-1"/>
          <w:sz w:val="24"/>
          <w:szCs w:val="24"/>
          <w:highlight w:val="none"/>
        </w:rPr>
        <w:t>年园区规划环评获得原湖南省环境保护厅批复（湘环评</w:t>
      </w:r>
      <w:r>
        <w:rPr>
          <w:rFonts w:ascii="Times New Roman" w:hAnsi="Times New Roman" w:eastAsia="Times New Roman" w:cs="Times New Roman"/>
          <w:spacing w:val="-2"/>
          <w:sz w:val="24"/>
          <w:szCs w:val="24"/>
          <w:highlight w:val="none"/>
        </w:rPr>
        <w:t>[2012]281</w:t>
      </w:r>
      <w:r>
        <w:rPr>
          <w:rFonts w:ascii="宋体" w:hAnsi="宋体" w:eastAsia="宋体" w:cs="宋体"/>
          <w:spacing w:val="-2"/>
          <w:sz w:val="24"/>
          <w:szCs w:val="24"/>
          <w:highlight w:val="none"/>
        </w:rPr>
        <w:t>号</w:t>
      </w:r>
      <w:r>
        <w:rPr>
          <w:rFonts w:ascii="宋体" w:hAnsi="宋体" w:eastAsia="宋体" w:cs="宋体"/>
          <w:spacing w:val="-40"/>
          <w:sz w:val="24"/>
          <w:szCs w:val="24"/>
          <w:highlight w:val="none"/>
        </w:rPr>
        <w:t>），</w:t>
      </w:r>
      <w:r>
        <w:rPr>
          <w:rFonts w:ascii="Times New Roman" w:hAnsi="Times New Roman" w:eastAsia="Times New Roman" w:cs="Times New Roman"/>
          <w:spacing w:val="-2"/>
          <w:sz w:val="24"/>
          <w:szCs w:val="24"/>
          <w:highlight w:val="none"/>
        </w:rPr>
        <w:t>2014</w:t>
      </w:r>
      <w:r>
        <w:rPr>
          <w:rFonts w:ascii="Times New Roman" w:hAnsi="Times New Roman" w:eastAsia="Times New Roman" w:cs="Times New Roman"/>
          <w:sz w:val="24"/>
          <w:szCs w:val="24"/>
          <w:highlight w:val="none"/>
        </w:rPr>
        <w:t xml:space="preserve">  </w:t>
      </w:r>
      <w:r>
        <w:rPr>
          <w:rFonts w:ascii="宋体" w:hAnsi="宋体" w:eastAsia="宋体" w:cs="宋体"/>
          <w:spacing w:val="3"/>
          <w:sz w:val="24"/>
          <w:szCs w:val="24"/>
          <w:highlight w:val="none"/>
        </w:rPr>
        <w:t>年园区调扩区规划环评获得原湖南省环境保护厅批复（</w:t>
      </w:r>
      <w:r>
        <w:rPr>
          <w:rFonts w:ascii="宋体" w:hAnsi="宋体" w:eastAsia="宋体" w:cs="宋体"/>
          <w:spacing w:val="2"/>
          <w:sz w:val="24"/>
          <w:szCs w:val="24"/>
          <w:highlight w:val="none"/>
        </w:rPr>
        <w:t>湘环评</w:t>
      </w:r>
      <w:r>
        <w:rPr>
          <w:rFonts w:ascii="Times New Roman" w:hAnsi="Times New Roman" w:eastAsia="Times New Roman" w:cs="Times New Roman"/>
          <w:spacing w:val="2"/>
          <w:sz w:val="24"/>
          <w:szCs w:val="24"/>
          <w:highlight w:val="none"/>
        </w:rPr>
        <w:t>[2014]127</w:t>
      </w:r>
      <w:r>
        <w:rPr>
          <w:rFonts w:ascii="宋体" w:hAnsi="宋体" w:eastAsia="宋体" w:cs="宋体"/>
          <w:spacing w:val="2"/>
          <w:sz w:val="24"/>
          <w:szCs w:val="24"/>
          <w:highlight w:val="none"/>
        </w:rPr>
        <w:t>号</w:t>
      </w:r>
      <w:r>
        <w:rPr>
          <w:rFonts w:ascii="宋体" w:hAnsi="宋体" w:eastAsia="宋体" w:cs="宋体"/>
          <w:spacing w:val="18"/>
          <w:sz w:val="24"/>
          <w:szCs w:val="24"/>
          <w:highlight w:val="none"/>
        </w:rPr>
        <w:t>），</w:t>
      </w:r>
      <w:r>
        <w:rPr>
          <w:rFonts w:ascii="宋体" w:hAnsi="宋体" w:eastAsia="宋体" w:cs="宋体"/>
          <w:sz w:val="24"/>
          <w:szCs w:val="24"/>
          <w:highlight w:val="none"/>
        </w:rPr>
        <w:t xml:space="preserve"> </w:t>
      </w:r>
      <w:r>
        <w:rPr>
          <w:rFonts w:ascii="Times New Roman" w:hAnsi="Times New Roman" w:eastAsia="Times New Roman" w:cs="Times New Roman"/>
          <w:spacing w:val="-2"/>
          <w:sz w:val="24"/>
          <w:szCs w:val="24"/>
          <w:highlight w:val="none"/>
        </w:rPr>
        <w:t>2015</w:t>
      </w:r>
      <w:r>
        <w:rPr>
          <w:rFonts w:ascii="宋体" w:hAnsi="宋体" w:eastAsia="宋体" w:cs="宋体"/>
          <w:spacing w:val="-2"/>
          <w:sz w:val="24"/>
          <w:szCs w:val="24"/>
          <w:highlight w:val="none"/>
        </w:rPr>
        <w:t>年经湖南省人民政府批准成为岳阳高新技术产业园区（湘政函</w:t>
      </w:r>
      <w:r>
        <w:rPr>
          <w:rFonts w:ascii="Times New Roman" w:hAnsi="Times New Roman" w:eastAsia="Times New Roman" w:cs="Times New Roman"/>
          <w:spacing w:val="-2"/>
          <w:sz w:val="24"/>
          <w:szCs w:val="24"/>
          <w:highlight w:val="none"/>
        </w:rPr>
        <w:t>[2015]81</w:t>
      </w:r>
      <w:r>
        <w:rPr>
          <w:rFonts w:ascii="宋体" w:hAnsi="宋体" w:eastAsia="宋体" w:cs="宋体"/>
          <w:spacing w:val="-2"/>
          <w:sz w:val="24"/>
          <w:szCs w:val="24"/>
          <w:highlight w:val="none"/>
        </w:rPr>
        <w:t>号</w:t>
      </w:r>
      <w:r>
        <w:rPr>
          <w:rFonts w:ascii="宋体" w:hAnsi="宋体" w:eastAsia="宋体" w:cs="宋体"/>
          <w:spacing w:val="-57"/>
          <w:sz w:val="24"/>
          <w:szCs w:val="24"/>
          <w:highlight w:val="none"/>
        </w:rPr>
        <w:t>），</w:t>
      </w:r>
      <w:r>
        <w:rPr>
          <w:rFonts w:ascii="宋体" w:hAnsi="宋体" w:eastAsia="宋体" w:cs="宋体"/>
          <w:sz w:val="24"/>
          <w:szCs w:val="24"/>
          <w:highlight w:val="none"/>
        </w:rPr>
        <w:t xml:space="preserve"> </w:t>
      </w:r>
      <w:r>
        <w:rPr>
          <w:rFonts w:ascii="Times New Roman" w:hAnsi="Times New Roman" w:eastAsia="Times New Roman" w:cs="Times New Roman"/>
          <w:sz w:val="24"/>
          <w:szCs w:val="24"/>
          <w:highlight w:val="none"/>
        </w:rPr>
        <w:t>2021</w:t>
      </w:r>
      <w:r>
        <w:rPr>
          <w:rFonts w:ascii="宋体" w:hAnsi="宋体" w:eastAsia="宋体" w:cs="宋体"/>
          <w:sz w:val="24"/>
          <w:szCs w:val="24"/>
          <w:highlight w:val="none"/>
        </w:rPr>
        <w:t>年园区调区扩区规划环评获得湖南省生态环境厅的</w:t>
      </w:r>
      <w:r>
        <w:rPr>
          <w:rFonts w:ascii="宋体" w:hAnsi="宋体" w:eastAsia="宋体" w:cs="宋体"/>
          <w:spacing w:val="-1"/>
          <w:sz w:val="24"/>
          <w:szCs w:val="24"/>
          <w:highlight w:val="none"/>
        </w:rPr>
        <w:t>批复（湘环评函</w:t>
      </w:r>
      <w:r>
        <w:rPr>
          <w:rFonts w:ascii="Times New Roman" w:hAnsi="Times New Roman" w:eastAsia="Times New Roman" w:cs="Times New Roman"/>
          <w:spacing w:val="-1"/>
          <w:sz w:val="24"/>
          <w:szCs w:val="24"/>
          <w:highlight w:val="none"/>
        </w:rPr>
        <w:t>[2021]40</w:t>
      </w:r>
      <w:r>
        <w:rPr>
          <w:rFonts w:ascii="Times New Roman" w:hAnsi="Times New Roman" w:eastAsia="Times New Roman" w:cs="Times New Roman"/>
          <w:sz w:val="24"/>
          <w:szCs w:val="24"/>
          <w:highlight w:val="none"/>
        </w:rPr>
        <w:t xml:space="preserve">  </w:t>
      </w:r>
      <w:r>
        <w:rPr>
          <w:rFonts w:ascii="宋体" w:hAnsi="宋体" w:eastAsia="宋体" w:cs="宋体"/>
          <w:spacing w:val="-2"/>
          <w:sz w:val="24"/>
          <w:szCs w:val="24"/>
          <w:highlight w:val="none"/>
        </w:rPr>
        <w:t>号）。</w:t>
      </w:r>
    </w:p>
    <w:p w14:paraId="42622F70">
      <w:pPr>
        <w:keepNext w:val="0"/>
        <w:keepLines w:val="0"/>
        <w:pageBreakBefore w:val="0"/>
        <w:widowControl w:val="0"/>
        <w:kinsoku/>
        <w:wordWrap/>
        <w:overflowPunct/>
        <w:topLinePunct w:val="0"/>
        <w:autoSpaceDE/>
        <w:autoSpaceDN/>
        <w:bidi w:val="0"/>
        <w:adjustRightInd/>
        <w:snapToGrid/>
        <w:spacing w:line="360" w:lineRule="auto"/>
        <w:ind w:left="0" w:right="0" w:firstLine="484"/>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rPr>
        <w:t>根据《岳阳高新技术产业园区调区扩区规划（2021-2025）环境影响报告书》 内容，本次调扩区后，岳阳高新技术产业园形成“一园两区”架构，具体为：主产业片区规划面积 727.75 公顷， 东至林科所－燎原村植山和方杨片一线，南至兴园村刘介章-燎原村植山和方杨片一线， 西至林冲路－武广高铁线，北至东方村易家组－城南大道线，主要发展生物医药、机械制造、新材料(主要包括生物基材料制造、结构性金属制品制造、数码耗材和耐火耐磨材料等) 。洪山洞产业片区规划面积 188.25 公顷，东至 107 国道西侧，南至长湖村李子角，西至长湖村千公塘，北至亚泰陶瓷公司北侧，主要发展建筑材料(主要包括陶瓷制品、水泥制品等)。</w:t>
      </w:r>
    </w:p>
    <w:p w14:paraId="61FBD15F">
      <w:pPr>
        <w:pStyle w:val="2"/>
        <w:keepNext w:val="0"/>
        <w:keepLines w:val="0"/>
        <w:pageBreakBefore w:val="0"/>
        <w:kinsoku/>
        <w:wordWrap/>
        <w:overflowPunct/>
        <w:topLinePunct w:val="0"/>
        <w:autoSpaceDE/>
        <w:autoSpaceDN/>
        <w:bidi w:val="0"/>
        <w:adjustRightInd/>
        <w:spacing w:before="0" w:after="0" w:line="360" w:lineRule="auto"/>
        <w:ind w:left="131" w:right="122" w:firstLine="481"/>
        <w:textAlignment w:val="auto"/>
        <w:rPr>
          <w:highlight w:val="none"/>
        </w:rPr>
      </w:pPr>
      <w:r>
        <w:rPr>
          <w:rFonts w:hint="default" w:ascii="Times New Roman" w:hAnsi="Times New Roman" w:eastAsia="宋体" w:cs="Times New Roman"/>
          <w:spacing w:val="-1"/>
          <w:kern w:val="2"/>
          <w:sz w:val="24"/>
          <w:szCs w:val="24"/>
          <w:highlight w:val="none"/>
          <w:lang w:val="en-US" w:eastAsia="zh-CN" w:bidi="ar-SA"/>
        </w:rPr>
        <w:t>本项目位于调扩区后的岳阳高新技术产业园主产业片区范围内，且属</w:t>
      </w:r>
      <w:r>
        <w:rPr>
          <w:rFonts w:hint="eastAsia" w:ascii="Times New Roman" w:hAnsi="Times New Roman" w:eastAsia="宋体" w:cs="Times New Roman"/>
          <w:color w:val="000000"/>
          <w:kern w:val="0"/>
          <w:sz w:val="24"/>
          <w:szCs w:val="24"/>
          <w:highlight w:val="none"/>
          <w:lang w:val="en-US" w:eastAsia="zh-CN" w:bidi="ar"/>
        </w:rPr>
        <w:t>于复配生物酶制剂及酶制剂助剂应用项目</w:t>
      </w:r>
      <w:r>
        <w:rPr>
          <w:rFonts w:hint="default" w:ascii="Times New Roman" w:hAnsi="Times New Roman" w:eastAsia="宋体" w:cs="Times New Roman"/>
          <w:spacing w:val="-1"/>
          <w:kern w:val="2"/>
          <w:sz w:val="24"/>
          <w:szCs w:val="24"/>
          <w:highlight w:val="none"/>
          <w:lang w:val="en-US" w:eastAsia="zh-CN" w:bidi="ar-SA"/>
        </w:rPr>
        <w:t>，符合岳阳县工业集中区的规划要求</w:t>
      </w:r>
      <w:r>
        <w:rPr>
          <w:spacing w:val="-1"/>
          <w:highlight w:val="none"/>
        </w:rPr>
        <w:t>。</w:t>
      </w:r>
    </w:p>
    <w:p w14:paraId="1ACA73C0">
      <w:pPr>
        <w:pStyle w:val="21"/>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leftChars="0" w:firstLine="462" w:firstLineChars="200"/>
        <w:jc w:val="both"/>
        <w:textAlignment w:val="auto"/>
        <w:rPr>
          <w:rFonts w:hint="eastAsia" w:ascii="Times New Roman" w:hAnsi="Times New Roman" w:eastAsia="宋体" w:cs="Times New Roman"/>
          <w:b/>
          <w:bCs/>
          <w:spacing w:val="-5"/>
          <w:kern w:val="2"/>
          <w:sz w:val="24"/>
          <w:szCs w:val="24"/>
          <w:highlight w:val="none"/>
          <w:lang w:val="en-US" w:eastAsia="zh-CN" w:bidi="ar-SA"/>
        </w:rPr>
      </w:pPr>
      <w:r>
        <w:rPr>
          <w:rFonts w:hint="eastAsia" w:ascii="Times New Roman" w:hAnsi="Times New Roman" w:eastAsia="宋体" w:cs="Times New Roman"/>
          <w:b/>
          <w:bCs/>
          <w:spacing w:val="-5"/>
          <w:kern w:val="2"/>
          <w:sz w:val="24"/>
          <w:szCs w:val="24"/>
          <w:highlight w:val="none"/>
          <w:lang w:val="en-US" w:eastAsia="zh-CN" w:bidi="ar-SA"/>
        </w:rPr>
        <w:t>2 、与岳阳高新技术产业园环境准入条件和负面清单相符性分析</w:t>
      </w:r>
    </w:p>
    <w:p w14:paraId="7D67A548">
      <w:pPr>
        <w:pStyle w:val="2"/>
        <w:keepNext w:val="0"/>
        <w:keepLines w:val="0"/>
        <w:pageBreakBefore w:val="0"/>
        <w:kinsoku/>
        <w:wordWrap/>
        <w:overflowPunct/>
        <w:topLinePunct w:val="0"/>
        <w:autoSpaceDE/>
        <w:autoSpaceDN/>
        <w:bidi w:val="0"/>
        <w:adjustRightInd/>
        <w:spacing w:before="0" w:after="0" w:line="360" w:lineRule="auto"/>
        <w:ind w:left="136" w:right="122" w:firstLine="476"/>
        <w:textAlignment w:val="auto"/>
        <w:rPr>
          <w:rFonts w:hint="default" w:ascii="Times New Roman" w:hAnsi="Times New Roman" w:eastAsia="宋体" w:cs="Times New Roman"/>
          <w:b/>
          <w:bCs/>
          <w:spacing w:val="-1"/>
          <w:kern w:val="2"/>
          <w:sz w:val="24"/>
          <w:szCs w:val="24"/>
          <w:highlight w:val="none"/>
          <w:lang w:val="en-US" w:eastAsia="zh-CN" w:bidi="ar-SA"/>
        </w:rPr>
      </w:pPr>
      <w:r>
        <w:rPr>
          <w:rFonts w:hint="default" w:ascii="Times New Roman" w:hAnsi="Times New Roman" w:eastAsia="宋体" w:cs="Times New Roman"/>
          <w:spacing w:val="-1"/>
          <w:kern w:val="2"/>
          <w:sz w:val="24"/>
          <w:szCs w:val="24"/>
          <w:highlight w:val="none"/>
          <w:lang w:val="en-US" w:eastAsia="zh-CN" w:bidi="ar-SA"/>
        </w:rPr>
        <w:t>根据《岳阳高新技术产业园区调区扩区规划（2020-2025）环境影响报告书》，本项目与园区主区准入负面清单相符性如下。</w:t>
      </w:r>
    </w:p>
    <w:p w14:paraId="5A955E3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both"/>
        <w:textAlignment w:val="auto"/>
        <w:rPr>
          <w:rFonts w:hint="default" w:ascii="Times New Roman" w:hAnsi="Times New Roman" w:eastAsia="宋体" w:cs="Times New Roman"/>
          <w:b/>
          <w:bCs/>
          <w:spacing w:val="-1"/>
          <w:kern w:val="2"/>
          <w:sz w:val="24"/>
          <w:szCs w:val="24"/>
          <w:highlight w:val="none"/>
          <w:lang w:val="en-US" w:eastAsia="zh-CN" w:bidi="ar-SA"/>
        </w:rPr>
      </w:pPr>
    </w:p>
    <w:p w14:paraId="062606D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rPr>
          <w:rFonts w:hint="default" w:ascii="Times New Roman" w:hAnsi="Times New Roman" w:eastAsia="宋体" w:cs="Times New Roman"/>
          <w:b/>
          <w:bCs/>
          <w:spacing w:val="-1"/>
          <w:kern w:val="2"/>
          <w:sz w:val="24"/>
          <w:szCs w:val="24"/>
          <w:highlight w:val="none"/>
          <w:lang w:val="en-US" w:eastAsia="zh-CN" w:bidi="ar-SA"/>
        </w:rPr>
      </w:pPr>
    </w:p>
    <w:p w14:paraId="34F67800">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rPr>
          <w:rFonts w:hint="default" w:ascii="Times New Roman" w:hAnsi="Times New Roman" w:eastAsia="宋体" w:cs="Times New Roman"/>
          <w:b/>
          <w:bCs/>
          <w:spacing w:val="-1"/>
          <w:kern w:val="2"/>
          <w:sz w:val="24"/>
          <w:szCs w:val="24"/>
          <w:highlight w:val="none"/>
          <w:lang w:val="en-US" w:eastAsia="zh-CN" w:bidi="ar-SA"/>
        </w:rPr>
      </w:pPr>
    </w:p>
    <w:p w14:paraId="2BC63BA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rPr>
          <w:rFonts w:hint="default" w:ascii="Times New Roman" w:hAnsi="Times New Roman" w:eastAsia="宋体" w:cs="Times New Roman"/>
          <w:b/>
          <w:bCs/>
          <w:spacing w:val="-1"/>
          <w:kern w:val="2"/>
          <w:sz w:val="24"/>
          <w:szCs w:val="24"/>
          <w:highlight w:val="none"/>
          <w:lang w:val="en-US" w:eastAsia="zh-CN" w:bidi="ar-SA"/>
        </w:rPr>
      </w:pPr>
    </w:p>
    <w:p w14:paraId="2B64BBFA">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rPr>
          <w:rFonts w:hint="default" w:ascii="Times New Roman" w:hAnsi="Times New Roman" w:eastAsia="宋体" w:cs="Times New Roman"/>
          <w:b/>
          <w:bCs/>
          <w:spacing w:val="-1"/>
          <w:kern w:val="2"/>
          <w:sz w:val="24"/>
          <w:szCs w:val="24"/>
          <w:highlight w:val="none"/>
          <w:lang w:val="en-US" w:eastAsia="zh-CN" w:bidi="ar-SA"/>
        </w:rPr>
      </w:pPr>
      <w:r>
        <w:rPr>
          <w:rFonts w:hint="default" w:ascii="Times New Roman" w:hAnsi="Times New Roman" w:eastAsia="宋体" w:cs="Times New Roman"/>
          <w:b/>
          <w:bCs/>
          <w:spacing w:val="-1"/>
          <w:kern w:val="2"/>
          <w:sz w:val="24"/>
          <w:szCs w:val="24"/>
          <w:highlight w:val="none"/>
          <w:lang w:val="en-US" w:eastAsia="zh-CN" w:bidi="ar-SA"/>
        </w:rPr>
        <w:t>表 1.</w:t>
      </w:r>
      <w:r>
        <w:rPr>
          <w:rFonts w:hint="eastAsia" w:cs="Times New Roman"/>
          <w:b/>
          <w:bCs/>
          <w:spacing w:val="-1"/>
          <w:kern w:val="2"/>
          <w:sz w:val="24"/>
          <w:szCs w:val="24"/>
          <w:highlight w:val="none"/>
          <w:lang w:val="en-US" w:eastAsia="zh-CN" w:bidi="ar-SA"/>
        </w:rPr>
        <w:t>4</w:t>
      </w:r>
      <w:r>
        <w:rPr>
          <w:rFonts w:hint="default" w:ascii="Times New Roman" w:hAnsi="Times New Roman" w:eastAsia="宋体" w:cs="Times New Roman"/>
          <w:b/>
          <w:bCs/>
          <w:spacing w:val="-1"/>
          <w:kern w:val="2"/>
          <w:sz w:val="24"/>
          <w:szCs w:val="24"/>
          <w:highlight w:val="none"/>
          <w:lang w:val="en-US" w:eastAsia="zh-CN" w:bidi="ar-SA"/>
        </w:rPr>
        <w:t>-1  园区定位及园区规划的符合性分析</w:t>
      </w:r>
    </w:p>
    <w:tbl>
      <w:tblPr>
        <w:tblStyle w:val="37"/>
        <w:tblW w:w="501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5"/>
        <w:gridCol w:w="710"/>
        <w:gridCol w:w="6917"/>
      </w:tblGrid>
      <w:tr w14:paraId="21C94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49" w:type="pct"/>
            <w:gridSpan w:val="2"/>
            <w:tcBorders>
              <w:tl2br w:val="nil"/>
              <w:tr2bl w:val="nil"/>
            </w:tcBorders>
            <w:vAlign w:val="top"/>
          </w:tcPr>
          <w:p w14:paraId="419A4D7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pacing w:val="4"/>
                <w:sz w:val="20"/>
                <w:szCs w:val="20"/>
                <w:highlight w:val="none"/>
              </w:rPr>
              <w:t>类别</w:t>
            </w:r>
          </w:p>
        </w:tc>
        <w:tc>
          <w:tcPr>
            <w:tcW w:w="4150" w:type="pct"/>
            <w:tcBorders>
              <w:tl2br w:val="nil"/>
              <w:tr2bl w:val="nil"/>
            </w:tcBorders>
            <w:vAlign w:val="top"/>
          </w:tcPr>
          <w:p w14:paraId="4FEA86F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pacing w:val="-8"/>
                <w:sz w:val="20"/>
                <w:szCs w:val="20"/>
                <w:highlight w:val="none"/>
              </w:rPr>
              <w:t>内容</w:t>
            </w:r>
          </w:p>
        </w:tc>
      </w:tr>
      <w:tr w14:paraId="3CC15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849" w:type="pct"/>
            <w:gridSpan w:val="2"/>
            <w:tcBorders>
              <w:tl2br w:val="nil"/>
              <w:tr2bl w:val="nil"/>
            </w:tcBorders>
            <w:vAlign w:val="top"/>
          </w:tcPr>
          <w:p w14:paraId="13152A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0"/>
                <w:szCs w:val="20"/>
                <w:highlight w:val="none"/>
              </w:rPr>
            </w:pPr>
          </w:p>
          <w:p w14:paraId="74B170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0"/>
                <w:szCs w:val="20"/>
                <w:highlight w:val="none"/>
              </w:rPr>
            </w:pPr>
          </w:p>
          <w:p w14:paraId="46DF10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0"/>
                <w:szCs w:val="20"/>
                <w:highlight w:val="none"/>
              </w:rPr>
            </w:pPr>
          </w:p>
          <w:p w14:paraId="5FF2C0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0"/>
                <w:szCs w:val="20"/>
                <w:highlight w:val="none"/>
              </w:rPr>
            </w:pPr>
          </w:p>
          <w:p w14:paraId="7049EAD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pacing w:val="8"/>
                <w:sz w:val="20"/>
                <w:szCs w:val="20"/>
                <w:highlight w:val="none"/>
              </w:rPr>
              <w:t>环境准入行</w:t>
            </w:r>
          </w:p>
          <w:p w14:paraId="127CE06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pacing w:val="8"/>
                <w:sz w:val="20"/>
                <w:szCs w:val="20"/>
                <w:highlight w:val="none"/>
              </w:rPr>
              <w:t>业正面清单</w:t>
            </w:r>
          </w:p>
        </w:tc>
        <w:tc>
          <w:tcPr>
            <w:tcW w:w="4150" w:type="pct"/>
            <w:tcBorders>
              <w:tl2br w:val="nil"/>
              <w:tr2bl w:val="nil"/>
            </w:tcBorders>
            <w:vAlign w:val="top"/>
          </w:tcPr>
          <w:p w14:paraId="1AEC56A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b/>
                <w:bCs/>
                <w:sz w:val="20"/>
                <w:szCs w:val="20"/>
                <w:highlight w:val="none"/>
              </w:rPr>
            </w:pPr>
            <w:r>
              <w:rPr>
                <w:b/>
                <w:bCs/>
                <w:spacing w:val="5"/>
                <w:sz w:val="20"/>
                <w:szCs w:val="20"/>
                <w:highlight w:val="none"/>
              </w:rPr>
              <w:t>推荐产业：</w:t>
            </w:r>
          </w:p>
          <w:p w14:paraId="5BAA808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z w:val="20"/>
                <w:szCs w:val="20"/>
                <w:highlight w:val="none"/>
              </w:rPr>
            </w:pPr>
            <w:r>
              <w:rPr>
                <w:spacing w:val="1"/>
                <w:sz w:val="20"/>
                <w:szCs w:val="20"/>
                <w:highlight w:val="none"/>
              </w:rPr>
              <w:t>①生物医药产业：以现有生物医药产业为主，完善产业链上下游配套，</w:t>
            </w:r>
            <w:r>
              <w:rPr>
                <w:spacing w:val="14"/>
                <w:sz w:val="20"/>
                <w:szCs w:val="20"/>
                <w:highlight w:val="none"/>
              </w:rPr>
              <w:t xml:space="preserve"> </w:t>
            </w:r>
            <w:r>
              <w:rPr>
                <w:spacing w:val="9"/>
                <w:sz w:val="20"/>
                <w:szCs w:val="20"/>
                <w:highlight w:val="none"/>
              </w:rPr>
              <w:t>在现有产业的基础上完善其行业的全产业链延伸，代表行业</w:t>
            </w:r>
            <w:r>
              <w:rPr>
                <w:spacing w:val="-31"/>
                <w:sz w:val="20"/>
                <w:szCs w:val="20"/>
                <w:highlight w:val="none"/>
              </w:rPr>
              <w:t xml:space="preserve"> </w:t>
            </w:r>
            <w:r>
              <w:rPr>
                <w:rFonts w:ascii="Times New Roman" w:hAnsi="Times New Roman" w:eastAsia="Times New Roman" w:cs="Times New Roman"/>
                <w:spacing w:val="9"/>
                <w:sz w:val="20"/>
                <w:szCs w:val="20"/>
                <w:highlight w:val="none"/>
              </w:rPr>
              <w:t xml:space="preserve">C27 </w:t>
            </w:r>
            <w:r>
              <w:rPr>
                <w:spacing w:val="9"/>
                <w:sz w:val="20"/>
                <w:szCs w:val="20"/>
                <w:highlight w:val="none"/>
              </w:rPr>
              <w:t>医</w:t>
            </w:r>
            <w:r>
              <w:rPr>
                <w:spacing w:val="6"/>
                <w:sz w:val="20"/>
                <w:szCs w:val="20"/>
                <w:highlight w:val="none"/>
              </w:rPr>
              <w:t>药制造业。</w:t>
            </w:r>
          </w:p>
          <w:p w14:paraId="2B7F071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z w:val="20"/>
                <w:szCs w:val="20"/>
                <w:highlight w:val="none"/>
              </w:rPr>
            </w:pPr>
            <w:r>
              <w:rPr>
                <w:spacing w:val="12"/>
                <w:sz w:val="20"/>
                <w:szCs w:val="20"/>
                <w:highlight w:val="none"/>
              </w:rPr>
              <w:t>②</w:t>
            </w:r>
            <w:r>
              <w:rPr>
                <w:b w:val="0"/>
                <w:bCs w:val="0"/>
                <w:spacing w:val="12"/>
                <w:sz w:val="20"/>
                <w:szCs w:val="20"/>
                <w:highlight w:val="none"/>
              </w:rPr>
              <w:t>机械制造产业：重点发展机械装备产业和通信装备产业</w:t>
            </w:r>
            <w:r>
              <w:rPr>
                <w:spacing w:val="12"/>
                <w:sz w:val="20"/>
                <w:szCs w:val="20"/>
                <w:highlight w:val="none"/>
              </w:rPr>
              <w:t>，代表行</w:t>
            </w:r>
            <w:r>
              <w:rPr>
                <w:spacing w:val="10"/>
                <w:sz w:val="20"/>
                <w:szCs w:val="20"/>
                <w:highlight w:val="none"/>
              </w:rPr>
              <w:t xml:space="preserve"> </w:t>
            </w:r>
            <w:r>
              <w:rPr>
                <w:spacing w:val="9"/>
                <w:sz w:val="20"/>
                <w:szCs w:val="20"/>
                <w:highlight w:val="none"/>
              </w:rPr>
              <w:t>业</w:t>
            </w:r>
            <w:r>
              <w:rPr>
                <w:spacing w:val="-38"/>
                <w:sz w:val="20"/>
                <w:szCs w:val="20"/>
                <w:highlight w:val="none"/>
              </w:rPr>
              <w:t xml:space="preserve"> </w:t>
            </w:r>
            <w:r>
              <w:rPr>
                <w:rFonts w:ascii="Times New Roman" w:hAnsi="Times New Roman" w:eastAsia="Times New Roman" w:cs="Times New Roman"/>
                <w:spacing w:val="9"/>
                <w:sz w:val="20"/>
                <w:szCs w:val="20"/>
                <w:highlight w:val="none"/>
              </w:rPr>
              <w:t>C34</w:t>
            </w:r>
            <w:r>
              <w:rPr>
                <w:spacing w:val="9"/>
                <w:sz w:val="20"/>
                <w:szCs w:val="20"/>
                <w:highlight w:val="none"/>
              </w:rPr>
              <w:t>通用设备制造业；</w:t>
            </w:r>
            <w:r>
              <w:rPr>
                <w:rFonts w:ascii="Times New Roman" w:hAnsi="Times New Roman" w:eastAsia="Times New Roman" w:cs="Times New Roman"/>
                <w:spacing w:val="9"/>
                <w:sz w:val="20"/>
                <w:szCs w:val="20"/>
                <w:highlight w:val="none"/>
              </w:rPr>
              <w:t>C35</w:t>
            </w:r>
            <w:r>
              <w:rPr>
                <w:spacing w:val="9"/>
                <w:sz w:val="20"/>
                <w:szCs w:val="20"/>
                <w:highlight w:val="none"/>
              </w:rPr>
              <w:t>专用设备制</w:t>
            </w:r>
            <w:r>
              <w:rPr>
                <w:spacing w:val="8"/>
                <w:sz w:val="20"/>
                <w:szCs w:val="20"/>
                <w:highlight w:val="none"/>
              </w:rPr>
              <w:t>造业；</w:t>
            </w:r>
            <w:r>
              <w:rPr>
                <w:rFonts w:ascii="Times New Roman" w:hAnsi="Times New Roman" w:eastAsia="Times New Roman" w:cs="Times New Roman"/>
                <w:spacing w:val="8"/>
                <w:sz w:val="20"/>
                <w:szCs w:val="20"/>
                <w:highlight w:val="none"/>
              </w:rPr>
              <w:t xml:space="preserve">C367 </w:t>
            </w:r>
            <w:r>
              <w:rPr>
                <w:spacing w:val="8"/>
                <w:sz w:val="20"/>
                <w:szCs w:val="20"/>
                <w:highlight w:val="none"/>
              </w:rPr>
              <w:t>汽车零部件</w:t>
            </w:r>
            <w:r>
              <w:rPr>
                <w:sz w:val="20"/>
                <w:szCs w:val="20"/>
                <w:highlight w:val="none"/>
              </w:rPr>
              <w:t xml:space="preserve"> </w:t>
            </w:r>
            <w:r>
              <w:rPr>
                <w:spacing w:val="9"/>
                <w:sz w:val="20"/>
                <w:szCs w:val="20"/>
                <w:highlight w:val="none"/>
              </w:rPr>
              <w:t>及配件制造；</w:t>
            </w:r>
            <w:r>
              <w:rPr>
                <w:rFonts w:ascii="Times New Roman" w:hAnsi="Times New Roman" w:eastAsia="Times New Roman" w:cs="Times New Roman"/>
                <w:spacing w:val="9"/>
                <w:sz w:val="20"/>
                <w:szCs w:val="20"/>
                <w:highlight w:val="none"/>
              </w:rPr>
              <w:t>C38</w:t>
            </w:r>
            <w:r>
              <w:rPr>
                <w:rFonts w:ascii="Times New Roman" w:hAnsi="Times New Roman" w:eastAsia="Times New Roman" w:cs="Times New Roman"/>
                <w:spacing w:val="20"/>
                <w:sz w:val="20"/>
                <w:szCs w:val="20"/>
                <w:highlight w:val="none"/>
              </w:rPr>
              <w:t xml:space="preserve"> </w:t>
            </w:r>
            <w:r>
              <w:rPr>
                <w:spacing w:val="9"/>
                <w:sz w:val="20"/>
                <w:szCs w:val="20"/>
                <w:highlight w:val="none"/>
              </w:rPr>
              <w:t>电气机械和器材制造业；</w:t>
            </w:r>
            <w:r>
              <w:rPr>
                <w:rFonts w:ascii="Times New Roman" w:hAnsi="Times New Roman" w:eastAsia="Times New Roman" w:cs="Times New Roman"/>
                <w:spacing w:val="8"/>
                <w:sz w:val="20"/>
                <w:szCs w:val="20"/>
                <w:highlight w:val="none"/>
              </w:rPr>
              <w:t xml:space="preserve">C39 </w:t>
            </w:r>
            <w:r>
              <w:rPr>
                <w:spacing w:val="8"/>
                <w:sz w:val="20"/>
                <w:szCs w:val="20"/>
                <w:highlight w:val="none"/>
              </w:rPr>
              <w:t>计算机、通信和其</w:t>
            </w:r>
            <w:r>
              <w:rPr>
                <w:sz w:val="20"/>
                <w:szCs w:val="20"/>
                <w:highlight w:val="none"/>
              </w:rPr>
              <w:t xml:space="preserve"> </w:t>
            </w:r>
            <w:r>
              <w:rPr>
                <w:spacing w:val="7"/>
                <w:sz w:val="20"/>
                <w:szCs w:val="20"/>
                <w:highlight w:val="none"/>
              </w:rPr>
              <w:t>他电子设备制造业。</w:t>
            </w:r>
          </w:p>
          <w:p w14:paraId="75ECDAF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b/>
                <w:bCs/>
                <w:sz w:val="20"/>
                <w:szCs w:val="20"/>
                <w:highlight w:val="none"/>
              </w:rPr>
            </w:pPr>
            <w:r>
              <w:rPr>
                <w:b/>
                <w:bCs/>
                <w:spacing w:val="13"/>
                <w:sz w:val="20"/>
                <w:szCs w:val="20"/>
                <w:highlight w:val="none"/>
              </w:rPr>
              <w:t>③新材料产业：促进现有企业进行技术创新和技术改造，代表行业</w:t>
            </w:r>
            <w:r>
              <w:rPr>
                <w:rFonts w:ascii="Times New Roman" w:hAnsi="Times New Roman" w:eastAsia="Times New Roman" w:cs="Times New Roman"/>
                <w:b/>
                <w:bCs/>
                <w:spacing w:val="7"/>
                <w:sz w:val="20"/>
                <w:szCs w:val="20"/>
                <w:highlight w:val="none"/>
              </w:rPr>
              <w:t xml:space="preserve">C283 </w:t>
            </w:r>
            <w:r>
              <w:rPr>
                <w:b/>
                <w:bCs/>
                <w:spacing w:val="7"/>
                <w:sz w:val="20"/>
                <w:szCs w:val="20"/>
                <w:highlight w:val="none"/>
              </w:rPr>
              <w:t>生物基材料制造；</w:t>
            </w:r>
            <w:r>
              <w:rPr>
                <w:rFonts w:ascii="Times New Roman" w:hAnsi="Times New Roman" w:eastAsia="Times New Roman" w:cs="Times New Roman"/>
                <w:b/>
                <w:bCs/>
                <w:spacing w:val="7"/>
                <w:sz w:val="20"/>
                <w:szCs w:val="20"/>
                <w:highlight w:val="none"/>
              </w:rPr>
              <w:t xml:space="preserve">C331 </w:t>
            </w:r>
            <w:r>
              <w:rPr>
                <w:b/>
                <w:bCs/>
                <w:spacing w:val="7"/>
                <w:sz w:val="20"/>
                <w:szCs w:val="20"/>
                <w:highlight w:val="none"/>
              </w:rPr>
              <w:t>结构性金属制品制造。</w:t>
            </w:r>
          </w:p>
          <w:p w14:paraId="06C2612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b w:val="0"/>
                <w:bCs w:val="0"/>
                <w:sz w:val="20"/>
                <w:szCs w:val="20"/>
                <w:highlight w:val="none"/>
              </w:rPr>
            </w:pPr>
            <w:r>
              <w:rPr>
                <w:b w:val="0"/>
                <w:bCs w:val="0"/>
                <w:spacing w:val="5"/>
                <w:sz w:val="20"/>
                <w:szCs w:val="20"/>
                <w:highlight w:val="none"/>
              </w:rPr>
              <w:t>辅助产业：</w:t>
            </w:r>
          </w:p>
          <w:p w14:paraId="1DE3172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z w:val="20"/>
                <w:szCs w:val="20"/>
                <w:highlight w:val="none"/>
              </w:rPr>
            </w:pPr>
            <w:r>
              <w:rPr>
                <w:spacing w:val="6"/>
                <w:sz w:val="20"/>
                <w:szCs w:val="20"/>
                <w:highlight w:val="none"/>
              </w:rPr>
              <w:t>①电子信息产业：主要发展信息传输、软件和信息技术服务业，代表</w:t>
            </w:r>
            <w:r>
              <w:rPr>
                <w:spacing w:val="5"/>
                <w:sz w:val="20"/>
                <w:szCs w:val="20"/>
                <w:highlight w:val="none"/>
              </w:rPr>
              <w:t>行业</w:t>
            </w:r>
            <w:r>
              <w:rPr>
                <w:spacing w:val="-42"/>
                <w:sz w:val="20"/>
                <w:szCs w:val="20"/>
                <w:highlight w:val="none"/>
              </w:rPr>
              <w:t xml:space="preserve"> </w:t>
            </w:r>
            <w:r>
              <w:rPr>
                <w:rFonts w:ascii="Times New Roman" w:hAnsi="Times New Roman" w:eastAsia="Times New Roman" w:cs="Times New Roman"/>
                <w:spacing w:val="5"/>
                <w:sz w:val="20"/>
                <w:szCs w:val="20"/>
                <w:highlight w:val="none"/>
              </w:rPr>
              <w:t>I63</w:t>
            </w:r>
            <w:r>
              <w:rPr>
                <w:rFonts w:ascii="Times New Roman" w:hAnsi="Times New Roman" w:eastAsia="Times New Roman" w:cs="Times New Roman"/>
                <w:spacing w:val="18"/>
                <w:w w:val="101"/>
                <w:sz w:val="20"/>
                <w:szCs w:val="20"/>
                <w:highlight w:val="none"/>
              </w:rPr>
              <w:t xml:space="preserve"> </w:t>
            </w:r>
            <w:r>
              <w:rPr>
                <w:spacing w:val="5"/>
                <w:sz w:val="20"/>
                <w:szCs w:val="20"/>
                <w:highlight w:val="none"/>
              </w:rPr>
              <w:t>电信、广播电视和卫星传输服务，</w:t>
            </w:r>
            <w:r>
              <w:rPr>
                <w:rFonts w:ascii="Times New Roman" w:hAnsi="Times New Roman" w:eastAsia="Times New Roman" w:cs="Times New Roman"/>
                <w:spacing w:val="5"/>
                <w:sz w:val="20"/>
                <w:szCs w:val="20"/>
                <w:highlight w:val="none"/>
              </w:rPr>
              <w:t xml:space="preserve">I65  </w:t>
            </w:r>
            <w:r>
              <w:rPr>
                <w:spacing w:val="5"/>
                <w:sz w:val="20"/>
                <w:szCs w:val="20"/>
                <w:highlight w:val="none"/>
              </w:rPr>
              <w:t>软件和信</w:t>
            </w:r>
            <w:r>
              <w:rPr>
                <w:spacing w:val="4"/>
                <w:sz w:val="20"/>
                <w:szCs w:val="20"/>
                <w:highlight w:val="none"/>
              </w:rPr>
              <w:t>息技术服务</w:t>
            </w:r>
            <w:r>
              <w:rPr>
                <w:sz w:val="20"/>
                <w:szCs w:val="20"/>
                <w:highlight w:val="none"/>
              </w:rPr>
              <w:t xml:space="preserve"> 业。</w:t>
            </w:r>
          </w:p>
          <w:p w14:paraId="0C0BE07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z w:val="20"/>
                <w:szCs w:val="20"/>
                <w:highlight w:val="none"/>
              </w:rPr>
            </w:pPr>
            <w:r>
              <w:rPr>
                <w:spacing w:val="8"/>
                <w:sz w:val="20"/>
                <w:szCs w:val="20"/>
                <w:highlight w:val="none"/>
              </w:rPr>
              <w:t>②物流产业：</w:t>
            </w:r>
            <w:r>
              <w:rPr>
                <w:rFonts w:ascii="Times New Roman" w:hAnsi="Times New Roman" w:eastAsia="Times New Roman" w:cs="Times New Roman"/>
                <w:spacing w:val="8"/>
                <w:sz w:val="20"/>
                <w:szCs w:val="20"/>
                <w:highlight w:val="none"/>
              </w:rPr>
              <w:t xml:space="preserve">G59  </w:t>
            </w:r>
            <w:r>
              <w:rPr>
                <w:spacing w:val="8"/>
                <w:sz w:val="20"/>
                <w:szCs w:val="20"/>
                <w:highlight w:val="none"/>
              </w:rPr>
              <w:t>装卸搬运和仓储业（</w:t>
            </w:r>
            <w:r>
              <w:rPr>
                <w:rFonts w:ascii="Times New Roman" w:hAnsi="Times New Roman" w:eastAsia="Times New Roman" w:cs="Times New Roman"/>
                <w:spacing w:val="8"/>
                <w:sz w:val="20"/>
                <w:szCs w:val="20"/>
                <w:highlight w:val="none"/>
              </w:rPr>
              <w:t>C</w:t>
            </w:r>
            <w:r>
              <w:rPr>
                <w:rFonts w:ascii="Times New Roman" w:hAnsi="Times New Roman" w:eastAsia="Times New Roman" w:cs="Times New Roman"/>
                <w:spacing w:val="7"/>
                <w:sz w:val="20"/>
                <w:szCs w:val="20"/>
                <w:highlight w:val="none"/>
              </w:rPr>
              <w:t xml:space="preserve">594 </w:t>
            </w:r>
            <w:r>
              <w:rPr>
                <w:spacing w:val="7"/>
                <w:sz w:val="20"/>
                <w:szCs w:val="20"/>
                <w:highlight w:val="none"/>
              </w:rPr>
              <w:t>危险品仓储除外）</w:t>
            </w:r>
          </w:p>
        </w:tc>
      </w:tr>
      <w:tr w14:paraId="7EC8A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423" w:type="pct"/>
            <w:vMerge w:val="restart"/>
            <w:tcBorders>
              <w:tl2br w:val="nil"/>
              <w:tr2bl w:val="nil"/>
            </w:tcBorders>
            <w:vAlign w:val="center"/>
          </w:tcPr>
          <w:p w14:paraId="067969B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pacing w:val="4"/>
                <w:sz w:val="20"/>
                <w:szCs w:val="20"/>
                <w:highlight w:val="none"/>
              </w:rPr>
              <w:t>环境</w:t>
            </w:r>
          </w:p>
          <w:p w14:paraId="2B8E866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pacing w:val="3"/>
                <w:sz w:val="20"/>
                <w:szCs w:val="20"/>
                <w:highlight w:val="none"/>
              </w:rPr>
              <w:t>准入</w:t>
            </w:r>
          </w:p>
          <w:p w14:paraId="3EF075B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pacing w:val="3"/>
                <w:sz w:val="20"/>
                <w:szCs w:val="20"/>
                <w:highlight w:val="none"/>
              </w:rPr>
              <w:t>行业</w:t>
            </w:r>
          </w:p>
          <w:p w14:paraId="0627B45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0"/>
                <w:szCs w:val="20"/>
                <w:highlight w:val="none"/>
              </w:rPr>
            </w:pPr>
            <w:r>
              <w:rPr>
                <w:sz w:val="20"/>
                <w:szCs w:val="20"/>
                <w:highlight w:val="none"/>
              </w:rPr>
              <w:t>负面</w:t>
            </w:r>
          </w:p>
          <w:p w14:paraId="091D47B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8"/>
                <w:sz w:val="20"/>
                <w:szCs w:val="20"/>
                <w:highlight w:val="none"/>
              </w:rPr>
            </w:pPr>
            <w:r>
              <w:rPr>
                <w:spacing w:val="4"/>
                <w:sz w:val="20"/>
                <w:szCs w:val="20"/>
                <w:highlight w:val="none"/>
              </w:rPr>
              <w:t>清单</w:t>
            </w:r>
          </w:p>
        </w:tc>
        <w:tc>
          <w:tcPr>
            <w:tcW w:w="425" w:type="pct"/>
            <w:vMerge w:val="restart"/>
            <w:tcBorders>
              <w:tl2br w:val="nil"/>
              <w:tr2bl w:val="nil"/>
            </w:tcBorders>
            <w:vAlign w:val="center"/>
          </w:tcPr>
          <w:p w14:paraId="16B61B0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6"/>
                <w:sz w:val="20"/>
                <w:szCs w:val="20"/>
                <w:highlight w:val="none"/>
              </w:rPr>
            </w:pPr>
            <w:r>
              <w:rPr>
                <w:spacing w:val="6"/>
                <w:sz w:val="20"/>
                <w:szCs w:val="20"/>
                <w:highlight w:val="none"/>
              </w:rPr>
              <w:t>禁</w:t>
            </w:r>
          </w:p>
          <w:p w14:paraId="7B713F1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6"/>
                <w:sz w:val="20"/>
                <w:szCs w:val="20"/>
                <w:highlight w:val="none"/>
              </w:rPr>
            </w:pPr>
            <w:r>
              <w:rPr>
                <w:spacing w:val="6"/>
                <w:sz w:val="20"/>
                <w:szCs w:val="20"/>
                <w:highlight w:val="none"/>
              </w:rPr>
              <w:t>止</w:t>
            </w:r>
          </w:p>
          <w:p w14:paraId="35B7F72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8"/>
                <w:sz w:val="20"/>
                <w:szCs w:val="20"/>
                <w:highlight w:val="none"/>
              </w:rPr>
            </w:pPr>
            <w:r>
              <w:rPr>
                <w:spacing w:val="6"/>
                <w:sz w:val="20"/>
                <w:szCs w:val="20"/>
                <w:highlight w:val="none"/>
              </w:rPr>
              <w:t>类</w:t>
            </w:r>
          </w:p>
        </w:tc>
        <w:tc>
          <w:tcPr>
            <w:tcW w:w="4150" w:type="pct"/>
            <w:tcBorders>
              <w:tl2br w:val="nil"/>
              <w:tr2bl w:val="nil"/>
            </w:tcBorders>
            <w:vAlign w:val="top"/>
          </w:tcPr>
          <w:p w14:paraId="6097D544">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highlight w:val="none"/>
              </w:rPr>
            </w:pPr>
            <w:r>
              <w:rPr>
                <w:spacing w:val="7"/>
                <w:highlight w:val="none"/>
              </w:rPr>
              <w:t>规划主导产业以内：</w:t>
            </w:r>
          </w:p>
          <w:p w14:paraId="64040783">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highlight w:val="none"/>
              </w:rPr>
            </w:pPr>
            <w:r>
              <w:rPr>
                <w:spacing w:val="5"/>
                <w:highlight w:val="none"/>
              </w:rPr>
              <w:t>（</w:t>
            </w:r>
            <w:r>
              <w:rPr>
                <w:rFonts w:ascii="Times New Roman" w:hAnsi="Times New Roman" w:eastAsia="Times New Roman" w:cs="Times New Roman"/>
                <w:spacing w:val="5"/>
                <w:highlight w:val="none"/>
              </w:rPr>
              <w:t>1</w:t>
            </w:r>
            <w:r>
              <w:rPr>
                <w:spacing w:val="5"/>
                <w:highlight w:val="none"/>
              </w:rPr>
              <w:t>）主导产业：</w:t>
            </w:r>
          </w:p>
          <w:p w14:paraId="24B8C262">
            <w:pPr>
              <w:pStyle w:val="36"/>
              <w:keepNext w:val="0"/>
              <w:keepLines w:val="0"/>
              <w:pageBreakBefore w:val="0"/>
              <w:widowControl w:val="0"/>
              <w:kinsoku/>
              <w:wordWrap/>
              <w:overflowPunct/>
              <w:topLinePunct w:val="0"/>
              <w:autoSpaceDE/>
              <w:autoSpaceDN/>
              <w:bidi w:val="0"/>
              <w:adjustRightInd/>
              <w:snapToGrid/>
              <w:spacing w:line="240" w:lineRule="auto"/>
              <w:ind w:left="0" w:right="0" w:hanging="1"/>
              <w:textAlignment w:val="auto"/>
              <w:rPr>
                <w:highlight w:val="none"/>
              </w:rPr>
            </w:pPr>
            <w:r>
              <w:rPr>
                <w:spacing w:val="10"/>
                <w:highlight w:val="none"/>
              </w:rPr>
              <w:t>①生物医药产业中禁止引入以排放重金属和</w:t>
            </w:r>
            <w:r>
              <w:rPr>
                <w:spacing w:val="9"/>
                <w:highlight w:val="none"/>
              </w:rPr>
              <w:t>持久性有机污染物为主</w:t>
            </w:r>
            <w:r>
              <w:rPr>
                <w:spacing w:val="7"/>
                <w:highlight w:val="none"/>
              </w:rPr>
              <w:t>要污染物的企业。</w:t>
            </w:r>
          </w:p>
          <w:p w14:paraId="29737303">
            <w:pPr>
              <w:pStyle w:val="36"/>
              <w:keepNext w:val="0"/>
              <w:keepLines w:val="0"/>
              <w:pageBreakBefore w:val="0"/>
              <w:widowControl w:val="0"/>
              <w:kinsoku/>
              <w:wordWrap/>
              <w:overflowPunct/>
              <w:topLinePunct w:val="0"/>
              <w:autoSpaceDE/>
              <w:autoSpaceDN/>
              <w:bidi w:val="0"/>
              <w:adjustRightInd/>
              <w:snapToGrid/>
              <w:spacing w:line="240" w:lineRule="auto"/>
              <w:ind w:left="0" w:right="0" w:hanging="2"/>
              <w:textAlignment w:val="auto"/>
              <w:rPr>
                <w:highlight w:val="none"/>
              </w:rPr>
            </w:pPr>
            <w:r>
              <w:rPr>
                <w:spacing w:val="10"/>
                <w:highlight w:val="none"/>
              </w:rPr>
              <w:t>②机械制造产业中禁止引入以排放重金属和持</w:t>
            </w:r>
            <w:r>
              <w:rPr>
                <w:spacing w:val="9"/>
                <w:highlight w:val="none"/>
              </w:rPr>
              <w:t>久性有机污染物为主</w:t>
            </w:r>
            <w:r>
              <w:rPr>
                <w:spacing w:val="2"/>
                <w:highlight w:val="none"/>
              </w:rPr>
              <w:t>要污染物的企业，禁止引入高耗能、高污染的企业以及专门从事电</w:t>
            </w:r>
            <w:r>
              <w:rPr>
                <w:spacing w:val="1"/>
                <w:highlight w:val="none"/>
              </w:rPr>
              <w:t>镀、</w:t>
            </w:r>
            <w:r>
              <w:rPr>
                <w:highlight w:val="none"/>
              </w:rPr>
              <w:t xml:space="preserve"> </w:t>
            </w:r>
            <w:r>
              <w:rPr>
                <w:spacing w:val="8"/>
                <w:highlight w:val="none"/>
              </w:rPr>
              <w:t>喷涂集中加工代工的企业。</w:t>
            </w:r>
          </w:p>
          <w:p w14:paraId="7503240A">
            <w:pPr>
              <w:pStyle w:val="36"/>
              <w:keepNext w:val="0"/>
              <w:keepLines w:val="0"/>
              <w:pageBreakBefore w:val="0"/>
              <w:widowControl w:val="0"/>
              <w:kinsoku/>
              <w:wordWrap/>
              <w:overflowPunct/>
              <w:topLinePunct w:val="0"/>
              <w:autoSpaceDE/>
              <w:autoSpaceDN/>
              <w:bidi w:val="0"/>
              <w:adjustRightInd/>
              <w:snapToGrid/>
              <w:spacing w:line="240" w:lineRule="auto"/>
              <w:ind w:left="0" w:right="0" w:hanging="3"/>
              <w:textAlignment w:val="auto"/>
              <w:rPr>
                <w:highlight w:val="none"/>
              </w:rPr>
            </w:pPr>
            <w:r>
              <w:rPr>
                <w:spacing w:val="10"/>
                <w:highlight w:val="none"/>
              </w:rPr>
              <w:t>③新材料产业中禁止引入以排放重金属和持久</w:t>
            </w:r>
            <w:r>
              <w:rPr>
                <w:spacing w:val="9"/>
                <w:highlight w:val="none"/>
              </w:rPr>
              <w:t>性有机污染物为主要污染物的企业，禁止引入水泥、玻璃制造等建材行业。</w:t>
            </w:r>
          </w:p>
          <w:p w14:paraId="753AE7D2">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highlight w:val="none"/>
              </w:rPr>
            </w:pPr>
            <w:r>
              <w:rPr>
                <w:spacing w:val="5"/>
                <w:highlight w:val="none"/>
              </w:rPr>
              <w:t>（</w:t>
            </w:r>
            <w:r>
              <w:rPr>
                <w:rFonts w:ascii="Times New Roman" w:hAnsi="Times New Roman" w:eastAsia="Times New Roman" w:cs="Times New Roman"/>
                <w:spacing w:val="5"/>
                <w:highlight w:val="none"/>
              </w:rPr>
              <w:t>2</w:t>
            </w:r>
            <w:r>
              <w:rPr>
                <w:spacing w:val="5"/>
                <w:highlight w:val="none"/>
              </w:rPr>
              <w:t>）辅助产业：</w:t>
            </w:r>
          </w:p>
          <w:p w14:paraId="10B1176D">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highlight w:val="none"/>
              </w:rPr>
            </w:pPr>
            <w:r>
              <w:rPr>
                <w:spacing w:val="6"/>
                <w:highlight w:val="none"/>
              </w:rPr>
              <w:t>①电子信息产业中禁止引入涉及含线路板蚀刻、电镀等印刷线路板的企业，禁止引入以排放重金属和持久性有机污染物为主要污染物的企</w:t>
            </w:r>
            <w:r>
              <w:rPr>
                <w:highlight w:val="none"/>
              </w:rPr>
              <w:t>业。</w:t>
            </w:r>
          </w:p>
          <w:p w14:paraId="364090D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428" w:firstLineChars="200"/>
              <w:jc w:val="both"/>
              <w:textAlignment w:val="auto"/>
              <w:rPr>
                <w:spacing w:val="8"/>
                <w:sz w:val="20"/>
                <w:szCs w:val="20"/>
                <w:highlight w:val="none"/>
              </w:rPr>
            </w:pPr>
            <w:r>
              <w:rPr>
                <w:spacing w:val="7"/>
                <w:highlight w:val="none"/>
              </w:rPr>
              <w:t>②物流产业中禁止引入</w:t>
            </w:r>
            <w:r>
              <w:rPr>
                <w:spacing w:val="-34"/>
                <w:highlight w:val="none"/>
              </w:rPr>
              <w:t xml:space="preserve"> </w:t>
            </w:r>
            <w:r>
              <w:rPr>
                <w:rFonts w:ascii="Times New Roman" w:hAnsi="Times New Roman" w:eastAsia="Times New Roman" w:cs="Times New Roman"/>
                <w:spacing w:val="7"/>
                <w:highlight w:val="none"/>
              </w:rPr>
              <w:t>C594</w:t>
            </w:r>
            <w:r>
              <w:rPr>
                <w:spacing w:val="7"/>
                <w:highlight w:val="none"/>
              </w:rPr>
              <w:t>危险品仓储。</w:t>
            </w:r>
          </w:p>
        </w:tc>
      </w:tr>
      <w:tr w14:paraId="14EAE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423" w:type="pct"/>
            <w:vMerge w:val="continue"/>
            <w:tcBorders>
              <w:tl2br w:val="nil"/>
              <w:tr2bl w:val="nil"/>
            </w:tcBorders>
            <w:vAlign w:val="top"/>
          </w:tcPr>
          <w:p w14:paraId="4B1DE6F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8"/>
                <w:sz w:val="20"/>
                <w:szCs w:val="20"/>
                <w:highlight w:val="none"/>
              </w:rPr>
            </w:pPr>
          </w:p>
        </w:tc>
        <w:tc>
          <w:tcPr>
            <w:tcW w:w="425" w:type="pct"/>
            <w:vMerge w:val="continue"/>
            <w:tcBorders>
              <w:tl2br w:val="nil"/>
              <w:tr2bl w:val="nil"/>
            </w:tcBorders>
            <w:vAlign w:val="center"/>
          </w:tcPr>
          <w:p w14:paraId="1FB7B08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8"/>
                <w:sz w:val="20"/>
                <w:szCs w:val="20"/>
                <w:highlight w:val="none"/>
              </w:rPr>
            </w:pPr>
          </w:p>
        </w:tc>
        <w:tc>
          <w:tcPr>
            <w:tcW w:w="4150" w:type="pct"/>
            <w:tcBorders>
              <w:tl2br w:val="nil"/>
              <w:tr2bl w:val="nil"/>
            </w:tcBorders>
            <w:vAlign w:val="top"/>
          </w:tcPr>
          <w:p w14:paraId="7009120F">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0"/>
                <w:szCs w:val="20"/>
                <w:highlight w:val="none"/>
              </w:rPr>
            </w:pPr>
            <w:r>
              <w:rPr>
                <w:spacing w:val="7"/>
                <w:sz w:val="20"/>
                <w:szCs w:val="20"/>
                <w:highlight w:val="none"/>
              </w:rPr>
              <w:t>规划的主导产业以外：</w:t>
            </w:r>
          </w:p>
          <w:p w14:paraId="7C6CDAC6">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0"/>
                <w:szCs w:val="20"/>
                <w:highlight w:val="none"/>
              </w:rPr>
            </w:pPr>
            <w:r>
              <w:rPr>
                <w:spacing w:val="6"/>
                <w:sz w:val="20"/>
                <w:szCs w:val="20"/>
                <w:highlight w:val="none"/>
              </w:rPr>
              <w:t>①按照《国民经济行业分类》（</w:t>
            </w:r>
            <w:r>
              <w:rPr>
                <w:rFonts w:ascii="Times New Roman" w:hAnsi="Times New Roman" w:eastAsia="Times New Roman" w:cs="Times New Roman"/>
                <w:sz w:val="20"/>
                <w:szCs w:val="20"/>
                <w:highlight w:val="none"/>
              </w:rPr>
              <w:t>GB</w:t>
            </w:r>
            <w:r>
              <w:rPr>
                <w:rFonts w:ascii="Times New Roman" w:hAnsi="Times New Roman" w:eastAsia="Times New Roman" w:cs="Times New Roman"/>
                <w:spacing w:val="6"/>
                <w:sz w:val="20"/>
                <w:szCs w:val="20"/>
                <w:highlight w:val="none"/>
              </w:rPr>
              <w:t>/T 4754-2017</w:t>
            </w:r>
            <w:r>
              <w:rPr>
                <w:spacing w:val="6"/>
                <w:sz w:val="20"/>
                <w:szCs w:val="20"/>
                <w:highlight w:val="none"/>
              </w:rPr>
              <w:t>）标准，禁止引入以下行业：采矿业；皮革鞣制加工，毛皮鞣制加工业；造纸和纸制品制</w:t>
            </w:r>
            <w:r>
              <w:rPr>
                <w:spacing w:val="2"/>
                <w:sz w:val="20"/>
                <w:szCs w:val="20"/>
                <w:highlight w:val="none"/>
              </w:rPr>
              <w:t>造业中纸浆制造业；石油、煤炭及其他燃料加工业（煤制合成气生产、</w:t>
            </w:r>
            <w:r>
              <w:rPr>
                <w:sz w:val="20"/>
                <w:szCs w:val="20"/>
                <w:highlight w:val="none"/>
              </w:rPr>
              <w:t xml:space="preserve"> </w:t>
            </w:r>
            <w:r>
              <w:rPr>
                <w:spacing w:val="7"/>
                <w:sz w:val="20"/>
                <w:szCs w:val="20"/>
                <w:highlight w:val="none"/>
              </w:rPr>
              <w:t>生物质燃料加工除外</w:t>
            </w:r>
            <w:r>
              <w:rPr>
                <w:spacing w:val="-3"/>
                <w:sz w:val="20"/>
                <w:szCs w:val="20"/>
                <w:highlight w:val="none"/>
              </w:rPr>
              <w:t>）；</w:t>
            </w:r>
            <w:r>
              <w:rPr>
                <w:spacing w:val="7"/>
                <w:sz w:val="20"/>
                <w:szCs w:val="20"/>
                <w:highlight w:val="none"/>
              </w:rPr>
              <w:t>平板玻璃制造业；黑色金属冶炼；有色金属</w:t>
            </w:r>
            <w:r>
              <w:rPr>
                <w:spacing w:val="1"/>
                <w:sz w:val="20"/>
                <w:szCs w:val="20"/>
                <w:highlight w:val="none"/>
              </w:rPr>
              <w:t xml:space="preserve"> </w:t>
            </w:r>
            <w:r>
              <w:rPr>
                <w:spacing w:val="7"/>
                <w:sz w:val="20"/>
                <w:szCs w:val="20"/>
                <w:highlight w:val="none"/>
              </w:rPr>
              <w:t>冶炼；</w:t>
            </w:r>
            <w:r>
              <w:rPr>
                <w:spacing w:val="-52"/>
                <w:sz w:val="20"/>
                <w:szCs w:val="20"/>
                <w:highlight w:val="none"/>
              </w:rPr>
              <w:t xml:space="preserve"> </w:t>
            </w:r>
            <w:r>
              <w:rPr>
                <w:spacing w:val="7"/>
                <w:sz w:val="20"/>
                <w:szCs w:val="20"/>
                <w:highlight w:val="none"/>
              </w:rPr>
              <w:t>以危险废物为原料的废弃资源综合利用业等；</w:t>
            </w:r>
          </w:p>
          <w:p w14:paraId="1C3177A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0" w:firstLineChars="200"/>
              <w:jc w:val="both"/>
              <w:textAlignment w:val="auto"/>
              <w:rPr>
                <w:spacing w:val="8"/>
                <w:sz w:val="20"/>
                <w:szCs w:val="20"/>
                <w:highlight w:val="none"/>
              </w:rPr>
            </w:pPr>
            <w:r>
              <w:rPr>
                <w:spacing w:val="10"/>
                <w:sz w:val="20"/>
                <w:szCs w:val="20"/>
                <w:highlight w:val="none"/>
              </w:rPr>
              <w:t>②禁止引入其它以排放重金属污染物和持久性</w:t>
            </w:r>
            <w:r>
              <w:rPr>
                <w:spacing w:val="9"/>
                <w:sz w:val="20"/>
                <w:szCs w:val="20"/>
                <w:highlight w:val="none"/>
              </w:rPr>
              <w:t>有机污染物为主要污</w:t>
            </w:r>
            <w:r>
              <w:rPr>
                <w:spacing w:val="6"/>
                <w:sz w:val="20"/>
                <w:szCs w:val="20"/>
                <w:highlight w:val="none"/>
              </w:rPr>
              <w:t>染物的行业，国家产业政策规定的落后生产工艺装备和落后产品，不符合国家、省及地方相关产业政策、国家明令禁止或淘汰的项目，不</w:t>
            </w:r>
            <w:r>
              <w:rPr>
                <w:spacing w:val="8"/>
                <w:sz w:val="20"/>
                <w:szCs w:val="20"/>
                <w:highlight w:val="none"/>
              </w:rPr>
              <w:t>符合行业准入条件的项目。</w:t>
            </w:r>
          </w:p>
        </w:tc>
      </w:tr>
      <w:tr w14:paraId="3B7B2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423" w:type="pct"/>
            <w:vMerge w:val="continue"/>
            <w:tcBorders>
              <w:tl2br w:val="nil"/>
              <w:tr2bl w:val="nil"/>
            </w:tcBorders>
            <w:vAlign w:val="top"/>
          </w:tcPr>
          <w:p w14:paraId="0E3427B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8"/>
                <w:sz w:val="20"/>
                <w:szCs w:val="20"/>
                <w:highlight w:val="none"/>
              </w:rPr>
            </w:pPr>
          </w:p>
        </w:tc>
        <w:tc>
          <w:tcPr>
            <w:tcW w:w="425" w:type="pct"/>
            <w:tcBorders>
              <w:tl2br w:val="nil"/>
              <w:tr2bl w:val="nil"/>
            </w:tcBorders>
            <w:vAlign w:val="center"/>
          </w:tcPr>
          <w:p w14:paraId="2B1C9A7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sz w:val="20"/>
                <w:szCs w:val="20"/>
                <w:highlight w:val="none"/>
                <w:lang w:val="en-US" w:eastAsia="zh-CN"/>
              </w:rPr>
            </w:pPr>
            <w:r>
              <w:rPr>
                <w:rFonts w:hint="eastAsia"/>
                <w:spacing w:val="8"/>
                <w:sz w:val="20"/>
                <w:szCs w:val="20"/>
                <w:highlight w:val="none"/>
                <w:lang w:val="en-US" w:eastAsia="zh-CN"/>
              </w:rPr>
              <w:t>淘</w:t>
            </w:r>
          </w:p>
          <w:p w14:paraId="76C67AC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sz w:val="20"/>
                <w:szCs w:val="20"/>
                <w:highlight w:val="none"/>
                <w:lang w:val="en-US" w:eastAsia="zh-CN"/>
              </w:rPr>
            </w:pPr>
            <w:r>
              <w:rPr>
                <w:rFonts w:hint="eastAsia"/>
                <w:spacing w:val="8"/>
                <w:sz w:val="20"/>
                <w:szCs w:val="20"/>
                <w:highlight w:val="none"/>
                <w:lang w:val="en-US" w:eastAsia="zh-CN"/>
              </w:rPr>
              <w:t>汰</w:t>
            </w:r>
          </w:p>
          <w:p w14:paraId="25F9017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spacing w:val="8"/>
                <w:sz w:val="20"/>
                <w:szCs w:val="20"/>
                <w:highlight w:val="none"/>
                <w:lang w:val="en-US" w:eastAsia="zh-CN"/>
              </w:rPr>
            </w:pPr>
            <w:r>
              <w:rPr>
                <w:rFonts w:hint="eastAsia"/>
                <w:spacing w:val="8"/>
                <w:sz w:val="20"/>
                <w:szCs w:val="20"/>
                <w:highlight w:val="none"/>
                <w:lang w:val="en-US" w:eastAsia="zh-CN"/>
              </w:rPr>
              <w:t>类</w:t>
            </w:r>
          </w:p>
        </w:tc>
        <w:tc>
          <w:tcPr>
            <w:tcW w:w="4150" w:type="pct"/>
            <w:tcBorders>
              <w:tl2br w:val="nil"/>
              <w:tr2bl w:val="nil"/>
            </w:tcBorders>
            <w:vAlign w:val="top"/>
          </w:tcPr>
          <w:p w14:paraId="44ADA3F9">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0"/>
                <w:szCs w:val="20"/>
                <w:highlight w:val="none"/>
              </w:rPr>
            </w:pPr>
            <w:r>
              <w:rPr>
                <w:spacing w:val="7"/>
                <w:sz w:val="20"/>
                <w:szCs w:val="20"/>
                <w:highlight w:val="none"/>
              </w:rPr>
              <w:t>规划主导产业以内的：</w:t>
            </w:r>
          </w:p>
          <w:p w14:paraId="1EF6AE03">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0"/>
                <w:szCs w:val="20"/>
                <w:highlight w:val="none"/>
              </w:rPr>
            </w:pPr>
            <w:r>
              <w:rPr>
                <w:spacing w:val="9"/>
                <w:sz w:val="20"/>
                <w:szCs w:val="20"/>
                <w:highlight w:val="none"/>
              </w:rPr>
              <w:t>①机械制造：限制涉及磷化工序的表面处理工艺的企业</w:t>
            </w:r>
            <w:r>
              <w:rPr>
                <w:spacing w:val="7"/>
                <w:sz w:val="20"/>
                <w:szCs w:val="20"/>
                <w:highlight w:val="none"/>
              </w:rPr>
              <w:t>规划主导产业以外的：</w:t>
            </w:r>
          </w:p>
          <w:p w14:paraId="3BC2354B">
            <w:pPr>
              <w:pStyle w:val="36"/>
              <w:keepNext w:val="0"/>
              <w:keepLines w:val="0"/>
              <w:pageBreakBefore w:val="0"/>
              <w:widowControl w:val="0"/>
              <w:kinsoku/>
              <w:wordWrap/>
              <w:overflowPunct/>
              <w:topLinePunct w:val="0"/>
              <w:autoSpaceDE/>
              <w:autoSpaceDN/>
              <w:bidi w:val="0"/>
              <w:adjustRightInd/>
              <w:snapToGrid/>
              <w:spacing w:line="240" w:lineRule="auto"/>
              <w:ind w:left="0" w:right="0"/>
              <w:textAlignment w:val="auto"/>
              <w:rPr>
                <w:sz w:val="20"/>
                <w:szCs w:val="20"/>
                <w:highlight w:val="none"/>
              </w:rPr>
            </w:pPr>
            <w:r>
              <w:rPr>
                <w:spacing w:val="6"/>
                <w:sz w:val="20"/>
                <w:szCs w:val="20"/>
                <w:highlight w:val="none"/>
              </w:rPr>
              <w:t>①国家产业政策和其他法规、条例、部门规章及管理办法等规定限制发展的产业；</w:t>
            </w:r>
          </w:p>
          <w:p w14:paraId="33C73AB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32" w:firstLineChars="200"/>
              <w:jc w:val="both"/>
              <w:textAlignment w:val="auto"/>
              <w:rPr>
                <w:spacing w:val="8"/>
                <w:sz w:val="20"/>
                <w:szCs w:val="20"/>
                <w:highlight w:val="none"/>
              </w:rPr>
            </w:pPr>
            <w:r>
              <w:rPr>
                <w:spacing w:val="8"/>
                <w:sz w:val="20"/>
                <w:szCs w:val="20"/>
                <w:highlight w:val="none"/>
              </w:rPr>
              <w:t>②严格管控高耗能高排放项目。</w:t>
            </w:r>
          </w:p>
        </w:tc>
      </w:tr>
    </w:tbl>
    <w:p w14:paraId="78EBB9CC">
      <w:pPr>
        <w:pStyle w:val="3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综上，</w:t>
      </w:r>
      <w:r>
        <w:rPr>
          <w:rFonts w:hint="eastAsia" w:ascii="Times New Roman" w:hAnsi="Times New Roman" w:eastAsia="宋体" w:cs="Times New Roman"/>
          <w:color w:val="000000"/>
          <w:kern w:val="0"/>
          <w:sz w:val="24"/>
          <w:szCs w:val="24"/>
          <w:highlight w:val="none"/>
          <w:lang w:val="en-US" w:eastAsia="zh-CN" w:bidi="ar"/>
        </w:rPr>
        <w:t>本项目属于复配生物酶制剂及酶制剂助剂应用项目</w:t>
      </w:r>
      <w:r>
        <w:rPr>
          <w:rFonts w:hint="default" w:ascii="Times New Roman" w:hAnsi="Times New Roman" w:eastAsia="宋体" w:cs="Times New Roman"/>
          <w:color w:val="000000"/>
          <w:kern w:val="0"/>
          <w:sz w:val="24"/>
          <w:szCs w:val="24"/>
          <w:highlight w:val="none"/>
          <w:lang w:val="en-US" w:eastAsia="zh-CN" w:bidi="ar"/>
        </w:rPr>
        <w:t>，</w:t>
      </w:r>
      <w:r>
        <w:rPr>
          <w:rFonts w:hint="eastAsia" w:ascii="Times New Roman" w:hAnsi="Times New Roman" w:cs="Times New Roman"/>
          <w:color w:val="000000"/>
          <w:kern w:val="0"/>
          <w:sz w:val="24"/>
          <w:szCs w:val="24"/>
          <w:highlight w:val="none"/>
          <w:lang w:val="en-US" w:eastAsia="zh-CN" w:bidi="ar"/>
        </w:rPr>
        <w:t>符合园区</w:t>
      </w:r>
      <w:r>
        <w:rPr>
          <w:rFonts w:hint="eastAsia" w:ascii="Times New Roman" w:hAnsi="Times New Roman" w:eastAsia="宋体" w:cs="Times New Roman"/>
          <w:color w:val="000000"/>
          <w:kern w:val="0"/>
          <w:sz w:val="24"/>
          <w:szCs w:val="24"/>
          <w:highlight w:val="none"/>
          <w:lang w:val="en-US" w:eastAsia="zh-CN" w:bidi="ar"/>
        </w:rPr>
        <w:t>产业</w:t>
      </w:r>
      <w:r>
        <w:rPr>
          <w:rFonts w:hint="eastAsia" w:ascii="Times New Roman" w:hAnsi="Times New Roman" w:cs="Times New Roman"/>
          <w:color w:val="000000"/>
          <w:kern w:val="0"/>
          <w:sz w:val="24"/>
          <w:szCs w:val="24"/>
          <w:highlight w:val="none"/>
          <w:lang w:val="en-US" w:eastAsia="zh-CN" w:bidi="ar"/>
        </w:rPr>
        <w:t>定位</w:t>
      </w:r>
      <w:r>
        <w:rPr>
          <w:rFonts w:hint="eastAsia" w:ascii="Times New Roman" w:hAnsi="Times New Roman" w:eastAsia="宋体" w:cs="Times New Roman"/>
          <w:color w:val="000000"/>
          <w:kern w:val="0"/>
          <w:sz w:val="24"/>
          <w:szCs w:val="24"/>
          <w:highlight w:val="none"/>
          <w:lang w:val="en-US" w:eastAsia="zh-CN" w:bidi="ar"/>
        </w:rPr>
        <w:t>，主要对酶制剂及配套助剂进行混合搅拌分装，在冷却阶段产生有机废气，本项目不属于以排放重金属和持久性有机污染物为主要污染物的企业，也不属于高耗能、高污染的企业，不涉及磷化工序等表面处理工艺，</w:t>
      </w:r>
      <w:r>
        <w:rPr>
          <w:rFonts w:hint="default" w:ascii="Times New Roman" w:hAnsi="Times New Roman" w:eastAsia="宋体" w:cs="Times New Roman"/>
          <w:color w:val="000000"/>
          <w:kern w:val="0"/>
          <w:sz w:val="24"/>
          <w:szCs w:val="24"/>
          <w:highlight w:val="none"/>
          <w:lang w:val="en-US" w:eastAsia="zh-CN" w:bidi="ar"/>
        </w:rPr>
        <w:t>符合园区产业规划要求</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本项目</w:t>
      </w:r>
      <w:r>
        <w:rPr>
          <w:rFonts w:hint="eastAsia" w:ascii="Times New Roman" w:hAnsi="Times New Roman" w:eastAsia="宋体" w:cs="Times New Roman"/>
          <w:color w:val="000000"/>
          <w:kern w:val="0"/>
          <w:sz w:val="24"/>
          <w:szCs w:val="24"/>
          <w:highlight w:val="none"/>
          <w:lang w:val="en-US" w:eastAsia="zh-CN" w:bidi="ar"/>
        </w:rPr>
        <w:t>既不</w:t>
      </w:r>
      <w:r>
        <w:rPr>
          <w:rFonts w:hint="default" w:ascii="Times New Roman" w:hAnsi="Times New Roman" w:eastAsia="宋体" w:cs="Times New Roman"/>
          <w:color w:val="000000"/>
          <w:kern w:val="0"/>
          <w:sz w:val="24"/>
          <w:szCs w:val="24"/>
          <w:highlight w:val="none"/>
          <w:lang w:val="en-US" w:eastAsia="zh-CN" w:bidi="ar"/>
        </w:rPr>
        <w:t>属于园区主区产业定位的行业正面清单</w:t>
      </w:r>
      <w:r>
        <w:rPr>
          <w:rFonts w:hint="eastAsia" w:ascii="Times New Roman" w:hAnsi="Times New Roman" w:eastAsia="宋体" w:cs="Times New Roman"/>
          <w:color w:val="000000"/>
          <w:kern w:val="0"/>
          <w:sz w:val="24"/>
          <w:szCs w:val="24"/>
          <w:highlight w:val="none"/>
          <w:lang w:val="en-US" w:eastAsia="zh-CN" w:bidi="ar"/>
        </w:rPr>
        <w:t>的推荐</w:t>
      </w:r>
      <w:r>
        <w:rPr>
          <w:rFonts w:hint="default" w:ascii="Times New Roman" w:hAnsi="Times New Roman" w:eastAsia="宋体" w:cs="Times New Roman"/>
          <w:color w:val="000000"/>
          <w:kern w:val="0"/>
          <w:sz w:val="24"/>
          <w:szCs w:val="24"/>
          <w:highlight w:val="none"/>
          <w:lang w:val="en-US" w:eastAsia="zh-CN" w:bidi="ar"/>
        </w:rPr>
        <w:t>项目</w:t>
      </w:r>
      <w:r>
        <w:rPr>
          <w:rFonts w:hint="eastAsia" w:ascii="Times New Roman" w:hAnsi="Times New Roman" w:eastAsia="宋体" w:cs="Times New Roman"/>
          <w:color w:val="000000"/>
          <w:kern w:val="0"/>
          <w:sz w:val="24"/>
          <w:szCs w:val="24"/>
          <w:highlight w:val="none"/>
          <w:lang w:val="en-US" w:eastAsia="zh-CN" w:bidi="ar"/>
        </w:rPr>
        <w:t>，也不属于</w:t>
      </w:r>
      <w:r>
        <w:rPr>
          <w:rFonts w:hint="default" w:ascii="Times New Roman" w:hAnsi="Times New Roman" w:eastAsia="宋体" w:cs="Times New Roman"/>
          <w:color w:val="000000"/>
          <w:kern w:val="0"/>
          <w:sz w:val="24"/>
          <w:szCs w:val="24"/>
          <w:highlight w:val="none"/>
          <w:lang w:val="en-US" w:eastAsia="zh-CN" w:bidi="ar"/>
        </w:rPr>
        <w:t>环境准入行业负面清单</w:t>
      </w:r>
      <w:r>
        <w:rPr>
          <w:rFonts w:hint="eastAsia" w:ascii="Times New Roman" w:hAnsi="Times New Roman" w:eastAsia="宋体" w:cs="Times New Roman"/>
          <w:color w:val="000000"/>
          <w:kern w:val="0"/>
          <w:sz w:val="24"/>
          <w:szCs w:val="24"/>
          <w:highlight w:val="none"/>
          <w:lang w:val="en-US" w:eastAsia="zh-CN" w:bidi="ar"/>
        </w:rPr>
        <w:t>的禁止类和淘汰类，但本项目属于园区的主导产业新材料行业，因此</w:t>
      </w:r>
      <w:r>
        <w:rPr>
          <w:rFonts w:hint="default" w:ascii="Times New Roman" w:hAnsi="Times New Roman" w:eastAsia="宋体" w:cs="Times New Roman"/>
          <w:color w:val="000000"/>
          <w:kern w:val="0"/>
          <w:sz w:val="24"/>
          <w:szCs w:val="24"/>
          <w:highlight w:val="none"/>
          <w:lang w:val="en-US" w:eastAsia="zh-CN" w:bidi="ar"/>
        </w:rPr>
        <w:t>本项目符合园区规划的要求。</w:t>
      </w:r>
    </w:p>
    <w:p w14:paraId="2F877CB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textAlignment w:val="auto"/>
        <w:rPr>
          <w:rFonts w:hint="eastAsia" w:ascii="Times New Roman" w:hAnsi="Times New Roman" w:eastAsia="宋体" w:cs="Times New Roman"/>
          <w:b/>
          <w:bCs/>
          <w:spacing w:val="-5"/>
          <w:kern w:val="2"/>
          <w:sz w:val="24"/>
          <w:szCs w:val="24"/>
          <w:highlight w:val="none"/>
          <w:lang w:val="en-US" w:eastAsia="zh-CN" w:bidi="ar-SA"/>
        </w:rPr>
      </w:pPr>
      <w:r>
        <w:rPr>
          <w:rFonts w:hint="eastAsia" w:ascii="Times New Roman" w:hAnsi="Times New Roman" w:eastAsia="宋体" w:cs="Times New Roman"/>
          <w:b/>
          <w:bCs/>
          <w:spacing w:val="-5"/>
          <w:kern w:val="2"/>
          <w:sz w:val="24"/>
          <w:szCs w:val="24"/>
          <w:highlight w:val="none"/>
          <w:lang w:val="en-US" w:eastAsia="zh-CN" w:bidi="ar-SA"/>
        </w:rPr>
        <w:t>3 、与规划环境影响评价符合性分析</w:t>
      </w:r>
    </w:p>
    <w:p w14:paraId="5647583C">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9"/>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依据《岳阳高新技术产业园区调区扩区规划（2020-2025）环境影响报告书》及其 审查文件（湘环评函〔2021〕40 号）相符性分析见下表。</w:t>
      </w:r>
    </w:p>
    <w:p w14:paraId="2226982C">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表 1.</w:t>
      </w:r>
      <w:r>
        <w:rPr>
          <w:rFonts w:hint="eastAsia" w:eastAsia="宋体" w:cs="Times New Roman"/>
          <w:b/>
          <w:bCs/>
          <w:color w:val="000000"/>
          <w:kern w:val="0"/>
          <w:sz w:val="24"/>
          <w:szCs w:val="24"/>
          <w:highlight w:val="none"/>
          <w:lang w:val="en-US" w:eastAsia="zh-CN" w:bidi="ar"/>
        </w:rPr>
        <w:t>5</w:t>
      </w:r>
      <w:r>
        <w:rPr>
          <w:rFonts w:hint="default" w:ascii="Times New Roman" w:hAnsi="Times New Roman" w:eastAsia="宋体" w:cs="Times New Roman"/>
          <w:b/>
          <w:bCs/>
          <w:color w:val="000000"/>
          <w:kern w:val="0"/>
          <w:sz w:val="24"/>
          <w:szCs w:val="24"/>
          <w:highlight w:val="none"/>
          <w:lang w:val="en-US" w:eastAsia="zh-CN" w:bidi="ar"/>
        </w:rPr>
        <w:t>-</w:t>
      </w:r>
      <w:r>
        <w:rPr>
          <w:rFonts w:hint="eastAsia" w:eastAsia="宋体" w:cs="Times New Roman"/>
          <w:b/>
          <w:bCs/>
          <w:color w:val="000000"/>
          <w:kern w:val="0"/>
          <w:sz w:val="24"/>
          <w:szCs w:val="24"/>
          <w:highlight w:val="none"/>
          <w:lang w:val="en-US" w:eastAsia="zh-CN" w:bidi="ar"/>
        </w:rPr>
        <w:t>2</w:t>
      </w:r>
      <w:r>
        <w:rPr>
          <w:rFonts w:hint="default" w:ascii="Times New Roman" w:hAnsi="Times New Roman" w:eastAsia="宋体" w:cs="Times New Roman"/>
          <w:b/>
          <w:bCs/>
          <w:color w:val="000000"/>
          <w:kern w:val="0"/>
          <w:sz w:val="24"/>
          <w:szCs w:val="24"/>
          <w:highlight w:val="none"/>
          <w:lang w:val="en-US" w:eastAsia="zh-CN" w:bidi="ar"/>
        </w:rPr>
        <w:t xml:space="preserve"> 与湘环评函〔2021〕40 号相符性分析</w:t>
      </w:r>
    </w:p>
    <w:tbl>
      <w:tblPr>
        <w:tblStyle w:val="37"/>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8"/>
        <w:gridCol w:w="4951"/>
        <w:gridCol w:w="2091"/>
        <w:gridCol w:w="767"/>
      </w:tblGrid>
      <w:tr w14:paraId="164EB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311" w:type="pct"/>
            <w:tcBorders>
              <w:tl2br w:val="nil"/>
              <w:tr2bl w:val="nil"/>
            </w:tcBorders>
            <w:vAlign w:val="center"/>
          </w:tcPr>
          <w:p w14:paraId="6E94577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highlight w:val="none"/>
              </w:rPr>
            </w:pPr>
            <w:r>
              <w:rPr>
                <w:rFonts w:hint="default" w:ascii="Times New Roman" w:hAnsi="Times New Roman" w:cs="Times New Roman"/>
                <w:spacing w:val="5"/>
                <w:highlight w:val="none"/>
              </w:rPr>
              <w:t>序号</w:t>
            </w:r>
          </w:p>
        </w:tc>
        <w:tc>
          <w:tcPr>
            <w:tcW w:w="2972" w:type="pct"/>
            <w:tcBorders>
              <w:tl2br w:val="nil"/>
              <w:tr2bl w:val="nil"/>
            </w:tcBorders>
            <w:vAlign w:val="center"/>
          </w:tcPr>
          <w:p w14:paraId="383104F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7"/>
                <w:highlight w:val="none"/>
              </w:rPr>
              <w:t>园区规划及批复要求</w:t>
            </w:r>
          </w:p>
        </w:tc>
        <w:tc>
          <w:tcPr>
            <w:tcW w:w="1255" w:type="pct"/>
            <w:tcBorders>
              <w:tl2br w:val="nil"/>
              <w:tr2bl w:val="nil"/>
            </w:tcBorders>
            <w:vAlign w:val="center"/>
          </w:tcPr>
          <w:p w14:paraId="6B3AE9B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6"/>
                <w:highlight w:val="none"/>
              </w:rPr>
              <w:t>项目情况</w:t>
            </w:r>
          </w:p>
        </w:tc>
        <w:tc>
          <w:tcPr>
            <w:tcW w:w="460" w:type="pct"/>
            <w:tcBorders>
              <w:tl2br w:val="nil"/>
              <w:tr2bl w:val="nil"/>
            </w:tcBorders>
            <w:vAlign w:val="center"/>
          </w:tcPr>
          <w:p w14:paraId="6533710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3"/>
                <w:highlight w:val="none"/>
              </w:rPr>
              <w:t>是否</w:t>
            </w:r>
          </w:p>
          <w:p w14:paraId="564B052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3"/>
                <w:highlight w:val="none"/>
              </w:rPr>
              <w:t>符合</w:t>
            </w:r>
          </w:p>
        </w:tc>
      </w:tr>
      <w:tr w14:paraId="37C1E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3" w:hRule="atLeast"/>
        </w:trPr>
        <w:tc>
          <w:tcPr>
            <w:tcW w:w="311" w:type="pct"/>
            <w:tcBorders>
              <w:tl2br w:val="nil"/>
              <w:tr2bl w:val="nil"/>
            </w:tcBorders>
            <w:vAlign w:val="center"/>
          </w:tcPr>
          <w:p w14:paraId="562EBF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72AF0F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1FE85B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679555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4718BB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32DB30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0EED80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5E2932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57E997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363433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1</w:t>
            </w:r>
          </w:p>
        </w:tc>
        <w:tc>
          <w:tcPr>
            <w:tcW w:w="2972" w:type="pct"/>
            <w:tcBorders>
              <w:tl2br w:val="nil"/>
              <w:tr2bl w:val="nil"/>
            </w:tcBorders>
            <w:vAlign w:val="center"/>
          </w:tcPr>
          <w:p w14:paraId="317EE82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7"/>
                <w:highlight w:val="none"/>
              </w:rPr>
              <w:t>为推动园区各要素资源整合与高效利用，园区拟将原核准范围内林冲路以西不适宜工业开发的区域约</w:t>
            </w:r>
            <w:r>
              <w:rPr>
                <w:spacing w:val="-11"/>
                <w:highlight w:val="none"/>
              </w:rPr>
              <w:t xml:space="preserve"> </w:t>
            </w:r>
            <w:r>
              <w:rPr>
                <w:rFonts w:ascii="Times New Roman" w:hAnsi="Times New Roman" w:eastAsia="Times New Roman" w:cs="Times New Roman"/>
                <w:spacing w:val="7"/>
                <w:highlight w:val="none"/>
              </w:rPr>
              <w:t>189</w:t>
            </w:r>
            <w:r>
              <w:rPr>
                <w:rFonts w:ascii="Times New Roman" w:hAnsi="Times New Roman" w:eastAsia="Times New Roman" w:cs="Times New Roman"/>
                <w:spacing w:val="16"/>
                <w:w w:val="101"/>
                <w:highlight w:val="none"/>
              </w:rPr>
              <w:t xml:space="preserve"> </w:t>
            </w:r>
            <w:r>
              <w:rPr>
                <w:spacing w:val="7"/>
                <w:highlight w:val="none"/>
              </w:rPr>
              <w:t>公</w:t>
            </w:r>
            <w:r>
              <w:rPr>
                <w:spacing w:val="3"/>
                <w:highlight w:val="none"/>
              </w:rPr>
              <w:t>顷调出，将原核准区域周边</w:t>
            </w:r>
            <w:r>
              <w:rPr>
                <w:spacing w:val="-38"/>
                <w:highlight w:val="none"/>
              </w:rPr>
              <w:t xml:space="preserve"> </w:t>
            </w:r>
            <w:r>
              <w:rPr>
                <w:rFonts w:ascii="Times New Roman" w:hAnsi="Times New Roman" w:eastAsia="Times New Roman" w:cs="Times New Roman"/>
                <w:spacing w:val="3"/>
                <w:highlight w:val="none"/>
              </w:rPr>
              <w:t>458.75</w:t>
            </w:r>
            <w:r>
              <w:rPr>
                <w:rFonts w:ascii="Times New Roman" w:hAnsi="Times New Roman" w:eastAsia="Times New Roman" w:cs="Times New Roman"/>
                <w:spacing w:val="16"/>
                <w:highlight w:val="none"/>
              </w:rPr>
              <w:t xml:space="preserve"> </w:t>
            </w:r>
            <w:r>
              <w:rPr>
                <w:spacing w:val="3"/>
                <w:highlight w:val="none"/>
              </w:rPr>
              <w:t>公顷用地调入园区范</w:t>
            </w:r>
            <w:r>
              <w:rPr>
                <w:spacing w:val="2"/>
                <w:highlight w:val="none"/>
              </w:rPr>
              <w:t>围，并将由园区管辖的洪山洞建材产业片区</w:t>
            </w:r>
            <w:r>
              <w:rPr>
                <w:spacing w:val="-16"/>
                <w:highlight w:val="none"/>
              </w:rPr>
              <w:t xml:space="preserve"> </w:t>
            </w:r>
            <w:r>
              <w:rPr>
                <w:rFonts w:ascii="Times New Roman" w:hAnsi="Times New Roman" w:eastAsia="Times New Roman" w:cs="Times New Roman"/>
                <w:spacing w:val="2"/>
                <w:highlight w:val="none"/>
              </w:rPr>
              <w:t>188.25</w:t>
            </w:r>
            <w:r>
              <w:rPr>
                <w:rFonts w:ascii="Times New Roman" w:hAnsi="Times New Roman" w:eastAsia="Times New Roman" w:cs="Times New Roman"/>
                <w:spacing w:val="19"/>
                <w:highlight w:val="none"/>
              </w:rPr>
              <w:t xml:space="preserve"> </w:t>
            </w:r>
            <w:r>
              <w:rPr>
                <w:spacing w:val="2"/>
                <w:highlight w:val="none"/>
              </w:rPr>
              <w:t>公顷</w:t>
            </w:r>
            <w:r>
              <w:rPr>
                <w:spacing w:val="8"/>
                <w:highlight w:val="none"/>
              </w:rPr>
              <w:t>用地调入园区范围，调扩区后园区面积增加至</w:t>
            </w:r>
            <w:r>
              <w:rPr>
                <w:spacing w:val="-35"/>
                <w:highlight w:val="none"/>
              </w:rPr>
              <w:t xml:space="preserve"> </w:t>
            </w:r>
            <w:r>
              <w:rPr>
                <w:rFonts w:ascii="Times New Roman" w:hAnsi="Times New Roman" w:eastAsia="Times New Roman" w:cs="Times New Roman"/>
                <w:spacing w:val="8"/>
                <w:highlight w:val="none"/>
              </w:rPr>
              <w:t>916</w:t>
            </w:r>
            <w:r>
              <w:rPr>
                <w:rFonts w:ascii="Times New Roman" w:hAnsi="Times New Roman" w:eastAsia="Times New Roman" w:cs="Times New Roman"/>
                <w:spacing w:val="16"/>
                <w:w w:val="101"/>
                <w:highlight w:val="none"/>
              </w:rPr>
              <w:t xml:space="preserve"> </w:t>
            </w:r>
            <w:r>
              <w:rPr>
                <w:spacing w:val="8"/>
                <w:highlight w:val="none"/>
              </w:rPr>
              <w:t>公顷，</w:t>
            </w:r>
            <w:r>
              <w:rPr>
                <w:rFonts w:ascii="Times New Roman" w:hAnsi="Times New Roman" w:eastAsia="Times New Roman" w:cs="Times New Roman"/>
                <w:spacing w:val="8"/>
                <w:highlight w:val="none"/>
              </w:rPr>
              <w:t>“</w:t>
            </w:r>
            <w:r>
              <w:rPr>
                <w:spacing w:val="8"/>
                <w:highlight w:val="none"/>
              </w:rPr>
              <w:t>一园两区</w:t>
            </w:r>
            <w:r>
              <w:rPr>
                <w:rFonts w:ascii="Times New Roman" w:hAnsi="Times New Roman" w:eastAsia="Times New Roman" w:cs="Times New Roman"/>
                <w:spacing w:val="8"/>
                <w:highlight w:val="none"/>
              </w:rPr>
              <w:t>”</w:t>
            </w:r>
            <w:r>
              <w:rPr>
                <w:spacing w:val="8"/>
                <w:highlight w:val="none"/>
              </w:rPr>
              <w:t>架构具体为：主产业片区规划面积</w:t>
            </w:r>
            <w:r>
              <w:rPr>
                <w:rFonts w:ascii="Times New Roman" w:hAnsi="Times New Roman" w:eastAsia="Times New Roman" w:cs="Times New Roman"/>
                <w:spacing w:val="7"/>
                <w:highlight w:val="none"/>
              </w:rPr>
              <w:t>727.75</w:t>
            </w:r>
            <w:r>
              <w:rPr>
                <w:rFonts w:ascii="Times New Roman" w:hAnsi="Times New Roman" w:eastAsia="Times New Roman" w:cs="Times New Roman"/>
                <w:spacing w:val="31"/>
                <w:highlight w:val="none"/>
              </w:rPr>
              <w:t xml:space="preserve"> </w:t>
            </w:r>
            <w:r>
              <w:rPr>
                <w:spacing w:val="7"/>
                <w:highlight w:val="none"/>
              </w:rPr>
              <w:t>公顷，东至林科所－燎原村植山和方杨片一线，</w:t>
            </w:r>
            <w:r>
              <w:rPr>
                <w:spacing w:val="9"/>
                <w:highlight w:val="none"/>
              </w:rPr>
              <w:t>南至兴园村刘介章</w:t>
            </w:r>
            <w:r>
              <w:rPr>
                <w:rFonts w:ascii="Times New Roman" w:hAnsi="Times New Roman" w:eastAsia="Times New Roman" w:cs="Times New Roman"/>
                <w:spacing w:val="9"/>
                <w:highlight w:val="none"/>
              </w:rPr>
              <w:t>-</w:t>
            </w:r>
            <w:r>
              <w:rPr>
                <w:spacing w:val="9"/>
                <w:highlight w:val="none"/>
              </w:rPr>
              <w:t>燎原村植山和方杨片一线，西至林冲路－武广高铁线，北至东方村易家组－城南大道线，</w:t>
            </w:r>
            <w:r>
              <w:rPr>
                <w:spacing w:val="7"/>
                <w:highlight w:val="none"/>
              </w:rPr>
              <w:t>主要发展生物医药、机械制造、新材料（主要包括生物基材料制造、结构性金属制品制造、数码耗材和耐火耐</w:t>
            </w:r>
            <w:r>
              <w:rPr>
                <w:spacing w:val="6"/>
                <w:highlight w:val="none"/>
              </w:rPr>
              <w:t>磨材料等）。洪山洞产业片区规划面积</w:t>
            </w:r>
            <w:r>
              <w:rPr>
                <w:spacing w:val="-7"/>
                <w:highlight w:val="none"/>
              </w:rPr>
              <w:t xml:space="preserve"> </w:t>
            </w:r>
            <w:r>
              <w:rPr>
                <w:rFonts w:ascii="Times New Roman" w:hAnsi="Times New Roman" w:eastAsia="Times New Roman" w:cs="Times New Roman"/>
                <w:spacing w:val="6"/>
                <w:highlight w:val="none"/>
              </w:rPr>
              <w:t xml:space="preserve">188.25  </w:t>
            </w:r>
            <w:r>
              <w:rPr>
                <w:spacing w:val="6"/>
                <w:highlight w:val="none"/>
              </w:rPr>
              <w:t>公顷，</w:t>
            </w:r>
            <w:r>
              <w:rPr>
                <w:spacing w:val="4"/>
                <w:highlight w:val="none"/>
              </w:rPr>
              <w:t>东至</w:t>
            </w:r>
            <w:r>
              <w:rPr>
                <w:spacing w:val="-12"/>
                <w:highlight w:val="none"/>
              </w:rPr>
              <w:t xml:space="preserve"> </w:t>
            </w:r>
            <w:r>
              <w:rPr>
                <w:rFonts w:ascii="Times New Roman" w:hAnsi="Times New Roman" w:eastAsia="Times New Roman" w:cs="Times New Roman"/>
                <w:spacing w:val="4"/>
                <w:highlight w:val="none"/>
              </w:rPr>
              <w:t>107</w:t>
            </w:r>
            <w:r>
              <w:rPr>
                <w:rFonts w:ascii="Times New Roman" w:hAnsi="Times New Roman" w:eastAsia="Times New Roman" w:cs="Times New Roman"/>
                <w:spacing w:val="30"/>
                <w:w w:val="101"/>
                <w:highlight w:val="none"/>
              </w:rPr>
              <w:t xml:space="preserve"> </w:t>
            </w:r>
            <w:r>
              <w:rPr>
                <w:spacing w:val="4"/>
                <w:highlight w:val="none"/>
              </w:rPr>
              <w:t>国道西侧，南至长湖村李子角，西至长湖村千</w:t>
            </w:r>
            <w:r>
              <w:rPr>
                <w:spacing w:val="7"/>
                <w:highlight w:val="none"/>
              </w:rPr>
              <w:t>公塘，北至亚泰陶瓷公司北侧，主要发展建筑材料（主要包括陶瓷制品、水泥制品等）。园区总体及各片区具体面积范围与相关坐标信息，以省政府及相关职能部门核准、认定的信息为准。</w:t>
            </w:r>
          </w:p>
        </w:tc>
        <w:tc>
          <w:tcPr>
            <w:tcW w:w="1255" w:type="pct"/>
            <w:tcBorders>
              <w:tl2br w:val="nil"/>
              <w:tr2bl w:val="nil"/>
            </w:tcBorders>
            <w:vAlign w:val="center"/>
          </w:tcPr>
          <w:p w14:paraId="55CC74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020F4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D3433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5FC10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A0F30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76EF5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22149EF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highlight w:val="none"/>
                <w:lang w:val="en-US" w:eastAsia="zh-CN"/>
              </w:rPr>
            </w:pPr>
            <w:r>
              <w:rPr>
                <w:rFonts w:hint="eastAsia"/>
                <w:spacing w:val="8"/>
                <w:highlight w:val="none"/>
              </w:rPr>
              <w:t>本项目位于岳阳县荣家湾镇岳阳高新技术产业园区武广路3号</w:t>
            </w:r>
            <w:r>
              <w:rPr>
                <w:spacing w:val="9"/>
                <w:highlight w:val="none"/>
              </w:rPr>
              <w:t>，位于主产业片区的南部，本项目</w:t>
            </w:r>
            <w:r>
              <w:rPr>
                <w:rFonts w:hint="eastAsia"/>
                <w:highlight w:val="none"/>
                <w:lang w:val="en-US" w:eastAsia="zh-CN"/>
              </w:rPr>
              <w:t>为复配生物酶制剂及酶制剂助剂应</w:t>
            </w:r>
            <w:r>
              <w:rPr>
                <w:rFonts w:hint="eastAsia"/>
                <w:spacing w:val="9"/>
                <w:highlight w:val="none"/>
                <w:lang w:val="en-US" w:eastAsia="zh-CN"/>
              </w:rPr>
              <w:t>用项目，符合园区功能规划和产业定位。</w:t>
            </w:r>
          </w:p>
        </w:tc>
        <w:tc>
          <w:tcPr>
            <w:tcW w:w="460" w:type="pct"/>
            <w:tcBorders>
              <w:tl2br w:val="nil"/>
              <w:tr2bl w:val="nil"/>
            </w:tcBorders>
            <w:vAlign w:val="center"/>
          </w:tcPr>
          <w:p w14:paraId="57C10F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7B8B98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ABFB0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E9BA4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A4037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98092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37BEB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1993DA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627CE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8B252E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3"/>
                <w:highlight w:val="none"/>
              </w:rPr>
              <w:t>符合</w:t>
            </w:r>
          </w:p>
        </w:tc>
      </w:tr>
      <w:tr w14:paraId="562E1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6" w:hRule="atLeast"/>
        </w:trPr>
        <w:tc>
          <w:tcPr>
            <w:tcW w:w="311" w:type="pct"/>
            <w:tcBorders>
              <w:tl2br w:val="nil"/>
              <w:tr2bl w:val="nil"/>
            </w:tcBorders>
            <w:vAlign w:val="center"/>
          </w:tcPr>
          <w:p w14:paraId="7931A1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466E9C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05ECC4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49EC7D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3884E8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5BC7C5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521EC1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2</w:t>
            </w:r>
          </w:p>
        </w:tc>
        <w:tc>
          <w:tcPr>
            <w:tcW w:w="2972" w:type="pct"/>
            <w:tcBorders>
              <w:tl2br w:val="nil"/>
              <w:tr2bl w:val="nil"/>
            </w:tcBorders>
            <w:vAlign w:val="center"/>
          </w:tcPr>
          <w:p w14:paraId="73D70AB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7"/>
                <w:highlight w:val="none"/>
              </w:rPr>
              <w:t>（一）严格依规开发，优化空间功能布局。园区在下一</w:t>
            </w:r>
            <w:r>
              <w:rPr>
                <w:spacing w:val="9"/>
                <w:highlight w:val="none"/>
              </w:rPr>
              <w:t>步开发建设过程中应按照最新的国土空间规划科学布</w:t>
            </w:r>
            <w:r>
              <w:rPr>
                <w:spacing w:val="7"/>
                <w:highlight w:val="none"/>
              </w:rPr>
              <w:t>局，将空间管控要求融入园区规划实施全过程，园区规划用地不得涉及各类法定保护地，严格按照经核准的规划范围开展园区建设。从环境相容性的角度优化区域功能布局，主产业片区西部紧邻县城的生物医药产业区应严格限制气型污染为主的企业入驻，并对于已有的兰塘村安置区、惠民小区等集中居住区周边工业企业气型污</w:t>
            </w:r>
            <w:r>
              <w:rPr>
                <w:spacing w:val="2"/>
                <w:highlight w:val="none"/>
              </w:rPr>
              <w:t>染予以重点控制。园区应严格边界管控，控制发展规模，</w:t>
            </w:r>
            <w:r>
              <w:rPr>
                <w:spacing w:val="7"/>
                <w:highlight w:val="none"/>
              </w:rPr>
              <w:t>严守《长江保护法》《长江经济带发展负面清单》及其相关条款的修订和释义要求，后续法律法规及相关政策</w:t>
            </w:r>
            <w:r>
              <w:rPr>
                <w:spacing w:val="9"/>
                <w:highlight w:val="none"/>
              </w:rPr>
              <w:t>有新的禁止和限制性要求的，应严格予以执</w:t>
            </w:r>
            <w:r>
              <w:rPr>
                <w:spacing w:val="8"/>
                <w:highlight w:val="none"/>
              </w:rPr>
              <w:t>行。</w:t>
            </w:r>
          </w:p>
        </w:tc>
        <w:tc>
          <w:tcPr>
            <w:tcW w:w="1255" w:type="pct"/>
            <w:tcBorders>
              <w:tl2br w:val="nil"/>
              <w:tr2bl w:val="nil"/>
            </w:tcBorders>
            <w:vAlign w:val="center"/>
          </w:tcPr>
          <w:p w14:paraId="7EA9F912">
            <w:pPr>
              <w:pStyle w:val="36"/>
              <w:rPr>
                <w:rFonts w:ascii="Arial"/>
                <w:sz w:val="21"/>
                <w:highlight w:val="none"/>
              </w:rPr>
            </w:pPr>
          </w:p>
          <w:p w14:paraId="5CBDBE69">
            <w:pPr>
              <w:pStyle w:val="36"/>
              <w:rPr>
                <w:rFonts w:ascii="Arial"/>
                <w:sz w:val="21"/>
                <w:highlight w:val="none"/>
              </w:rPr>
            </w:pPr>
          </w:p>
          <w:p w14:paraId="47D3BBB4">
            <w:pPr>
              <w:pStyle w:val="36"/>
              <w:rPr>
                <w:rFonts w:ascii="Arial"/>
                <w:sz w:val="21"/>
                <w:highlight w:val="none"/>
              </w:rPr>
            </w:pPr>
          </w:p>
          <w:p w14:paraId="1826824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本项目位于岳阳高新技术产业园区，位于主产</w:t>
            </w:r>
            <w:r>
              <w:rPr>
                <w:spacing w:val="9"/>
                <w:highlight w:val="none"/>
              </w:rPr>
              <w:t>业片区的南部，远离已有的兰塘村安置区、惠</w:t>
            </w:r>
            <w:r>
              <w:rPr>
                <w:spacing w:val="6"/>
                <w:highlight w:val="none"/>
              </w:rPr>
              <w:t>民小区等集中居住，符</w:t>
            </w:r>
            <w:r>
              <w:rPr>
                <w:spacing w:val="7"/>
                <w:highlight w:val="none"/>
              </w:rPr>
              <w:t>合园区功能区划。</w:t>
            </w:r>
          </w:p>
        </w:tc>
        <w:tc>
          <w:tcPr>
            <w:tcW w:w="460" w:type="pct"/>
            <w:tcBorders>
              <w:tl2br w:val="nil"/>
              <w:tr2bl w:val="nil"/>
            </w:tcBorders>
            <w:vAlign w:val="center"/>
          </w:tcPr>
          <w:p w14:paraId="06AB66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1D0FF8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2DCD33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440AB0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4DD1A4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1C9A5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5D67E5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3"/>
                <w:highlight w:val="none"/>
              </w:rPr>
              <w:t>符合</w:t>
            </w:r>
          </w:p>
        </w:tc>
      </w:tr>
      <w:tr w14:paraId="412DD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311" w:type="pct"/>
            <w:tcBorders>
              <w:tl2br w:val="nil"/>
              <w:tr2bl w:val="nil"/>
            </w:tcBorders>
            <w:vAlign w:val="center"/>
          </w:tcPr>
          <w:p w14:paraId="16BDB7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7F0654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5E20EB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55A823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z w:val="20"/>
                <w:szCs w:val="20"/>
                <w:highlight w:val="none"/>
              </w:rPr>
              <w:t>3</w:t>
            </w:r>
          </w:p>
        </w:tc>
        <w:tc>
          <w:tcPr>
            <w:tcW w:w="2972" w:type="pct"/>
            <w:tcBorders>
              <w:tl2br w:val="nil"/>
              <w:tr2bl w:val="nil"/>
            </w:tcBorders>
            <w:vAlign w:val="center"/>
          </w:tcPr>
          <w:p w14:paraId="583D2EF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7"/>
                <w:highlight w:val="none"/>
              </w:rPr>
              <w:t>（二）严格环境准入，优化园区产业结构。园区</w:t>
            </w:r>
            <w:r>
              <w:rPr>
                <w:spacing w:val="6"/>
                <w:highlight w:val="none"/>
              </w:rPr>
              <w:t>产业引</w:t>
            </w:r>
            <w:r>
              <w:rPr>
                <w:spacing w:val="8"/>
                <w:highlight w:val="none"/>
              </w:rPr>
              <w:t>进应落实园区</w:t>
            </w:r>
            <w:r>
              <w:rPr>
                <w:rFonts w:ascii="Times New Roman" w:hAnsi="Times New Roman" w:eastAsia="Times New Roman" w:cs="Times New Roman"/>
                <w:spacing w:val="8"/>
                <w:highlight w:val="none"/>
              </w:rPr>
              <w:t>“</w:t>
            </w:r>
            <w:r>
              <w:rPr>
                <w:spacing w:val="8"/>
                <w:highlight w:val="none"/>
              </w:rPr>
              <w:t>三线一单</w:t>
            </w:r>
            <w:r>
              <w:rPr>
                <w:rFonts w:ascii="Times New Roman" w:hAnsi="Times New Roman" w:eastAsia="Times New Roman" w:cs="Times New Roman"/>
                <w:spacing w:val="8"/>
                <w:highlight w:val="none"/>
              </w:rPr>
              <w:t>”</w:t>
            </w:r>
            <w:r>
              <w:rPr>
                <w:spacing w:val="8"/>
                <w:highlight w:val="none"/>
              </w:rPr>
              <w:t>环境准入要求，严格执行《报</w:t>
            </w:r>
            <w:r>
              <w:rPr>
                <w:spacing w:val="7"/>
                <w:highlight w:val="none"/>
              </w:rPr>
              <w:t>告书》提出的产业定位和环境准入负面清单，园区医药产业定位应以现有产业的配套和延伸为主，限制新引进</w:t>
            </w:r>
            <w:r>
              <w:rPr>
                <w:spacing w:val="9"/>
                <w:highlight w:val="none"/>
              </w:rPr>
              <w:t>排水大的项目并严格执行环境准入清单中所设置的产</w:t>
            </w:r>
            <w:r>
              <w:rPr>
                <w:spacing w:val="7"/>
                <w:highlight w:val="none"/>
              </w:rPr>
              <w:t>业排水限制要求。</w:t>
            </w:r>
          </w:p>
        </w:tc>
        <w:tc>
          <w:tcPr>
            <w:tcW w:w="1255" w:type="pct"/>
            <w:tcBorders>
              <w:tl2br w:val="nil"/>
              <w:tr2bl w:val="nil"/>
            </w:tcBorders>
            <w:vAlign w:val="center"/>
          </w:tcPr>
          <w:p w14:paraId="7AB3FFAD">
            <w:pPr>
              <w:pStyle w:val="36"/>
              <w:keepNext w:val="0"/>
              <w:keepLines w:val="0"/>
              <w:pageBreakBefore w:val="0"/>
              <w:wordWrap/>
              <w:overflowPunct/>
              <w:topLinePunct w:val="0"/>
              <w:bidi w:val="0"/>
              <w:spacing w:line="240" w:lineRule="auto"/>
              <w:ind w:left="0" w:right="0" w:firstLine="0" w:firstLineChars="0"/>
              <w:jc w:val="center"/>
              <w:rPr>
                <w:rFonts w:hint="eastAsia" w:eastAsia="宋体"/>
                <w:highlight w:val="none"/>
                <w:lang w:eastAsia="zh-CN"/>
              </w:rPr>
            </w:pPr>
            <w:r>
              <w:rPr>
                <w:rFonts w:hint="eastAsia"/>
                <w:spacing w:val="7"/>
                <w:highlight w:val="none"/>
                <w:lang w:val="en-US" w:eastAsia="zh-CN"/>
              </w:rPr>
              <w:t>本项目的建设满足园区 “三线一单”环境准入要 求，本项目属于复配生物酶制剂及酶制剂助剂应用项目</w:t>
            </w:r>
            <w:r>
              <w:rPr>
                <w:spacing w:val="7"/>
                <w:highlight w:val="none"/>
              </w:rPr>
              <w:t>，不属于园区禁止类以及限制</w:t>
            </w:r>
            <w:r>
              <w:rPr>
                <w:spacing w:val="6"/>
                <w:highlight w:val="none"/>
              </w:rPr>
              <w:t>类产业</w:t>
            </w:r>
            <w:r>
              <w:rPr>
                <w:rFonts w:hint="eastAsia"/>
                <w:spacing w:val="6"/>
                <w:highlight w:val="none"/>
                <w:lang w:eastAsia="zh-CN"/>
              </w:rPr>
              <w:t>，</w:t>
            </w:r>
            <w:r>
              <w:rPr>
                <w:rFonts w:hint="eastAsia"/>
                <w:spacing w:val="6"/>
                <w:highlight w:val="none"/>
                <w:lang w:val="en-US" w:eastAsia="zh-CN"/>
              </w:rPr>
              <w:t>不</w:t>
            </w:r>
            <w:r>
              <w:rPr>
                <w:spacing w:val="12"/>
                <w:highlight w:val="none"/>
              </w:rPr>
              <w:t>属于排水量大的水型污染企业</w:t>
            </w:r>
            <w:r>
              <w:rPr>
                <w:rFonts w:hint="eastAsia"/>
                <w:spacing w:val="12"/>
                <w:highlight w:val="none"/>
                <w:lang w:eastAsia="zh-CN"/>
              </w:rPr>
              <w:t>。</w:t>
            </w:r>
          </w:p>
        </w:tc>
        <w:tc>
          <w:tcPr>
            <w:tcW w:w="460" w:type="pct"/>
            <w:tcBorders>
              <w:tl2br w:val="nil"/>
              <w:tr2bl w:val="nil"/>
            </w:tcBorders>
            <w:vAlign w:val="center"/>
          </w:tcPr>
          <w:p w14:paraId="3B8058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5E780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8382C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C1673C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3"/>
                <w:highlight w:val="none"/>
              </w:rPr>
              <w:t>符合</w:t>
            </w:r>
          </w:p>
        </w:tc>
      </w:tr>
      <w:tr w14:paraId="2321B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311" w:type="pct"/>
            <w:tcBorders>
              <w:tl2br w:val="nil"/>
              <w:tr2bl w:val="nil"/>
            </w:tcBorders>
            <w:vAlign w:val="center"/>
          </w:tcPr>
          <w:p w14:paraId="374E26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6F467E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68DBCF6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34A05A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765C10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2B9A89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466079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2E9AF7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6C0172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0B4E31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4C34F2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38E249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0F16D6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64E7C6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332242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2FC33A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z w:val="21"/>
                <w:highlight w:val="none"/>
              </w:rPr>
            </w:pPr>
          </w:p>
          <w:p w14:paraId="17728EF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Times New Roman" w:cs="Times New Roman"/>
                <w:sz w:val="20"/>
                <w:szCs w:val="20"/>
                <w:highlight w:val="none"/>
              </w:rPr>
            </w:pPr>
            <w:r>
              <w:rPr>
                <w:rFonts w:hint="default" w:ascii="Times New Roman" w:hAnsi="Times New Roman" w:eastAsia="Times New Roman" w:cs="Times New Roman"/>
                <w:spacing w:val="1"/>
                <w:sz w:val="20"/>
                <w:szCs w:val="20"/>
                <w:highlight w:val="none"/>
              </w:rPr>
              <w:t>4</w:t>
            </w:r>
          </w:p>
        </w:tc>
        <w:tc>
          <w:tcPr>
            <w:tcW w:w="2972" w:type="pct"/>
            <w:tcBorders>
              <w:tl2br w:val="nil"/>
              <w:tr2bl w:val="nil"/>
            </w:tcBorders>
            <w:vAlign w:val="center"/>
          </w:tcPr>
          <w:p w14:paraId="50D6D95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pacing w:val="7"/>
                <w:highlight w:val="none"/>
              </w:rPr>
            </w:pPr>
            <w:r>
              <w:rPr>
                <w:color w:val="auto"/>
                <w:spacing w:val="7"/>
                <w:highlight w:val="none"/>
              </w:rPr>
              <w:t>（三）落实管控措施，加强园区排污管理。完善</w:t>
            </w:r>
            <w:r>
              <w:rPr>
                <w:color w:val="auto"/>
                <w:spacing w:val="6"/>
                <w:highlight w:val="none"/>
              </w:rPr>
              <w:t>园区污</w:t>
            </w:r>
            <w:r>
              <w:rPr>
                <w:color w:val="auto"/>
                <w:spacing w:val="7"/>
                <w:highlight w:val="none"/>
              </w:rPr>
              <w:t>水管网建设，做好雨污分流，确保园区各片区生产生活污水应收尽收，集中排入污水处理厂，园区不得超过污</w:t>
            </w:r>
            <w:r>
              <w:rPr>
                <w:color w:val="auto"/>
                <w:spacing w:val="9"/>
                <w:highlight w:val="none"/>
              </w:rPr>
              <w:t>水处理厂的处理能力和排污口审批所规定的废水排放</w:t>
            </w:r>
            <w:r>
              <w:rPr>
                <w:color w:val="auto"/>
                <w:spacing w:val="7"/>
                <w:highlight w:val="none"/>
              </w:rPr>
              <w:t>量引进项目。岳阳高新技术产业园区污水处理厂出水应严格执行《湖南省城镇污水处理厂主要水污染物排放标准（</w:t>
            </w:r>
            <w:r>
              <w:rPr>
                <w:rFonts w:ascii="Times New Roman" w:hAnsi="Times New Roman" w:eastAsia="Times New Roman" w:cs="Times New Roman"/>
                <w:color w:val="auto"/>
                <w:highlight w:val="none"/>
              </w:rPr>
              <w:t>DB</w:t>
            </w:r>
            <w:r>
              <w:rPr>
                <w:rFonts w:ascii="Times New Roman" w:hAnsi="Times New Roman" w:eastAsia="Times New Roman" w:cs="Times New Roman"/>
                <w:color w:val="auto"/>
                <w:spacing w:val="7"/>
                <w:highlight w:val="none"/>
              </w:rPr>
              <w:t>43T</w:t>
            </w:r>
            <w:r>
              <w:rPr>
                <w:rFonts w:ascii="Times New Roman" w:hAnsi="Times New Roman" w:eastAsia="Times New Roman" w:cs="Times New Roman"/>
                <w:color w:val="auto"/>
                <w:spacing w:val="27"/>
                <w:highlight w:val="none"/>
              </w:rPr>
              <w:t xml:space="preserve"> </w:t>
            </w:r>
            <w:r>
              <w:rPr>
                <w:rFonts w:ascii="Times New Roman" w:hAnsi="Times New Roman" w:eastAsia="Times New Roman" w:cs="Times New Roman"/>
                <w:color w:val="auto"/>
                <w:spacing w:val="7"/>
                <w:highlight w:val="none"/>
              </w:rPr>
              <w:t>1546-2018</w:t>
            </w:r>
            <w:r>
              <w:rPr>
                <w:color w:val="auto"/>
                <w:spacing w:val="7"/>
                <w:highlight w:val="none"/>
              </w:rPr>
              <w:t>）》一级标准、其余未包含</w:t>
            </w:r>
            <w:r>
              <w:rPr>
                <w:color w:val="auto"/>
                <w:spacing w:val="6"/>
                <w:highlight w:val="none"/>
              </w:rPr>
              <w:t>指标</w:t>
            </w:r>
            <w:r>
              <w:rPr>
                <w:color w:val="auto"/>
                <w:spacing w:val="8"/>
                <w:highlight w:val="none"/>
              </w:rPr>
              <w:t>执行《城镇污水处理厂污染物排放标准》</w:t>
            </w:r>
            <w:r>
              <w:rPr>
                <w:color w:val="auto"/>
                <w:spacing w:val="7"/>
                <w:highlight w:val="none"/>
              </w:rPr>
              <w:t>（</w:t>
            </w:r>
            <w:r>
              <w:rPr>
                <w:rFonts w:ascii="Times New Roman" w:hAnsi="Times New Roman" w:eastAsia="Times New Roman" w:cs="Times New Roman"/>
                <w:color w:val="auto"/>
                <w:highlight w:val="none"/>
              </w:rPr>
              <w:t>GB</w:t>
            </w:r>
            <w:r>
              <w:rPr>
                <w:rFonts w:ascii="Times New Roman" w:hAnsi="Times New Roman" w:eastAsia="Times New Roman" w:cs="Times New Roman"/>
                <w:color w:val="auto"/>
                <w:spacing w:val="7"/>
                <w:highlight w:val="none"/>
              </w:rPr>
              <w:t>18918-2002</w:t>
            </w:r>
            <w:r>
              <w:rPr>
                <w:color w:val="auto"/>
                <w:spacing w:val="7"/>
                <w:highlight w:val="none"/>
              </w:rPr>
              <w:t>）一级</w:t>
            </w:r>
            <w:r>
              <w:rPr>
                <w:color w:val="auto"/>
                <w:spacing w:val="-39"/>
                <w:highlight w:val="none"/>
              </w:rPr>
              <w:t xml:space="preserve"> </w:t>
            </w:r>
            <w:r>
              <w:rPr>
                <w:rFonts w:ascii="Times New Roman" w:hAnsi="Times New Roman" w:eastAsia="Times New Roman" w:cs="Times New Roman"/>
                <w:color w:val="auto"/>
                <w:spacing w:val="7"/>
                <w:highlight w:val="none"/>
              </w:rPr>
              <w:t xml:space="preserve">A </w:t>
            </w:r>
            <w:r>
              <w:rPr>
                <w:color w:val="auto"/>
                <w:spacing w:val="7"/>
                <w:highlight w:val="none"/>
              </w:rPr>
              <w:t>标准，在东洞庭湖水质达到《地表水环境质量标准》中</w:t>
            </w:r>
            <w:r>
              <w:rPr>
                <w:rFonts w:ascii="Times New Roman" w:hAnsi="Times New Roman" w:eastAsia="Times New Roman" w:cs="Times New Roman"/>
                <w:color w:val="auto"/>
                <w:spacing w:val="7"/>
                <w:highlight w:val="none"/>
              </w:rPr>
              <w:t>Ⅲ</w:t>
            </w:r>
            <w:r>
              <w:rPr>
                <w:color w:val="auto"/>
                <w:spacing w:val="7"/>
                <w:highlight w:val="none"/>
              </w:rPr>
              <w:t>类标准（湖、库标准）之</w:t>
            </w:r>
            <w:r>
              <w:rPr>
                <w:color w:val="auto"/>
                <w:spacing w:val="5"/>
                <w:highlight w:val="none"/>
              </w:rPr>
              <w:t>前，岳阳高新技术产业园区污水处理厂原则上维持</w:t>
            </w:r>
            <w:r>
              <w:rPr>
                <w:color w:val="auto"/>
                <w:spacing w:val="-8"/>
                <w:highlight w:val="none"/>
              </w:rPr>
              <w:t xml:space="preserve"> </w:t>
            </w:r>
            <w:r>
              <w:rPr>
                <w:rFonts w:ascii="Times New Roman" w:hAnsi="Times New Roman" w:eastAsia="Times New Roman" w:cs="Times New Roman"/>
                <w:color w:val="auto"/>
                <w:spacing w:val="5"/>
                <w:highlight w:val="none"/>
              </w:rPr>
              <w:t>1</w:t>
            </w:r>
            <w:r>
              <w:rPr>
                <w:rFonts w:ascii="Times New Roman" w:hAnsi="Times New Roman" w:eastAsia="Times New Roman" w:cs="Times New Roman"/>
                <w:color w:val="auto"/>
                <w:spacing w:val="14"/>
                <w:w w:val="101"/>
                <w:highlight w:val="none"/>
              </w:rPr>
              <w:t xml:space="preserve"> </w:t>
            </w:r>
            <w:r>
              <w:rPr>
                <w:color w:val="auto"/>
                <w:spacing w:val="5"/>
                <w:highlight w:val="none"/>
              </w:rPr>
              <w:t>万</w:t>
            </w:r>
            <w:r>
              <w:rPr>
                <w:rFonts w:ascii="Times New Roman" w:hAnsi="Times New Roman" w:eastAsia="Times New Roman" w:cs="Times New Roman"/>
                <w:color w:val="auto"/>
                <w:spacing w:val="5"/>
                <w:highlight w:val="none"/>
              </w:rPr>
              <w:t>m</w:t>
            </w:r>
            <w:r>
              <w:rPr>
                <w:rFonts w:ascii="Times New Roman" w:hAnsi="Times New Roman" w:eastAsia="Times New Roman" w:cs="Times New Roman"/>
                <w:color w:val="auto"/>
                <w:spacing w:val="5"/>
                <w:highlight w:val="none"/>
                <w:vertAlign w:val="superscript"/>
              </w:rPr>
              <w:t>3</w:t>
            </w:r>
            <w:r>
              <w:rPr>
                <w:rFonts w:ascii="Times New Roman" w:hAnsi="Times New Roman" w:eastAsia="Times New Roman" w:cs="Times New Roman"/>
                <w:color w:val="auto"/>
                <w:spacing w:val="5"/>
                <w:highlight w:val="none"/>
              </w:rPr>
              <w:t>/d</w:t>
            </w:r>
            <w:r>
              <w:rPr>
                <w:rFonts w:ascii="Times New Roman" w:hAnsi="Times New Roman" w:eastAsia="Times New Roman" w:cs="Times New Roman"/>
                <w:color w:val="auto"/>
                <w:spacing w:val="15"/>
                <w:w w:val="101"/>
                <w:highlight w:val="none"/>
              </w:rPr>
              <w:t xml:space="preserve"> </w:t>
            </w:r>
            <w:r>
              <w:rPr>
                <w:color w:val="auto"/>
                <w:spacing w:val="5"/>
                <w:highlight w:val="none"/>
              </w:rPr>
              <w:t>处理规模。严格限制入园企业的总磷</w:t>
            </w:r>
            <w:r>
              <w:rPr>
                <w:color w:val="auto"/>
                <w:spacing w:val="4"/>
                <w:highlight w:val="none"/>
              </w:rPr>
              <w:t>排放浓度，园</w:t>
            </w:r>
            <w:r>
              <w:rPr>
                <w:color w:val="auto"/>
                <w:spacing w:val="6"/>
                <w:highlight w:val="none"/>
              </w:rPr>
              <w:t>区污水处理厂进水总磷浓度应控制在</w:t>
            </w:r>
            <w:r>
              <w:rPr>
                <w:color w:val="auto"/>
                <w:spacing w:val="-41"/>
                <w:highlight w:val="none"/>
              </w:rPr>
              <w:t xml:space="preserve"> </w:t>
            </w:r>
            <w:r>
              <w:rPr>
                <w:rFonts w:ascii="Times New Roman" w:hAnsi="Times New Roman" w:eastAsia="Times New Roman" w:cs="Times New Roman"/>
                <w:color w:val="auto"/>
                <w:spacing w:val="6"/>
                <w:highlight w:val="none"/>
              </w:rPr>
              <w:t>6.5</w:t>
            </w:r>
            <w:r>
              <w:rPr>
                <w:rFonts w:ascii="Times New Roman" w:hAnsi="Times New Roman" w:eastAsia="Times New Roman" w:cs="Times New Roman"/>
                <w:color w:val="auto"/>
                <w:highlight w:val="none"/>
              </w:rPr>
              <w:t>mg</w:t>
            </w:r>
            <w:r>
              <w:rPr>
                <w:rFonts w:ascii="Times New Roman" w:hAnsi="Times New Roman" w:eastAsia="Times New Roman" w:cs="Times New Roman"/>
                <w:color w:val="auto"/>
                <w:spacing w:val="6"/>
                <w:highlight w:val="none"/>
              </w:rPr>
              <w:t>/L</w:t>
            </w:r>
            <w:r>
              <w:rPr>
                <w:rFonts w:ascii="Times New Roman" w:hAnsi="Times New Roman" w:eastAsia="Times New Roman" w:cs="Times New Roman"/>
                <w:color w:val="auto"/>
                <w:spacing w:val="18"/>
                <w:highlight w:val="none"/>
              </w:rPr>
              <w:t xml:space="preserve"> </w:t>
            </w:r>
            <w:r>
              <w:rPr>
                <w:color w:val="auto"/>
                <w:spacing w:val="6"/>
                <w:highlight w:val="none"/>
              </w:rPr>
              <w:t>以下以确</w:t>
            </w:r>
            <w:r>
              <w:rPr>
                <w:color w:val="auto"/>
                <w:spacing w:val="7"/>
                <w:highlight w:val="none"/>
              </w:rPr>
              <w:t>保污水处理厂的除磷效果。加快入河排污口前端人工湿地的建设，人工湿地应能完全接纳岳阳县县城生活污水处理厂和园区污水处理厂的尾水，并按照相关技术规范要求设计、施工和运行维护，保障人工湿地对总磷等污染物的去除效果。园区应推进清洁能源改造，并完善污</w:t>
            </w:r>
            <w:r>
              <w:rPr>
                <w:color w:val="auto"/>
                <w:spacing w:val="1"/>
                <w:highlight w:val="none"/>
              </w:rPr>
              <w:t>染防控措施。加强对重点排放企业的监管，加强对</w:t>
            </w:r>
            <w:r>
              <w:rPr>
                <w:color w:val="auto"/>
                <w:spacing w:val="-43"/>
                <w:highlight w:val="none"/>
              </w:rPr>
              <w:t xml:space="preserve"> </w:t>
            </w:r>
            <w:r>
              <w:rPr>
                <w:rFonts w:ascii="Times New Roman" w:hAnsi="Times New Roman" w:eastAsia="Times New Roman" w:cs="Times New Roman"/>
                <w:color w:val="auto"/>
                <w:highlight w:val="none"/>
              </w:rPr>
              <w:t>VOC</w:t>
            </w:r>
            <w:r>
              <w:rPr>
                <w:rFonts w:ascii="Times New Roman" w:hAnsi="Times New Roman" w:eastAsia="Times New Roman" w:cs="Times New Roman"/>
                <w:color w:val="auto"/>
                <w:position w:val="-1"/>
                <w:sz w:val="13"/>
                <w:szCs w:val="13"/>
                <w:highlight w:val="none"/>
              </w:rPr>
              <w:t>S</w:t>
            </w:r>
            <w:r>
              <w:rPr>
                <w:color w:val="auto"/>
                <w:spacing w:val="7"/>
                <w:highlight w:val="none"/>
              </w:rPr>
              <w:t>排放的治理，采取有效措施减少污染物排放总量。建立</w:t>
            </w:r>
            <w:r>
              <w:rPr>
                <w:color w:val="auto"/>
                <w:spacing w:val="6"/>
                <w:highlight w:val="none"/>
              </w:rPr>
              <w:t>园区固废规范化管理体系，做好工业固体废物和生活垃</w:t>
            </w:r>
            <w:r>
              <w:rPr>
                <w:color w:val="auto"/>
                <w:spacing w:val="7"/>
                <w:highlight w:val="none"/>
              </w:rPr>
              <w:t>圾的分类收集、转运、综合利用和无害化处理。对危险废物应严格按照国家有关规定综合利用或妥善处置，对</w:t>
            </w:r>
            <w:r>
              <w:rPr>
                <w:color w:val="auto"/>
                <w:spacing w:val="9"/>
                <w:highlight w:val="none"/>
              </w:rPr>
              <w:t>危险废物产生企业和经营单位，应强化日常环境监管，</w:t>
            </w:r>
            <w:r>
              <w:rPr>
                <w:color w:val="auto"/>
                <w:spacing w:val="8"/>
                <w:highlight w:val="none"/>
              </w:rPr>
              <w:t>园区须严格落实排污许可制度和污染物排放总量控制，</w:t>
            </w:r>
            <w:r>
              <w:rPr>
                <w:color w:val="auto"/>
                <w:spacing w:val="7"/>
                <w:highlight w:val="none"/>
              </w:rPr>
              <w:t>督促入园企业及时完成环境保护竣工验收工作，推动涉</w:t>
            </w:r>
            <w:r>
              <w:rPr>
                <w:color w:val="auto"/>
                <w:spacing w:val="8"/>
                <w:highlight w:val="none"/>
              </w:rPr>
              <w:t>及</w:t>
            </w:r>
            <w:r>
              <w:rPr>
                <w:color w:val="auto"/>
                <w:spacing w:val="-29"/>
                <w:highlight w:val="none"/>
              </w:rPr>
              <w:t xml:space="preserve"> </w:t>
            </w:r>
            <w:r>
              <w:rPr>
                <w:rFonts w:ascii="Times New Roman" w:hAnsi="Times New Roman" w:eastAsia="Times New Roman" w:cs="Times New Roman"/>
                <w:color w:val="auto"/>
                <w:highlight w:val="none"/>
              </w:rPr>
              <w:t>VOC</w:t>
            </w:r>
            <w:r>
              <w:rPr>
                <w:rFonts w:ascii="Times New Roman" w:hAnsi="Times New Roman" w:eastAsia="Times New Roman" w:cs="Times New Roman"/>
                <w:color w:val="auto"/>
                <w:position w:val="-1"/>
                <w:sz w:val="13"/>
                <w:szCs w:val="13"/>
                <w:highlight w:val="none"/>
              </w:rPr>
              <w:t>S</w:t>
            </w:r>
            <w:r>
              <w:rPr>
                <w:rFonts w:ascii="Times New Roman" w:hAnsi="Times New Roman" w:eastAsia="Times New Roman" w:cs="Times New Roman"/>
                <w:color w:val="auto"/>
                <w:spacing w:val="10"/>
                <w:w w:val="101"/>
                <w:position w:val="-1"/>
                <w:sz w:val="13"/>
                <w:szCs w:val="13"/>
                <w:highlight w:val="none"/>
              </w:rPr>
              <w:t xml:space="preserve"> </w:t>
            </w:r>
            <w:r>
              <w:rPr>
                <w:color w:val="auto"/>
                <w:spacing w:val="8"/>
                <w:highlight w:val="none"/>
              </w:rPr>
              <w:t>排放的主要企业完成清洁生产审核。园区应落</w:t>
            </w:r>
            <w:r>
              <w:rPr>
                <w:color w:val="auto"/>
                <w:spacing w:val="7"/>
                <w:highlight w:val="none"/>
              </w:rPr>
              <w:t>实第三方环境治理工作相关政策要求，强化对重点产排污企业的监管与服务。</w:t>
            </w:r>
          </w:p>
        </w:tc>
        <w:tc>
          <w:tcPr>
            <w:tcW w:w="1255" w:type="pct"/>
            <w:tcBorders>
              <w:tl2br w:val="nil"/>
              <w:tr2bl w:val="nil"/>
            </w:tcBorders>
            <w:vAlign w:val="center"/>
          </w:tcPr>
          <w:p w14:paraId="3FAD04A8">
            <w:pPr>
              <w:pStyle w:val="36"/>
              <w:keepNext w:val="0"/>
              <w:keepLines w:val="0"/>
              <w:pageBreakBefore w:val="0"/>
              <w:wordWrap/>
              <w:overflowPunct/>
              <w:topLinePunct w:val="0"/>
              <w:bidi w:val="0"/>
              <w:spacing w:line="240" w:lineRule="auto"/>
              <w:ind w:left="0" w:leftChars="0" w:right="0" w:firstLine="0" w:firstLineChars="0"/>
              <w:jc w:val="center"/>
              <w:rPr>
                <w:color w:val="auto"/>
                <w:highlight w:val="none"/>
              </w:rPr>
            </w:pPr>
            <w:r>
              <w:rPr>
                <w:color w:val="auto"/>
                <w:spacing w:val="7"/>
                <w:highlight w:val="none"/>
              </w:rPr>
              <w:t>废水：项目不属于水型污染企业，生活污水</w:t>
            </w:r>
            <w:r>
              <w:rPr>
                <w:rFonts w:hint="eastAsia"/>
                <w:color w:val="auto"/>
                <w:spacing w:val="7"/>
                <w:highlight w:val="none"/>
                <w:lang w:val="en-US" w:eastAsia="zh-CN"/>
              </w:rPr>
              <w:t>依托园区创新创业基地隔油池和化粪池处理后进入园区污水管网，地面清洁废水经沉淀池沉淀后同纯水制备浓水一起进入园区污水管网排入岳阳高新技术产业园区污水处理厂处理</w:t>
            </w:r>
            <w:r>
              <w:rPr>
                <w:color w:val="auto"/>
                <w:spacing w:val="7"/>
                <w:highlight w:val="none"/>
              </w:rPr>
              <w:t>，最终排入新</w:t>
            </w:r>
            <w:r>
              <w:rPr>
                <w:color w:val="auto"/>
                <w:spacing w:val="4"/>
                <w:highlight w:val="none"/>
              </w:rPr>
              <w:t>墙河；</w:t>
            </w:r>
          </w:p>
          <w:p w14:paraId="3BD66DE5">
            <w:pPr>
              <w:pStyle w:val="36"/>
              <w:keepNext w:val="0"/>
              <w:keepLines w:val="0"/>
              <w:pageBreakBefore w:val="0"/>
              <w:wordWrap/>
              <w:overflowPunct/>
              <w:topLinePunct w:val="0"/>
              <w:bidi w:val="0"/>
              <w:spacing w:line="240" w:lineRule="auto"/>
              <w:ind w:left="0" w:right="0" w:firstLine="0" w:firstLineChars="0"/>
              <w:jc w:val="center"/>
              <w:rPr>
                <w:rFonts w:hint="default" w:eastAsia="宋体"/>
                <w:color w:val="auto"/>
                <w:highlight w:val="none"/>
                <w:lang w:val="en-US" w:eastAsia="zh-CN"/>
              </w:rPr>
            </w:pPr>
            <w:r>
              <w:rPr>
                <w:color w:val="auto"/>
                <w:spacing w:val="3"/>
                <w:highlight w:val="none"/>
              </w:rPr>
              <w:t>废气：</w:t>
            </w:r>
            <w:r>
              <w:rPr>
                <w:rFonts w:hint="eastAsia"/>
                <w:color w:val="auto"/>
                <w:spacing w:val="3"/>
                <w:highlight w:val="none"/>
                <w:lang w:val="en-US" w:eastAsia="zh-CN"/>
              </w:rPr>
              <w:t>粉尘经布袋除尘器处理后无组织排放在密闭的车间内；有机废气经二级活性炭吸附箱处理达标后通过15m排气筒有组织排放。</w:t>
            </w:r>
          </w:p>
          <w:p w14:paraId="2231E33F">
            <w:pPr>
              <w:pStyle w:val="36"/>
              <w:keepNext w:val="0"/>
              <w:keepLines w:val="0"/>
              <w:pageBreakBefore w:val="0"/>
              <w:wordWrap/>
              <w:overflowPunct/>
              <w:topLinePunct w:val="0"/>
              <w:bidi w:val="0"/>
              <w:spacing w:line="240" w:lineRule="auto"/>
              <w:ind w:left="0" w:right="0" w:firstLine="0" w:firstLineChars="0"/>
              <w:jc w:val="center"/>
              <w:rPr>
                <w:color w:val="auto"/>
                <w:spacing w:val="8"/>
                <w:highlight w:val="none"/>
              </w:rPr>
            </w:pPr>
          </w:p>
        </w:tc>
        <w:tc>
          <w:tcPr>
            <w:tcW w:w="460" w:type="pct"/>
            <w:tcBorders>
              <w:tl2br w:val="nil"/>
              <w:tr2bl w:val="nil"/>
            </w:tcBorders>
            <w:vAlign w:val="center"/>
          </w:tcPr>
          <w:p w14:paraId="36AA5D7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3"/>
                <w:highlight w:val="none"/>
              </w:rPr>
            </w:pPr>
            <w:r>
              <w:rPr>
                <w:spacing w:val="3"/>
                <w:highlight w:val="none"/>
              </w:rPr>
              <w:t>符合</w:t>
            </w:r>
          </w:p>
        </w:tc>
      </w:tr>
      <w:tr w14:paraId="0040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311" w:type="pct"/>
            <w:tcBorders>
              <w:tl2br w:val="nil"/>
              <w:tr2bl w:val="nil"/>
            </w:tcBorders>
            <w:vAlign w:val="center"/>
          </w:tcPr>
          <w:p w14:paraId="284CC556">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snapToGrid w:val="0"/>
                <w:color w:val="000000"/>
                <w:spacing w:val="7"/>
                <w:kern w:val="0"/>
                <w:highlight w:val="none"/>
              </w:rPr>
            </w:pPr>
          </w:p>
          <w:p w14:paraId="5D7C0C03">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snapToGrid w:val="0"/>
                <w:color w:val="000000"/>
                <w:spacing w:val="7"/>
                <w:kern w:val="0"/>
                <w:highlight w:val="none"/>
              </w:rPr>
            </w:pPr>
          </w:p>
          <w:p w14:paraId="79A363A3">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snapToGrid w:val="0"/>
                <w:color w:val="000000"/>
                <w:spacing w:val="7"/>
                <w:kern w:val="0"/>
                <w:highlight w:val="none"/>
              </w:rPr>
            </w:pPr>
          </w:p>
          <w:p w14:paraId="04987492">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snapToGrid w:val="0"/>
                <w:color w:val="000000"/>
                <w:spacing w:val="7"/>
                <w:kern w:val="0"/>
                <w:highlight w:val="none"/>
              </w:rPr>
            </w:pPr>
          </w:p>
          <w:p w14:paraId="58D61479">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snapToGrid w:val="0"/>
                <w:color w:val="000000"/>
                <w:spacing w:val="7"/>
                <w:kern w:val="0"/>
                <w:highlight w:val="none"/>
              </w:rPr>
            </w:pPr>
            <w:r>
              <w:rPr>
                <w:rFonts w:hint="default" w:ascii="Times New Roman" w:hAnsi="Times New Roman" w:cs="Times New Roman"/>
                <w:snapToGrid w:val="0"/>
                <w:color w:val="000000"/>
                <w:spacing w:val="7"/>
                <w:kern w:val="0"/>
                <w:highlight w:val="none"/>
              </w:rPr>
              <w:t>5</w:t>
            </w:r>
          </w:p>
        </w:tc>
        <w:tc>
          <w:tcPr>
            <w:tcW w:w="2972" w:type="pct"/>
            <w:tcBorders>
              <w:tl2br w:val="nil"/>
              <w:tr2bl w:val="nil"/>
            </w:tcBorders>
            <w:vAlign w:val="center"/>
          </w:tcPr>
          <w:p w14:paraId="14782F6C">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snapToGrid w:val="0"/>
                <w:color w:val="000000"/>
                <w:spacing w:val="7"/>
                <w:kern w:val="0"/>
                <w:highlight w:val="none"/>
              </w:rPr>
            </w:pPr>
            <w:r>
              <w:rPr>
                <w:rFonts w:hint="default" w:ascii="Times New Roman" w:hAnsi="Times New Roman" w:cs="Times New Roman"/>
                <w:snapToGrid w:val="0"/>
                <w:color w:val="000000"/>
                <w:spacing w:val="7"/>
                <w:kern w:val="0"/>
                <w:highlight w:val="none"/>
              </w:rPr>
              <w:t>（四）完善监测体系，监控环境质量变化状况。结合园区规划的功能分区、产业布局、重点企业分布、特征污染物的排放种类和状况、环境敏感目标分布等，建立健全环境空气、地表水、地下水、土壤等环境要素的监控体系。加强对园区周边环境质量的跟踪监测，通过监测数据，检验人工湿地对水污染物的净化处理效果，以优化污水处理厂及人工湿地的运行，促进新墙河和洞庭湖水环境质量的改善。</w:t>
            </w:r>
          </w:p>
        </w:tc>
        <w:tc>
          <w:tcPr>
            <w:tcW w:w="1255" w:type="pct"/>
            <w:tcBorders>
              <w:tl2br w:val="nil"/>
              <w:tr2bl w:val="nil"/>
            </w:tcBorders>
            <w:vAlign w:val="center"/>
          </w:tcPr>
          <w:p w14:paraId="56818913">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cs="Times New Roman"/>
                <w:snapToGrid w:val="0"/>
                <w:color w:val="000000"/>
                <w:spacing w:val="7"/>
                <w:kern w:val="0"/>
                <w:highlight w:val="none"/>
                <w:lang w:val="en-US" w:eastAsia="zh-CN"/>
              </w:rPr>
            </w:pPr>
            <w:r>
              <w:rPr>
                <w:rFonts w:hint="default" w:ascii="Times New Roman" w:hAnsi="Times New Roman" w:cs="Times New Roman"/>
                <w:snapToGrid w:val="0"/>
                <w:color w:val="000000"/>
                <w:spacing w:val="7"/>
                <w:kern w:val="0"/>
                <w:highlight w:val="none"/>
                <w:lang w:val="en-US" w:eastAsia="zh-CN"/>
              </w:rPr>
              <w:t>本项目将结合</w:t>
            </w:r>
            <w:r>
              <w:rPr>
                <w:rFonts w:hint="default" w:ascii="Times New Roman" w:hAnsi="Times New Roman" w:cs="Times New Roman"/>
                <w:snapToGrid w:val="0"/>
                <w:color w:val="000000"/>
                <w:spacing w:val="7"/>
                <w:kern w:val="0"/>
                <w:highlight w:val="none"/>
              </w:rPr>
              <w:t>《排污许可证申请与核发技术规范总</w:t>
            </w:r>
            <w:r>
              <w:rPr>
                <w:rFonts w:hint="default" w:ascii="Times New Roman" w:hAnsi="Times New Roman" w:cs="Times New Roman"/>
                <w:snapToGrid w:val="0"/>
                <w:color w:val="000000"/>
                <w:spacing w:val="7"/>
                <w:kern w:val="0"/>
                <w:highlight w:val="none"/>
                <w:lang w:val="en-US" w:eastAsia="zh-CN"/>
              </w:rPr>
              <w:t>则</w:t>
            </w:r>
            <w:r>
              <w:rPr>
                <w:rFonts w:hint="default" w:ascii="Times New Roman" w:hAnsi="Times New Roman" w:cs="Times New Roman"/>
                <w:snapToGrid w:val="0"/>
                <w:color w:val="000000"/>
                <w:spacing w:val="7"/>
                <w:kern w:val="0"/>
                <w:highlight w:val="none"/>
              </w:rPr>
              <w:t>（HJ942-2018）</w:t>
            </w:r>
            <w:r>
              <w:rPr>
                <w:rFonts w:hint="default" w:ascii="Times New Roman" w:hAnsi="Times New Roman" w:cs="Times New Roman"/>
                <w:snapToGrid w:val="0"/>
                <w:color w:val="000000"/>
                <w:spacing w:val="7"/>
                <w:kern w:val="0"/>
                <w:highlight w:val="none"/>
                <w:lang w:val="en-US" w:eastAsia="zh-CN"/>
              </w:rPr>
              <w:t>和《排污许可证申请与核发技术规范 专用化学产品制造工业》（HJ1103-2020））对项目营运期各环境要素制定监测计划。</w:t>
            </w:r>
          </w:p>
        </w:tc>
        <w:tc>
          <w:tcPr>
            <w:tcW w:w="460" w:type="pct"/>
            <w:tcBorders>
              <w:tl2br w:val="nil"/>
              <w:tr2bl w:val="nil"/>
            </w:tcBorders>
            <w:vAlign w:val="center"/>
          </w:tcPr>
          <w:p w14:paraId="33EFAC95">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snapToGrid w:val="0"/>
                <w:color w:val="000000"/>
                <w:spacing w:val="7"/>
                <w:kern w:val="0"/>
                <w:highlight w:val="none"/>
              </w:rPr>
            </w:pPr>
            <w:r>
              <w:rPr>
                <w:spacing w:val="3"/>
                <w:highlight w:val="none"/>
              </w:rPr>
              <w:t>符合</w:t>
            </w:r>
          </w:p>
        </w:tc>
      </w:tr>
      <w:tr w14:paraId="00191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311" w:type="pct"/>
            <w:tcBorders>
              <w:tl2br w:val="nil"/>
              <w:tr2bl w:val="nil"/>
            </w:tcBorders>
            <w:vAlign w:val="center"/>
          </w:tcPr>
          <w:p w14:paraId="5A313337">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000000"/>
                <w:spacing w:val="7"/>
                <w:kern w:val="0"/>
                <w:highlight w:val="none"/>
                <w:lang w:val="en-US" w:eastAsia="zh-CN"/>
              </w:rPr>
            </w:pPr>
            <w:r>
              <w:rPr>
                <w:rFonts w:hint="eastAsia" w:ascii="Times New Roman" w:hAnsi="Times New Roman" w:cs="Times New Roman"/>
                <w:snapToGrid w:val="0"/>
                <w:color w:val="000000"/>
                <w:spacing w:val="7"/>
                <w:kern w:val="0"/>
                <w:highlight w:val="none"/>
                <w:lang w:val="en-US" w:eastAsia="zh-CN"/>
              </w:rPr>
              <w:t>6</w:t>
            </w:r>
          </w:p>
        </w:tc>
        <w:tc>
          <w:tcPr>
            <w:tcW w:w="2972" w:type="pct"/>
            <w:tcBorders>
              <w:tl2br w:val="nil"/>
              <w:tr2bl w:val="nil"/>
            </w:tcBorders>
            <w:vAlign w:val="center"/>
          </w:tcPr>
          <w:p w14:paraId="5B9F7429">
            <w:pPr>
              <w:pStyle w:val="36"/>
              <w:keepNext w:val="0"/>
              <w:keepLines w:val="0"/>
              <w:pageBreakBefore w:val="0"/>
              <w:wordWrap/>
              <w:overflowPunct/>
              <w:topLinePunct w:val="0"/>
              <w:bidi w:val="0"/>
              <w:spacing w:line="240" w:lineRule="auto"/>
              <w:ind w:left="0" w:right="0" w:firstLine="0" w:firstLineChars="0"/>
              <w:jc w:val="center"/>
              <w:rPr>
                <w:snapToGrid w:val="0"/>
                <w:color w:val="000000"/>
                <w:spacing w:val="7"/>
                <w:kern w:val="0"/>
                <w:highlight w:val="none"/>
              </w:rPr>
            </w:pPr>
            <w:r>
              <w:rPr>
                <w:rFonts w:ascii="Times New Roman" w:hAnsi="Times New Roman" w:eastAsia="Times New Roman" w:cs="Times New Roman"/>
                <w:spacing w:val="8"/>
                <w:highlight w:val="none"/>
              </w:rPr>
              <w:t>(</w:t>
            </w:r>
            <w:r>
              <w:rPr>
                <w:spacing w:val="8"/>
                <w:highlight w:val="none"/>
              </w:rPr>
              <w:t>五）强化风险管控，严防园区环境事故。建立健全园</w:t>
            </w:r>
            <w:r>
              <w:rPr>
                <w:spacing w:val="9"/>
                <w:highlight w:val="none"/>
              </w:rPr>
              <w:t>区环境风险管理工作长效机制，加强园区环境</w:t>
            </w:r>
            <w:r>
              <w:rPr>
                <w:spacing w:val="8"/>
                <w:highlight w:val="none"/>
              </w:rPr>
              <w:t>风险防</w:t>
            </w:r>
            <w:r>
              <w:rPr>
                <w:spacing w:val="9"/>
                <w:highlight w:val="none"/>
              </w:rPr>
              <w:t>控、预警和应急体系建设。落实环境风险防控措施，及时完成园区环境应急预案的修订和备案工作，推动重点污染企业环境应急预案编制和备案工作，加强应</w:t>
            </w:r>
            <w:r>
              <w:rPr>
                <w:spacing w:val="6"/>
                <w:highlight w:val="none"/>
              </w:rPr>
              <w:t>急救援队伍、装备和设施建设，储备必要的应急物资，</w:t>
            </w:r>
            <w:r>
              <w:rPr>
                <w:spacing w:val="9"/>
                <w:highlight w:val="none"/>
              </w:rPr>
              <w:t>有计划地组织应急培训和演练，全面提升园区环境风险防控和环境事故应急处置能力。重点做好生物医药</w:t>
            </w:r>
            <w:r>
              <w:rPr>
                <w:spacing w:val="7"/>
                <w:highlight w:val="none"/>
              </w:rPr>
              <w:t>企业的环境风险防控。</w:t>
            </w:r>
          </w:p>
        </w:tc>
        <w:tc>
          <w:tcPr>
            <w:tcW w:w="1255" w:type="pct"/>
            <w:tcBorders>
              <w:tl2br w:val="nil"/>
              <w:tr2bl w:val="nil"/>
            </w:tcBorders>
            <w:vAlign w:val="center"/>
          </w:tcPr>
          <w:p w14:paraId="700DED37">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eastAsia"/>
                <w:snapToGrid w:val="0"/>
                <w:color w:val="000000"/>
                <w:spacing w:val="7"/>
                <w:kern w:val="0"/>
                <w:highlight w:val="none"/>
                <w:lang w:val="en-US" w:eastAsia="zh-CN"/>
              </w:rPr>
            </w:pPr>
            <w:r>
              <w:rPr>
                <w:snapToGrid w:val="0"/>
                <w:color w:val="000000"/>
                <w:spacing w:val="7"/>
                <w:kern w:val="0"/>
                <w:highlight w:val="none"/>
              </w:rPr>
              <w:t>本项目将按要求制定突发环境事件应急预案，配备应急物资，定期组织应急演练和预案修订，届时将与岳阳高新技术产业园区（调扩区）应急预案进行衔接。</w:t>
            </w:r>
          </w:p>
        </w:tc>
        <w:tc>
          <w:tcPr>
            <w:tcW w:w="460" w:type="pct"/>
            <w:tcBorders>
              <w:tl2br w:val="nil"/>
              <w:tr2bl w:val="nil"/>
            </w:tcBorders>
            <w:vAlign w:val="center"/>
          </w:tcPr>
          <w:p w14:paraId="08A0511B">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snapToGrid w:val="0"/>
                <w:color w:val="000000"/>
                <w:spacing w:val="7"/>
                <w:kern w:val="0"/>
                <w:highlight w:val="none"/>
              </w:rPr>
            </w:pPr>
            <w:r>
              <w:rPr>
                <w:spacing w:val="3"/>
                <w:highlight w:val="none"/>
              </w:rPr>
              <w:t>符合</w:t>
            </w:r>
          </w:p>
        </w:tc>
      </w:tr>
      <w:tr w14:paraId="04594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8" w:hRule="atLeast"/>
        </w:trPr>
        <w:tc>
          <w:tcPr>
            <w:tcW w:w="311" w:type="pct"/>
            <w:tcBorders>
              <w:tl2br w:val="nil"/>
              <w:tr2bl w:val="nil"/>
            </w:tcBorders>
            <w:vAlign w:val="center"/>
          </w:tcPr>
          <w:p w14:paraId="74D1B14E">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spacing w:val="7"/>
                <w:kern w:val="0"/>
                <w:highlight w:val="none"/>
                <w:lang w:val="en-US" w:eastAsia="zh-CN"/>
              </w:rPr>
            </w:pPr>
            <w:r>
              <w:rPr>
                <w:rFonts w:hint="eastAsia" w:ascii="Times New Roman" w:hAnsi="Times New Roman" w:cs="Times New Roman"/>
                <w:snapToGrid w:val="0"/>
                <w:color w:val="000000"/>
                <w:spacing w:val="7"/>
                <w:kern w:val="0"/>
                <w:highlight w:val="none"/>
                <w:lang w:val="en-US" w:eastAsia="zh-CN"/>
              </w:rPr>
              <w:t>7</w:t>
            </w:r>
          </w:p>
        </w:tc>
        <w:tc>
          <w:tcPr>
            <w:tcW w:w="2972" w:type="pct"/>
            <w:tcBorders>
              <w:tl2br w:val="nil"/>
              <w:tr2bl w:val="nil"/>
            </w:tcBorders>
            <w:vAlign w:val="center"/>
          </w:tcPr>
          <w:p w14:paraId="09A5632F">
            <w:pPr>
              <w:pStyle w:val="36"/>
              <w:keepNext w:val="0"/>
              <w:keepLines w:val="0"/>
              <w:pageBreakBefore w:val="0"/>
              <w:wordWrap/>
              <w:overflowPunct/>
              <w:topLinePunct w:val="0"/>
              <w:bidi w:val="0"/>
              <w:spacing w:line="240" w:lineRule="auto"/>
              <w:ind w:left="0" w:right="0" w:firstLine="0" w:firstLineChars="0"/>
              <w:jc w:val="center"/>
              <w:rPr>
                <w:spacing w:val="7"/>
                <w:highlight w:val="none"/>
              </w:rPr>
            </w:pPr>
            <w:r>
              <w:rPr>
                <w:rFonts w:ascii="Times New Roman" w:hAnsi="Times New Roman" w:eastAsia="Times New Roman" w:cs="Times New Roman"/>
                <w:spacing w:val="8"/>
                <w:highlight w:val="none"/>
              </w:rPr>
              <w:t>(</w:t>
            </w:r>
            <w:r>
              <w:rPr>
                <w:spacing w:val="8"/>
                <w:highlight w:val="none"/>
              </w:rPr>
              <w:t>六）做好周边控规，落实拆迁安置计划。严格做好控</w:t>
            </w:r>
            <w:r>
              <w:rPr>
                <w:spacing w:val="9"/>
                <w:highlight w:val="none"/>
              </w:rPr>
              <w:t>规，杜绝在规划的工业用地上新增环境敏感目标。确</w:t>
            </w:r>
            <w:r>
              <w:rPr>
                <w:spacing w:val="8"/>
                <w:highlight w:val="none"/>
              </w:rPr>
              <w:t>保园区开发过程中的居民拆迁安置到位</w:t>
            </w:r>
            <w:r>
              <w:rPr>
                <w:rFonts w:ascii="Times New Roman" w:hAnsi="Times New Roman" w:eastAsia="Times New Roman" w:cs="Times New Roman"/>
                <w:spacing w:val="8"/>
                <w:highlight w:val="none"/>
              </w:rPr>
              <w:t>,</w:t>
            </w:r>
            <w:r>
              <w:rPr>
                <w:rFonts w:ascii="Times New Roman" w:hAnsi="Times New Roman" w:eastAsia="Times New Roman" w:cs="Times New Roman"/>
                <w:spacing w:val="-24"/>
                <w:highlight w:val="none"/>
              </w:rPr>
              <w:t xml:space="preserve"> </w:t>
            </w:r>
            <w:r>
              <w:rPr>
                <w:spacing w:val="8"/>
                <w:highlight w:val="none"/>
              </w:rPr>
              <w:t>防止发生居民再次安置和次生环境问题。园区管委会与地方政府</w:t>
            </w:r>
            <w:r>
              <w:rPr>
                <w:spacing w:val="9"/>
                <w:highlight w:val="none"/>
              </w:rPr>
              <w:t>应共同做好控规，主产业片区东南部的生物医药产业区周边不新建居民区、学校、医院等环境敏感</w:t>
            </w:r>
            <w:r>
              <w:rPr>
                <w:spacing w:val="8"/>
                <w:highlight w:val="none"/>
              </w:rPr>
              <w:t>建筑或</w:t>
            </w:r>
            <w:r>
              <w:rPr>
                <w:spacing w:val="9"/>
                <w:highlight w:val="none"/>
              </w:rPr>
              <w:t>生态敏感区，对于项目环评设置防护距离和拆迁要求</w:t>
            </w:r>
            <w:r>
              <w:rPr>
                <w:spacing w:val="6"/>
                <w:highlight w:val="none"/>
              </w:rPr>
              <w:t>的，要确保予以落实。</w:t>
            </w:r>
          </w:p>
        </w:tc>
        <w:tc>
          <w:tcPr>
            <w:tcW w:w="1255" w:type="pct"/>
            <w:tcBorders>
              <w:tl2br w:val="nil"/>
              <w:tr2bl w:val="nil"/>
            </w:tcBorders>
            <w:vAlign w:val="center"/>
          </w:tcPr>
          <w:p w14:paraId="06034505">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snapToGrid w:val="0"/>
                <w:color w:val="000000"/>
                <w:spacing w:val="7"/>
                <w:kern w:val="0"/>
                <w:highlight w:val="none"/>
              </w:rPr>
            </w:pPr>
            <w:r>
              <w:rPr>
                <w:rFonts w:hint="eastAsia"/>
                <w:spacing w:val="8"/>
                <w:highlight w:val="none"/>
              </w:rPr>
              <w:t>本项目位于岳阳县荣家湾镇岳阳高新技术</w:t>
            </w:r>
            <w:r>
              <w:rPr>
                <w:rFonts w:hint="default" w:ascii="Times New Roman" w:hAnsi="Times New Roman" w:cs="Times New Roman"/>
                <w:spacing w:val="8"/>
                <w:highlight w:val="none"/>
              </w:rPr>
              <w:t>产业园区武广路3号</w:t>
            </w:r>
            <w:r>
              <w:rPr>
                <w:rFonts w:hint="eastAsia"/>
                <w:snapToGrid w:val="0"/>
                <w:color w:val="000000"/>
                <w:spacing w:val="7"/>
                <w:kern w:val="0"/>
                <w:highlight w:val="none"/>
              </w:rPr>
              <w:t>，项目周边未新增环境敏感目标。项目产生污染物的车间布局远离附近居民点，做到尽可能对居民减少影响。</w:t>
            </w:r>
          </w:p>
        </w:tc>
        <w:tc>
          <w:tcPr>
            <w:tcW w:w="460" w:type="pct"/>
            <w:tcBorders>
              <w:tl2br w:val="nil"/>
              <w:tr2bl w:val="nil"/>
            </w:tcBorders>
            <w:vAlign w:val="center"/>
          </w:tcPr>
          <w:p w14:paraId="2CFE6A63">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snapToGrid w:val="0"/>
                <w:color w:val="000000"/>
                <w:spacing w:val="7"/>
                <w:kern w:val="0"/>
                <w:highlight w:val="none"/>
              </w:rPr>
            </w:pPr>
            <w:r>
              <w:rPr>
                <w:spacing w:val="3"/>
                <w:highlight w:val="none"/>
              </w:rPr>
              <w:t>符合</w:t>
            </w:r>
          </w:p>
        </w:tc>
      </w:tr>
      <w:tr w14:paraId="283EB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311" w:type="pct"/>
            <w:tcBorders>
              <w:tl2br w:val="nil"/>
              <w:tr2bl w:val="nil"/>
            </w:tcBorders>
            <w:vAlign w:val="center"/>
          </w:tcPr>
          <w:p w14:paraId="6B59AF43">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spacing w:val="7"/>
                <w:kern w:val="0"/>
                <w:highlight w:val="none"/>
                <w:lang w:val="en-US" w:eastAsia="zh-CN"/>
              </w:rPr>
            </w:pPr>
            <w:r>
              <w:rPr>
                <w:rFonts w:hint="eastAsia" w:ascii="Times New Roman" w:hAnsi="Times New Roman" w:cs="Times New Roman"/>
                <w:snapToGrid w:val="0"/>
                <w:color w:val="000000"/>
                <w:spacing w:val="7"/>
                <w:kern w:val="0"/>
                <w:highlight w:val="none"/>
                <w:lang w:val="en-US" w:eastAsia="zh-CN"/>
              </w:rPr>
              <w:t>8</w:t>
            </w:r>
          </w:p>
        </w:tc>
        <w:tc>
          <w:tcPr>
            <w:tcW w:w="2972" w:type="pct"/>
            <w:tcBorders>
              <w:tl2br w:val="nil"/>
              <w:tr2bl w:val="nil"/>
            </w:tcBorders>
            <w:vAlign w:val="center"/>
          </w:tcPr>
          <w:p w14:paraId="72608A03">
            <w:pPr>
              <w:pStyle w:val="36"/>
              <w:keepNext w:val="0"/>
              <w:keepLines w:val="0"/>
              <w:pageBreakBefore w:val="0"/>
              <w:wordWrap/>
              <w:overflowPunct/>
              <w:topLinePunct w:val="0"/>
              <w:bidi w:val="0"/>
              <w:spacing w:line="240" w:lineRule="auto"/>
              <w:ind w:left="0" w:right="0" w:firstLine="0" w:firstLineChars="0"/>
              <w:jc w:val="center"/>
              <w:rPr>
                <w:spacing w:val="8"/>
                <w:highlight w:val="none"/>
              </w:rPr>
            </w:pPr>
            <w:r>
              <w:rPr>
                <w:spacing w:val="8"/>
                <w:highlight w:val="none"/>
              </w:rPr>
              <w:t>（七）做好园区建设期生态保护。园区开发建设过程中尽可能保留自然山体，施工期对土石方开挖、堆存及回填要实施围挡、护坡等措施，裸露地及时恢复植被，防止水土流失，杜绝施工建设对地表水体的污染。</w:t>
            </w:r>
          </w:p>
        </w:tc>
        <w:tc>
          <w:tcPr>
            <w:tcW w:w="1255" w:type="pct"/>
            <w:tcBorders>
              <w:tl2br w:val="nil"/>
              <w:tr2bl w:val="nil"/>
            </w:tcBorders>
            <w:vAlign w:val="center"/>
          </w:tcPr>
          <w:p w14:paraId="57A6D8C4">
            <w:pPr>
              <w:pStyle w:val="36"/>
              <w:keepNext w:val="0"/>
              <w:keepLines w:val="0"/>
              <w:pageBreakBefore w:val="0"/>
              <w:wordWrap/>
              <w:overflowPunct/>
              <w:topLinePunct w:val="0"/>
              <w:bidi w:val="0"/>
              <w:spacing w:line="240" w:lineRule="auto"/>
              <w:ind w:left="0" w:right="0" w:firstLine="0" w:firstLineChars="0"/>
              <w:jc w:val="center"/>
              <w:rPr>
                <w:spacing w:val="8"/>
                <w:highlight w:val="none"/>
              </w:rPr>
            </w:pPr>
            <w:r>
              <w:rPr>
                <w:spacing w:val="8"/>
                <w:highlight w:val="none"/>
              </w:rPr>
              <w:t>本项目使用现有已建厂房，施工期无土建作业，仅进行设备安装，因此施工期对外环境基本无影响。</w:t>
            </w:r>
          </w:p>
        </w:tc>
        <w:tc>
          <w:tcPr>
            <w:tcW w:w="460" w:type="pct"/>
            <w:tcBorders>
              <w:tl2br w:val="nil"/>
              <w:tr2bl w:val="nil"/>
            </w:tcBorders>
            <w:vAlign w:val="center"/>
          </w:tcPr>
          <w:p w14:paraId="68DD2158">
            <w:pPr>
              <w:pStyle w:val="36"/>
              <w:keepNext w:val="0"/>
              <w:keepLines w:val="0"/>
              <w:pageBreakBefore w:val="0"/>
              <w:widowControl/>
              <w:kinsoku w:val="0"/>
              <w:wordWrap/>
              <w:overflowPunct/>
              <w:topLinePunct w:val="0"/>
              <w:autoSpaceDE/>
              <w:autoSpaceDN/>
              <w:bidi w:val="0"/>
              <w:adjustRightInd w:val="0"/>
              <w:snapToGrid w:val="0"/>
              <w:spacing w:line="240" w:lineRule="auto"/>
              <w:ind w:left="0" w:right="0" w:firstLine="0" w:firstLineChars="0"/>
              <w:jc w:val="center"/>
              <w:textAlignment w:val="baseline"/>
              <w:rPr>
                <w:snapToGrid w:val="0"/>
                <w:color w:val="000000"/>
                <w:spacing w:val="7"/>
                <w:kern w:val="0"/>
                <w:highlight w:val="none"/>
              </w:rPr>
            </w:pPr>
            <w:r>
              <w:rPr>
                <w:spacing w:val="3"/>
                <w:highlight w:val="none"/>
              </w:rPr>
              <w:t>符合</w:t>
            </w:r>
          </w:p>
        </w:tc>
      </w:tr>
    </w:tbl>
    <w:p w14:paraId="274876CF">
      <w:pPr>
        <w:pStyle w:val="2"/>
        <w:widowControl/>
        <w:kinsoku w:val="0"/>
        <w:autoSpaceDE w:val="0"/>
        <w:autoSpaceDN w:val="0"/>
        <w:adjustRightInd w:val="0"/>
        <w:spacing w:before="117" w:after="0" w:line="360" w:lineRule="auto"/>
        <w:ind w:left="130" w:right="120" w:firstLine="604" w:firstLineChars="0"/>
        <w:textAlignment w:val="baseline"/>
        <w:rPr>
          <w:rFonts w:hint="default" w:ascii="Times New Roman" w:hAnsi="Times New Roman" w:eastAsia="宋体" w:cs="Times New Roman"/>
          <w:b/>
          <w:bCs/>
          <w:spacing w:val="-5"/>
          <w:sz w:val="24"/>
          <w:szCs w:val="24"/>
          <w:highlight w:val="none"/>
          <w:lang w:val="en-US" w:eastAsia="zh-CN"/>
        </w:rPr>
      </w:pPr>
      <w:r>
        <w:rPr>
          <w:rFonts w:hint="default" w:ascii="Times New Roman" w:hAnsi="Times New Roman" w:eastAsia="宋体" w:cs="Times New Roman"/>
          <w:snapToGrid w:val="0"/>
          <w:color w:val="000000"/>
          <w:spacing w:val="-1"/>
          <w:sz w:val="24"/>
          <w:szCs w:val="24"/>
          <w:highlight w:val="none"/>
          <w:lang w:eastAsia="en-US"/>
        </w:rPr>
        <w:t>综上，项目建成与《岳阳高新产业园区调区扩区规划（2020-2025）环境影响评价报告书》及审查意见的要求是相符的。</w:t>
      </w:r>
    </w:p>
    <w:p w14:paraId="1608084E">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both"/>
        <w:textAlignment w:val="auto"/>
        <w:rPr>
          <w:rFonts w:hint="default" w:ascii="Times New Roman" w:hAnsi="Times New Roman" w:eastAsia="宋体" w:cs="Times New Roman"/>
          <w:b/>
          <w:bCs/>
          <w:spacing w:val="-5"/>
          <w:sz w:val="24"/>
          <w:szCs w:val="24"/>
          <w:highlight w:val="none"/>
        </w:rPr>
      </w:pPr>
      <w:r>
        <w:rPr>
          <w:rFonts w:hint="default" w:ascii="Times New Roman" w:hAnsi="Times New Roman" w:eastAsia="宋体" w:cs="Times New Roman"/>
          <w:b/>
          <w:bCs/>
          <w:spacing w:val="-5"/>
          <w:sz w:val="24"/>
          <w:szCs w:val="24"/>
          <w:highlight w:val="none"/>
        </w:rPr>
        <w:t>5 、“三线一单”符合性分析</w:t>
      </w:r>
    </w:p>
    <w:p w14:paraId="42B4AEA2">
      <w:pPr>
        <w:pStyle w:val="2"/>
        <w:widowControl/>
        <w:kinsoku w:val="0"/>
        <w:autoSpaceDE w:val="0"/>
        <w:autoSpaceDN w:val="0"/>
        <w:adjustRightInd w:val="0"/>
        <w:spacing w:before="117" w:after="0" w:line="360" w:lineRule="auto"/>
        <w:ind w:left="130" w:right="120" w:firstLine="604" w:firstLineChars="0"/>
        <w:textAlignment w:val="baseline"/>
        <w:rPr>
          <w:rFonts w:hint="default" w:ascii="Times New Roman" w:hAnsi="Times New Roman" w:eastAsia="宋体" w:cs="Times New Roman"/>
          <w:snapToGrid w:val="0"/>
          <w:color w:val="000000"/>
          <w:spacing w:val="-1"/>
          <w:sz w:val="24"/>
          <w:szCs w:val="24"/>
          <w:highlight w:val="none"/>
          <w:lang w:eastAsia="en-US"/>
        </w:rPr>
      </w:pPr>
      <w:r>
        <w:rPr>
          <w:rFonts w:hint="default" w:ascii="Times New Roman" w:hAnsi="Times New Roman" w:eastAsia="宋体" w:cs="Times New Roman"/>
          <w:snapToGrid w:val="0"/>
          <w:color w:val="000000"/>
          <w:spacing w:val="-1"/>
          <w:sz w:val="24"/>
          <w:szCs w:val="24"/>
          <w:highlight w:val="none"/>
          <w:lang w:eastAsia="en-US"/>
        </w:rPr>
        <w:t>1）生态保护红线</w:t>
      </w:r>
    </w:p>
    <w:p w14:paraId="28E7D9E3">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right="0" w:firstLine="476" w:firstLineChars="200"/>
        <w:jc w:val="both"/>
        <w:textAlignment w:val="baseline"/>
        <w:rPr>
          <w:rFonts w:hint="default" w:ascii="Times New Roman" w:hAnsi="Times New Roman" w:eastAsia="宋体" w:cs="Times New Roman"/>
          <w:snapToGrid w:val="0"/>
          <w:color w:val="000000"/>
          <w:spacing w:val="-1"/>
          <w:sz w:val="24"/>
          <w:szCs w:val="24"/>
          <w:highlight w:val="none"/>
          <w:lang w:eastAsia="en-US"/>
        </w:rPr>
      </w:pPr>
      <w:r>
        <w:rPr>
          <w:rFonts w:hint="default" w:ascii="Times New Roman" w:hAnsi="Times New Roman" w:eastAsia="宋体" w:cs="Times New Roman"/>
          <w:snapToGrid w:val="0"/>
          <w:color w:val="000000"/>
          <w:spacing w:val="-1"/>
          <w:sz w:val="24"/>
          <w:szCs w:val="24"/>
          <w:highlight w:val="none"/>
          <w:lang w:eastAsia="en-US"/>
        </w:rPr>
        <w:t>根据《关于以改善环境质量为核心加强环境影响评价管理的通知》（环环评[2016]150 号），生态保护红线是生态空间范围内具有特殊重要生态功能必须实行强制性严格保护的区域，除受自然条件限制、确实无法避让的铁路、公路、航道、防洪、管道、干渠、 通讯、输变电等重要基础设施项目外，在生态保护红线范围内，严控各类开发建设活动，依法不予审批新建工业项目和矿产开发项目的环评文件。</w:t>
      </w:r>
    </w:p>
    <w:p w14:paraId="3DFF506D">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right="0" w:firstLine="476" w:firstLineChars="200"/>
        <w:jc w:val="both"/>
        <w:textAlignment w:val="baseline"/>
        <w:rPr>
          <w:rFonts w:hint="default" w:ascii="Times New Roman" w:hAnsi="Times New Roman" w:eastAsia="宋体" w:cs="Times New Roman"/>
          <w:snapToGrid w:val="0"/>
          <w:color w:val="000000"/>
          <w:spacing w:val="-1"/>
          <w:sz w:val="24"/>
          <w:szCs w:val="24"/>
          <w:highlight w:val="none"/>
          <w:lang w:eastAsia="en-US"/>
        </w:rPr>
      </w:pPr>
      <w:r>
        <w:rPr>
          <w:rFonts w:hint="default" w:ascii="Times New Roman" w:hAnsi="Times New Roman" w:eastAsia="宋体" w:cs="Times New Roman"/>
          <w:snapToGrid w:val="0"/>
          <w:color w:val="000000"/>
          <w:spacing w:val="-1"/>
          <w:sz w:val="24"/>
          <w:szCs w:val="24"/>
          <w:highlight w:val="none"/>
          <w:lang w:eastAsia="en-US"/>
        </w:rPr>
        <w:t>本项目位于岳阳市岳阳县高新技术开发区，为工业园区，属于重点管控单元，选址不涉及生态保护红线。</w:t>
      </w:r>
    </w:p>
    <w:p w14:paraId="0787CC27">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right="0" w:firstLine="476" w:firstLineChars="200"/>
        <w:jc w:val="both"/>
        <w:textAlignment w:val="baseline"/>
        <w:rPr>
          <w:rFonts w:hint="default" w:ascii="Times New Roman" w:hAnsi="Times New Roman" w:eastAsia="宋体" w:cs="Times New Roman"/>
          <w:snapToGrid w:val="0"/>
          <w:color w:val="000000"/>
          <w:spacing w:val="-1"/>
          <w:sz w:val="24"/>
          <w:szCs w:val="24"/>
          <w:highlight w:val="none"/>
          <w:lang w:eastAsia="en-US"/>
        </w:rPr>
      </w:pPr>
      <w:r>
        <w:rPr>
          <w:rFonts w:hint="default" w:ascii="Times New Roman" w:hAnsi="Times New Roman" w:eastAsia="宋体" w:cs="Times New Roman"/>
          <w:snapToGrid w:val="0"/>
          <w:color w:val="000000"/>
          <w:spacing w:val="-1"/>
          <w:sz w:val="24"/>
          <w:szCs w:val="24"/>
          <w:highlight w:val="none"/>
          <w:lang w:eastAsia="en-US"/>
        </w:rPr>
        <w:t>2）环境质量底线</w:t>
      </w:r>
    </w:p>
    <w:p w14:paraId="18713E2A">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firstLine="476" w:firstLineChars="200"/>
        <w:jc w:val="both"/>
        <w:textAlignment w:val="baseline"/>
        <w:rPr>
          <w:rFonts w:hint="eastAsia" w:eastAsia="宋体" w:cs="Times New Roman"/>
          <w:snapToGrid w:val="0"/>
          <w:color w:val="000000"/>
          <w:spacing w:val="-1"/>
          <w:sz w:val="24"/>
          <w:szCs w:val="24"/>
          <w:highlight w:val="none"/>
          <w:lang w:eastAsia="zh-CN"/>
        </w:rPr>
      </w:pPr>
      <w:r>
        <w:rPr>
          <w:rFonts w:hint="default" w:ascii="Times New Roman" w:hAnsi="Times New Roman" w:eastAsia="宋体" w:cs="Times New Roman"/>
          <w:snapToGrid w:val="0"/>
          <w:color w:val="000000"/>
          <w:spacing w:val="-1"/>
          <w:sz w:val="24"/>
          <w:szCs w:val="24"/>
          <w:highlight w:val="none"/>
          <w:lang w:eastAsia="en-US"/>
        </w:rPr>
        <w:t>项目所在地环境空气质量目标为《环境空气质量标准》（GB3095-2012）二级标准。地表水环境质量目标为《地表水环境质量标准》（GB3838-2002）Ⅲ类标准。</w:t>
      </w:r>
      <w:r>
        <w:rPr>
          <w:rFonts w:hint="eastAsia" w:ascii="Times New Roman" w:hAnsi="Times New Roman" w:eastAsia="宋体" w:cs="Times New Roman"/>
          <w:snapToGrid w:val="0"/>
          <w:color w:val="000000"/>
          <w:spacing w:val="-1"/>
          <w:sz w:val="24"/>
          <w:szCs w:val="24"/>
          <w:highlight w:val="none"/>
          <w:lang w:val="en-US" w:eastAsia="zh-CN"/>
        </w:rPr>
        <w:t>项目地东厂界、北厂界、南厂界</w:t>
      </w:r>
      <w:r>
        <w:rPr>
          <w:rFonts w:hint="default" w:ascii="Times New Roman" w:hAnsi="Times New Roman" w:eastAsia="宋体" w:cs="Times New Roman"/>
          <w:snapToGrid w:val="0"/>
          <w:color w:val="000000"/>
          <w:spacing w:val="-1"/>
          <w:sz w:val="24"/>
          <w:szCs w:val="24"/>
          <w:highlight w:val="none"/>
          <w:lang w:eastAsia="en-US"/>
        </w:rPr>
        <w:t>声环境质量为《声环境质量标准》(GB3096-2008)3 类。西厂界靠近二级公路和高铁铁路干线，因此西厂界声环境质量执行《声环境质量标准》（GB3096-2008）中的4 b类标准</w:t>
      </w:r>
      <w:r>
        <w:rPr>
          <w:rFonts w:hint="eastAsia" w:eastAsia="宋体" w:cs="Times New Roman"/>
          <w:snapToGrid w:val="0"/>
          <w:color w:val="000000"/>
          <w:spacing w:val="-1"/>
          <w:sz w:val="24"/>
          <w:szCs w:val="24"/>
          <w:highlight w:val="none"/>
          <w:lang w:eastAsia="zh-CN"/>
        </w:rPr>
        <w:t>。</w:t>
      </w:r>
    </w:p>
    <w:p w14:paraId="39F87BA6">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firstLine="476" w:firstLineChars="200"/>
        <w:jc w:val="both"/>
        <w:textAlignment w:val="baseline"/>
        <w:rPr>
          <w:rFonts w:hint="eastAsia"/>
          <w:highlight w:val="none"/>
          <w:lang w:val="en-US" w:eastAsia="zh-CN"/>
        </w:rPr>
      </w:pPr>
      <w:r>
        <w:rPr>
          <w:rFonts w:hint="default" w:eastAsia="宋体" w:cs="Times New Roman"/>
          <w:snapToGrid w:val="0"/>
          <w:color w:val="000000"/>
          <w:spacing w:val="-1"/>
          <w:sz w:val="24"/>
          <w:szCs w:val="24"/>
          <w:highlight w:val="none"/>
          <w:lang w:val="en-US" w:eastAsia="zh-CN"/>
        </w:rPr>
        <w:t>岳阳市生态环境局岳阳县分局提供的岳阳县2023年环境空气质量监测数据</w:t>
      </w:r>
      <w:r>
        <w:rPr>
          <w:rFonts w:hint="eastAsia" w:eastAsia="宋体" w:cs="Times New Roman"/>
          <w:snapToGrid w:val="0"/>
          <w:color w:val="000000"/>
          <w:spacing w:val="-1"/>
          <w:sz w:val="24"/>
          <w:szCs w:val="24"/>
          <w:highlight w:val="none"/>
          <w:lang w:val="en-US" w:eastAsia="zh-CN"/>
        </w:rPr>
        <w:t>，</w:t>
      </w:r>
      <w:r>
        <w:rPr>
          <w:spacing w:val="1"/>
          <w:highlight w:val="none"/>
        </w:rPr>
        <w:t>岳阳县环境空气常规监测点各监</w:t>
      </w:r>
      <w:r>
        <w:rPr>
          <w:highlight w:val="none"/>
        </w:rPr>
        <w:t>测因子均达到《环境空气质量标准》（</w:t>
      </w:r>
      <w:r>
        <w:rPr>
          <w:rFonts w:ascii="Times New Roman" w:hAnsi="Times New Roman" w:eastAsia="Times New Roman" w:cs="Times New Roman"/>
          <w:highlight w:val="none"/>
        </w:rPr>
        <w:t>GB3095-2012</w:t>
      </w:r>
      <w:r>
        <w:rPr>
          <w:highlight w:val="none"/>
        </w:rPr>
        <w:t>）二级标准要求，属于达标区。</w:t>
      </w:r>
      <w:r>
        <w:rPr>
          <w:rFonts w:hint="eastAsia"/>
          <w:highlight w:val="none"/>
          <w:lang w:val="en-US" w:eastAsia="zh-CN"/>
        </w:rPr>
        <w:t>根据岳阳高新技术产业园对新墙河污水处理厂排口上游200米、新墙河下游1500米及白洋水库的地表水监测数据，能够满足《地表水环境质量标准》（GB3838-2002）</w:t>
      </w:r>
      <w:r>
        <w:rPr>
          <w:rFonts w:ascii="Times New Roman" w:hAnsi="Times New Roman" w:eastAsia="Times New Roman" w:cs="Times New Roman"/>
          <w:b w:val="0"/>
          <w:bCs w:val="0"/>
          <w:spacing w:val="-1"/>
          <w:highlight w:val="none"/>
        </w:rPr>
        <w:t>Ⅲ</w:t>
      </w:r>
      <w:r>
        <w:rPr>
          <w:rFonts w:hint="eastAsia"/>
          <w:highlight w:val="none"/>
          <w:lang w:val="en-US" w:eastAsia="zh-CN"/>
        </w:rPr>
        <w:t>类水质标准要求。</w:t>
      </w:r>
    </w:p>
    <w:p w14:paraId="02EBA91B">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baseline"/>
        <w:rPr>
          <w:rFonts w:hint="default"/>
          <w:color w:val="auto"/>
          <w:highlight w:val="none"/>
          <w:lang w:val="en-US" w:eastAsia="zh-CN"/>
        </w:rPr>
      </w:pPr>
      <w:r>
        <w:rPr>
          <w:rFonts w:hint="default"/>
          <w:color w:val="auto"/>
          <w:highlight w:val="none"/>
          <w:lang w:val="en-US" w:eastAsia="zh-CN"/>
        </w:rPr>
        <w:t>废水：项目不属于水型污染企业，生活污水依托园区创新创业基地隔油池和化粪池处理后进入园区污水管网，</w:t>
      </w:r>
      <w:r>
        <w:rPr>
          <w:rFonts w:hint="eastAsia"/>
          <w:color w:val="auto"/>
          <w:spacing w:val="7"/>
          <w:highlight w:val="none"/>
          <w:lang w:val="en-US" w:eastAsia="zh-CN"/>
        </w:rPr>
        <w:t>地面清洁废水经沉淀池沉淀后同纯水制备浓水一起进入园区污水管网排入岳阳高新技术产业园区污水处理厂达标处理</w:t>
      </w:r>
      <w:r>
        <w:rPr>
          <w:rFonts w:hint="default"/>
          <w:color w:val="auto"/>
          <w:highlight w:val="none"/>
          <w:lang w:val="en-US" w:eastAsia="zh-CN"/>
        </w:rPr>
        <w:t>，最终排入新墙河；</w:t>
      </w:r>
    </w:p>
    <w:p w14:paraId="3919BD49">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baseline"/>
        <w:rPr>
          <w:rFonts w:hint="default"/>
          <w:highlight w:val="none"/>
          <w:lang w:val="en-US" w:eastAsia="zh-CN"/>
        </w:rPr>
      </w:pPr>
      <w:r>
        <w:rPr>
          <w:rFonts w:hint="default"/>
          <w:highlight w:val="none"/>
          <w:lang w:val="en-US" w:eastAsia="zh-CN"/>
        </w:rPr>
        <w:t>废气：粉尘经布袋除尘器处理后无组织排放在密闭的车间内；有机废气经二级活性炭吸附箱处理达标后通过排气筒有组织排放。</w:t>
      </w:r>
    </w:p>
    <w:p w14:paraId="69B12F5B">
      <w:pPr>
        <w:pStyle w:val="2"/>
        <w:spacing w:line="220" w:lineRule="auto"/>
        <w:rPr>
          <w:highlight w:val="none"/>
        </w:rPr>
      </w:pPr>
      <w:r>
        <w:rPr>
          <w:rFonts w:ascii="Times New Roman" w:hAnsi="Times New Roman" w:eastAsia="Times New Roman" w:cs="Times New Roman"/>
          <w:spacing w:val="-2"/>
          <w:highlight w:val="none"/>
        </w:rPr>
        <w:t>3</w:t>
      </w:r>
      <w:r>
        <w:rPr>
          <w:spacing w:val="-2"/>
          <w:highlight w:val="none"/>
        </w:rPr>
        <w:t>）资源利用上线</w:t>
      </w:r>
    </w:p>
    <w:p w14:paraId="0641CB07">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baseline"/>
        <w:rPr>
          <w:rFonts w:hint="default"/>
          <w:highlight w:val="none"/>
          <w:lang w:val="en-US" w:eastAsia="zh-CN"/>
        </w:rPr>
      </w:pPr>
      <w:r>
        <w:rPr>
          <w:rFonts w:hint="default"/>
          <w:highlight w:val="none"/>
          <w:lang w:val="en-US" w:eastAsia="zh-CN"/>
        </w:rPr>
        <w:t>本项目位于岳阳高新技术产业园区，项目不新增土地资源的开发，租用现有已建厂房，项目涉及能源为电能，能源消耗量不大，不属高耗能型企业，不会突破区域的资源利用上线。</w:t>
      </w:r>
    </w:p>
    <w:p w14:paraId="10889278">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baseline"/>
        <w:rPr>
          <w:rFonts w:hint="default"/>
          <w:highlight w:val="none"/>
          <w:lang w:val="en-US" w:eastAsia="zh-CN"/>
        </w:rPr>
      </w:pPr>
      <w:r>
        <w:rPr>
          <w:rFonts w:hint="default"/>
          <w:highlight w:val="none"/>
          <w:lang w:val="en-US" w:eastAsia="zh-CN"/>
        </w:rPr>
        <w:t>4）环境准入清单</w:t>
      </w:r>
    </w:p>
    <w:p w14:paraId="45F2056D">
      <w:pPr>
        <w:pStyle w:val="2"/>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baseline"/>
        <w:rPr>
          <w:rFonts w:hint="default"/>
          <w:highlight w:val="none"/>
          <w:lang w:val="en-US" w:eastAsia="zh-CN"/>
        </w:rPr>
      </w:pPr>
      <w:r>
        <w:rPr>
          <w:rFonts w:hint="default"/>
          <w:highlight w:val="none"/>
          <w:lang w:val="en-US" w:eastAsia="zh-CN"/>
        </w:rPr>
        <w:t>2024 年 6 月 11 日，湖南省生态环境厅发布了《湖南省生态环境分区管控总体管控要求暨省级以上产业园区生态环境准入清单》湘环函[2024]</w:t>
      </w:r>
      <w:r>
        <w:rPr>
          <w:rFonts w:hint="eastAsia"/>
          <w:highlight w:val="none"/>
          <w:lang w:val="en-US" w:eastAsia="zh-CN"/>
        </w:rPr>
        <w:t>26</w:t>
      </w:r>
      <w:r>
        <w:rPr>
          <w:rFonts w:hint="default"/>
          <w:highlight w:val="none"/>
          <w:lang w:val="en-US" w:eastAsia="zh-CN"/>
        </w:rPr>
        <w:t>号，本项目位于湖南省</w:t>
      </w:r>
      <w:r>
        <w:rPr>
          <w:rFonts w:hint="eastAsia" w:ascii="Times New Roman" w:hAnsi="Times New Roman" w:eastAsia="宋体" w:cs="Times New Roman"/>
          <w:snapToGrid w:val="0"/>
          <w:color w:val="000000"/>
          <w:spacing w:val="-3"/>
          <w:kern w:val="0"/>
          <w:sz w:val="24"/>
          <w:szCs w:val="24"/>
          <w:highlight w:val="none"/>
          <w:lang w:val="en-US" w:eastAsia="en-US" w:bidi="ar-SA"/>
        </w:rPr>
        <w:t>岳阳县荣家湾镇岳阳高新技术产业园武广路3号创新创业基地C栋一层</w:t>
      </w:r>
      <w:r>
        <w:rPr>
          <w:rFonts w:hint="default"/>
          <w:highlight w:val="none"/>
          <w:lang w:val="en-US" w:eastAsia="zh-CN"/>
        </w:rPr>
        <w:t>，管控单元</w:t>
      </w:r>
      <w:r>
        <w:rPr>
          <w:rFonts w:hint="eastAsia"/>
          <w:highlight w:val="none"/>
          <w:lang w:val="en-US" w:eastAsia="zh-CN"/>
        </w:rPr>
        <w:t>编码为</w:t>
      </w:r>
      <w:r>
        <w:rPr>
          <w:rFonts w:hint="default"/>
          <w:highlight w:val="none"/>
        </w:rPr>
        <w:t>ZH43062120002</w:t>
      </w:r>
      <w:r>
        <w:rPr>
          <w:rFonts w:hint="default"/>
          <w:highlight w:val="none"/>
          <w:lang w:val="en-US" w:eastAsia="zh-CN"/>
        </w:rPr>
        <w:t>。项目与《湖南省生态环境分区管控总体管控要求暨省级以上产业园区生态环境准入清单》符合性分析详见下表</w:t>
      </w:r>
      <w:r>
        <w:rPr>
          <w:rFonts w:hint="default"/>
          <w:highlight w:val="none"/>
        </w:rPr>
        <w:t xml:space="preserve">1.5-3 </w:t>
      </w:r>
      <w:r>
        <w:rPr>
          <w:rFonts w:hint="default"/>
          <w:highlight w:val="none"/>
          <w:lang w:val="en-US" w:eastAsia="zh-CN"/>
        </w:rPr>
        <w:t>所示。</w:t>
      </w:r>
    </w:p>
    <w:p w14:paraId="75F5059D">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9"/>
        <w:rPr>
          <w:rFonts w:ascii="宋体" w:hAnsi="宋体" w:eastAsia="宋体" w:cs="宋体"/>
          <w:b/>
          <w:bCs/>
          <w:spacing w:val="-2"/>
          <w:sz w:val="24"/>
          <w:szCs w:val="24"/>
          <w:highlight w:val="none"/>
        </w:rPr>
      </w:pPr>
      <w:r>
        <w:rPr>
          <w:rFonts w:ascii="宋体" w:hAnsi="宋体" w:eastAsia="宋体" w:cs="宋体"/>
          <w:b/>
          <w:bCs/>
          <w:spacing w:val="-2"/>
          <w:sz w:val="24"/>
          <w:szCs w:val="24"/>
          <w:highlight w:val="none"/>
        </w:rPr>
        <w:t>表</w:t>
      </w:r>
      <w:r>
        <w:rPr>
          <w:rFonts w:ascii="宋体" w:hAnsi="宋体" w:eastAsia="宋体" w:cs="宋体"/>
          <w:spacing w:val="-40"/>
          <w:sz w:val="24"/>
          <w:szCs w:val="24"/>
          <w:highlight w:val="none"/>
        </w:rPr>
        <w:t xml:space="preserve"> </w:t>
      </w:r>
      <w:r>
        <w:rPr>
          <w:rFonts w:ascii="Times New Roman" w:hAnsi="Times New Roman" w:eastAsia="Times New Roman" w:cs="Times New Roman"/>
          <w:b/>
          <w:bCs/>
          <w:spacing w:val="-2"/>
          <w:sz w:val="24"/>
          <w:szCs w:val="24"/>
          <w:highlight w:val="none"/>
        </w:rPr>
        <w:t>1.</w:t>
      </w:r>
      <w:r>
        <w:rPr>
          <w:rFonts w:hint="eastAsia" w:ascii="Times New Roman" w:hAnsi="Times New Roman" w:eastAsia="宋体" w:cs="Times New Roman"/>
          <w:b/>
          <w:bCs/>
          <w:spacing w:val="-2"/>
          <w:sz w:val="24"/>
          <w:szCs w:val="24"/>
          <w:highlight w:val="none"/>
          <w:lang w:val="en-US" w:eastAsia="zh-CN"/>
        </w:rPr>
        <w:t>5</w:t>
      </w:r>
      <w:r>
        <w:rPr>
          <w:rFonts w:ascii="Times New Roman" w:hAnsi="Times New Roman" w:eastAsia="Times New Roman" w:cs="Times New Roman"/>
          <w:b/>
          <w:bCs/>
          <w:spacing w:val="-2"/>
          <w:sz w:val="24"/>
          <w:szCs w:val="24"/>
          <w:highlight w:val="none"/>
        </w:rPr>
        <w:t xml:space="preserve">-3  </w:t>
      </w:r>
      <w:r>
        <w:rPr>
          <w:rFonts w:ascii="宋体" w:hAnsi="宋体" w:eastAsia="宋体" w:cs="宋体"/>
          <w:b/>
          <w:bCs/>
          <w:spacing w:val="-2"/>
          <w:sz w:val="24"/>
          <w:szCs w:val="24"/>
          <w:highlight w:val="none"/>
        </w:rPr>
        <w:t>本项目与</w:t>
      </w:r>
      <w:r>
        <w:rPr>
          <w:rFonts w:hint="eastAsia" w:ascii="宋体" w:hAnsi="宋体" w:eastAsia="宋体" w:cs="宋体"/>
          <w:b/>
          <w:bCs/>
          <w:spacing w:val="-2"/>
          <w:sz w:val="24"/>
          <w:szCs w:val="24"/>
          <w:highlight w:val="none"/>
        </w:rPr>
        <w:t>《湖南省生态环境分区管控总体管控要求暨省级以上产业园区生态环境准入清单》</w:t>
      </w:r>
      <w:r>
        <w:rPr>
          <w:rFonts w:ascii="宋体" w:hAnsi="宋体" w:eastAsia="宋体" w:cs="宋体"/>
          <w:b/>
          <w:bCs/>
          <w:spacing w:val="-2"/>
          <w:sz w:val="24"/>
          <w:szCs w:val="24"/>
          <w:highlight w:val="none"/>
        </w:rPr>
        <w:t>符合性分析一览表</w:t>
      </w:r>
    </w:p>
    <w:tbl>
      <w:tblPr>
        <w:tblStyle w:val="37"/>
        <w:tblW w:w="86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510"/>
        <w:gridCol w:w="4029"/>
        <w:gridCol w:w="2778"/>
        <w:gridCol w:w="715"/>
      </w:tblGrid>
      <w:tr w14:paraId="48916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1170" w:type="dxa"/>
            <w:gridSpan w:val="2"/>
            <w:tcBorders>
              <w:tl2br w:val="nil"/>
              <w:tr2bl w:val="nil"/>
            </w:tcBorders>
            <w:vAlign w:val="top"/>
          </w:tcPr>
          <w:p w14:paraId="748B193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4"/>
                <w:szCs w:val="24"/>
                <w:highlight w:val="none"/>
              </w:rPr>
            </w:pPr>
            <w:r>
              <w:rPr>
                <w:b/>
                <w:bCs/>
                <w:spacing w:val="-6"/>
                <w:sz w:val="24"/>
                <w:szCs w:val="24"/>
                <w:highlight w:val="none"/>
              </w:rPr>
              <w:t>管控维度</w:t>
            </w:r>
          </w:p>
        </w:tc>
        <w:tc>
          <w:tcPr>
            <w:tcW w:w="4029" w:type="dxa"/>
            <w:tcBorders>
              <w:tl2br w:val="nil"/>
              <w:tr2bl w:val="nil"/>
            </w:tcBorders>
            <w:vAlign w:val="top"/>
          </w:tcPr>
          <w:p w14:paraId="3ABBD87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4"/>
                <w:szCs w:val="24"/>
                <w:highlight w:val="none"/>
              </w:rPr>
            </w:pPr>
            <w:r>
              <w:rPr>
                <w:b/>
                <w:bCs/>
                <w:spacing w:val="-6"/>
                <w:sz w:val="24"/>
                <w:szCs w:val="24"/>
                <w:highlight w:val="none"/>
              </w:rPr>
              <w:t>管控要求</w:t>
            </w:r>
          </w:p>
        </w:tc>
        <w:tc>
          <w:tcPr>
            <w:tcW w:w="2778" w:type="dxa"/>
            <w:tcBorders>
              <w:tl2br w:val="nil"/>
              <w:tr2bl w:val="nil"/>
            </w:tcBorders>
            <w:vAlign w:val="top"/>
          </w:tcPr>
          <w:p w14:paraId="7B10233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4"/>
                <w:szCs w:val="24"/>
                <w:highlight w:val="none"/>
              </w:rPr>
            </w:pPr>
            <w:r>
              <w:rPr>
                <w:b/>
                <w:bCs/>
                <w:spacing w:val="-6"/>
                <w:sz w:val="24"/>
                <w:szCs w:val="24"/>
                <w:highlight w:val="none"/>
              </w:rPr>
              <w:t>本项目</w:t>
            </w:r>
          </w:p>
        </w:tc>
        <w:tc>
          <w:tcPr>
            <w:tcW w:w="715" w:type="dxa"/>
            <w:tcBorders>
              <w:tl2br w:val="nil"/>
              <w:tr2bl w:val="nil"/>
            </w:tcBorders>
            <w:vAlign w:val="top"/>
          </w:tcPr>
          <w:p w14:paraId="52CA354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4"/>
                <w:szCs w:val="24"/>
                <w:highlight w:val="none"/>
              </w:rPr>
            </w:pPr>
            <w:r>
              <w:rPr>
                <w:b/>
                <w:bCs/>
                <w:spacing w:val="-10"/>
                <w:sz w:val="24"/>
                <w:szCs w:val="24"/>
                <w:highlight w:val="none"/>
              </w:rPr>
              <w:t>是否</w:t>
            </w:r>
          </w:p>
          <w:p w14:paraId="3C4E933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4"/>
                <w:szCs w:val="24"/>
                <w:highlight w:val="none"/>
              </w:rPr>
            </w:pPr>
            <w:r>
              <w:rPr>
                <w:b/>
                <w:bCs/>
                <w:spacing w:val="-8"/>
                <w:sz w:val="24"/>
                <w:szCs w:val="24"/>
                <w:highlight w:val="none"/>
              </w:rPr>
              <w:t>相符</w:t>
            </w:r>
          </w:p>
        </w:tc>
      </w:tr>
      <w:tr w14:paraId="56309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660" w:type="dxa"/>
            <w:vMerge w:val="restart"/>
            <w:tcBorders>
              <w:tl2br w:val="nil"/>
              <w:tr2bl w:val="nil"/>
            </w:tcBorders>
            <w:vAlign w:val="top"/>
          </w:tcPr>
          <w:p w14:paraId="6EB329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41505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5D4D9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DF96D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9E7CC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7B429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1F0D53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2B5E4B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44768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91346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4B3AD8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24332D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1F8100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44819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050C7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43414F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6874A4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237B1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44DBA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1715F2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C9575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EB79D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E50DCD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岳阳</w:t>
            </w:r>
          </w:p>
          <w:p w14:paraId="074721D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2"/>
                <w:highlight w:val="none"/>
              </w:rPr>
              <w:t>高新</w:t>
            </w:r>
          </w:p>
          <w:p w14:paraId="55072CD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技术</w:t>
            </w:r>
          </w:p>
          <w:p w14:paraId="7A71128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产业</w:t>
            </w:r>
          </w:p>
          <w:p w14:paraId="0C5B0B8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园区</w:t>
            </w:r>
          </w:p>
        </w:tc>
        <w:tc>
          <w:tcPr>
            <w:tcW w:w="510" w:type="dxa"/>
            <w:tcBorders>
              <w:tl2br w:val="nil"/>
              <w:tr2bl w:val="nil"/>
            </w:tcBorders>
            <w:textDirection w:val="tbRlV"/>
            <w:vAlign w:val="center"/>
          </w:tcPr>
          <w:p w14:paraId="55CD603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空</w:t>
            </w:r>
            <w:r>
              <w:rPr>
                <w:spacing w:val="-34"/>
                <w:highlight w:val="none"/>
              </w:rPr>
              <w:t xml:space="preserve"> </w:t>
            </w:r>
            <w:r>
              <w:rPr>
                <w:spacing w:val="8"/>
                <w:highlight w:val="none"/>
              </w:rPr>
              <w:t>间</w:t>
            </w:r>
            <w:r>
              <w:rPr>
                <w:spacing w:val="-36"/>
                <w:highlight w:val="none"/>
              </w:rPr>
              <w:t xml:space="preserve"> </w:t>
            </w:r>
            <w:r>
              <w:rPr>
                <w:spacing w:val="8"/>
                <w:highlight w:val="none"/>
              </w:rPr>
              <w:t>布</w:t>
            </w:r>
            <w:r>
              <w:rPr>
                <w:spacing w:val="-37"/>
                <w:highlight w:val="none"/>
              </w:rPr>
              <w:t xml:space="preserve"> </w:t>
            </w:r>
            <w:r>
              <w:rPr>
                <w:spacing w:val="8"/>
                <w:highlight w:val="none"/>
              </w:rPr>
              <w:t>局</w:t>
            </w:r>
            <w:r>
              <w:rPr>
                <w:spacing w:val="-35"/>
                <w:highlight w:val="none"/>
              </w:rPr>
              <w:t xml:space="preserve"> </w:t>
            </w:r>
            <w:r>
              <w:rPr>
                <w:spacing w:val="8"/>
                <w:highlight w:val="none"/>
              </w:rPr>
              <w:t>约</w:t>
            </w:r>
            <w:r>
              <w:rPr>
                <w:spacing w:val="-38"/>
                <w:highlight w:val="none"/>
              </w:rPr>
              <w:t xml:space="preserve"> </w:t>
            </w:r>
            <w:r>
              <w:rPr>
                <w:spacing w:val="8"/>
                <w:highlight w:val="none"/>
              </w:rPr>
              <w:t>束</w:t>
            </w:r>
          </w:p>
        </w:tc>
        <w:tc>
          <w:tcPr>
            <w:tcW w:w="4029" w:type="dxa"/>
            <w:tcBorders>
              <w:tl2br w:val="nil"/>
              <w:tr2bl w:val="nil"/>
            </w:tcBorders>
            <w:vAlign w:val="center"/>
          </w:tcPr>
          <w:p w14:paraId="62B3A4A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highlight w:val="none"/>
              </w:rPr>
            </w:pPr>
            <w:r>
              <w:rPr>
                <w:rFonts w:hint="eastAsia"/>
                <w:spacing w:val="8"/>
                <w:highlight w:val="none"/>
              </w:rPr>
              <w:t>(1.1)区块一、区块二(主产业片区)西部生物医药产业区严格限制气型污染为主的企业入驻，并对已有集中居住区周边工业企业气型污染予以重点控制。</w:t>
            </w:r>
          </w:p>
          <w:p w14:paraId="2322442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highlight w:val="none"/>
              </w:rPr>
            </w:pPr>
            <w:r>
              <w:rPr>
                <w:rFonts w:hint="eastAsia"/>
                <w:spacing w:val="8"/>
                <w:highlight w:val="none"/>
              </w:rPr>
              <w:t>(1.2)限制在紧临区块三、区块四、区块五(洪山洞片区)东侧布置大气污染较重、工业噪声较大的企业;现状已建的企业需</w:t>
            </w:r>
          </w:p>
          <w:p w14:paraId="1A52D28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rFonts w:hint="eastAsia"/>
                <w:spacing w:val="8"/>
                <w:highlight w:val="none"/>
              </w:rPr>
              <w:t>严格按照企业环评及环评批复的要求落实大气、噪声等各项污染物防治措施。</w:t>
            </w:r>
          </w:p>
        </w:tc>
        <w:tc>
          <w:tcPr>
            <w:tcW w:w="2778" w:type="dxa"/>
            <w:tcBorders>
              <w:tl2br w:val="nil"/>
              <w:tr2bl w:val="nil"/>
            </w:tcBorders>
            <w:vAlign w:val="top"/>
          </w:tcPr>
          <w:p w14:paraId="57667EA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本项目</w:t>
            </w:r>
            <w:r>
              <w:rPr>
                <w:rFonts w:hint="eastAsia"/>
                <w:spacing w:val="8"/>
                <w:highlight w:val="none"/>
                <w:lang w:val="en-US" w:eastAsia="zh-CN"/>
              </w:rPr>
              <w:t>位于主产业片区区块二（东侧紧邻京广高速铁路武广段）</w:t>
            </w:r>
            <w:r>
              <w:rPr>
                <w:rFonts w:hint="eastAsia"/>
                <w:spacing w:val="6"/>
                <w:highlight w:val="none"/>
                <w:lang w:val="en-US" w:eastAsia="zh-CN"/>
              </w:rPr>
              <w:t>，不属于</w:t>
            </w:r>
            <w:r>
              <w:rPr>
                <w:rFonts w:hint="eastAsia"/>
                <w:spacing w:val="8"/>
                <w:highlight w:val="none"/>
              </w:rPr>
              <w:t>气型污染为主的企业，并对已有集中居住区周边工业企业气型污染予以重点控制。</w:t>
            </w:r>
            <w:r>
              <w:rPr>
                <w:spacing w:val="6"/>
                <w:highlight w:val="none"/>
              </w:rPr>
              <w:t>符合</w:t>
            </w:r>
            <w:r>
              <w:rPr>
                <w:spacing w:val="5"/>
                <w:highlight w:val="none"/>
              </w:rPr>
              <w:t>管控要求。</w:t>
            </w:r>
          </w:p>
        </w:tc>
        <w:tc>
          <w:tcPr>
            <w:tcW w:w="715" w:type="dxa"/>
            <w:tcBorders>
              <w:tl2br w:val="nil"/>
              <w:tr2bl w:val="nil"/>
            </w:tcBorders>
            <w:vAlign w:val="top"/>
          </w:tcPr>
          <w:p w14:paraId="1D2C2A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46B02D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50EB67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59B50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5" w:hRule="atLeast"/>
          <w:jc w:val="center"/>
        </w:trPr>
        <w:tc>
          <w:tcPr>
            <w:tcW w:w="660" w:type="dxa"/>
            <w:vMerge w:val="continue"/>
            <w:tcBorders>
              <w:tl2br w:val="nil"/>
              <w:tr2bl w:val="nil"/>
            </w:tcBorders>
            <w:vAlign w:val="top"/>
          </w:tcPr>
          <w:p w14:paraId="7D2D8B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510" w:type="dxa"/>
            <w:vMerge w:val="restart"/>
            <w:tcBorders>
              <w:tl2br w:val="nil"/>
              <w:tr2bl w:val="nil"/>
            </w:tcBorders>
            <w:textDirection w:val="tbRlV"/>
            <w:vAlign w:val="center"/>
          </w:tcPr>
          <w:p w14:paraId="644A3AB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rFonts w:hint="eastAsia"/>
                <w:spacing w:val="8"/>
                <w:highlight w:val="none"/>
                <w:lang w:val="en-US" w:eastAsia="zh-CN"/>
              </w:rPr>
              <w:t>污染物排放管控</w:t>
            </w:r>
            <w:r>
              <w:rPr>
                <w:spacing w:val="-35"/>
                <w:highlight w:val="none"/>
              </w:rPr>
              <w:t xml:space="preserve"> </w:t>
            </w:r>
            <w:r>
              <w:rPr>
                <w:spacing w:val="-37"/>
                <w:highlight w:val="none"/>
              </w:rPr>
              <w:t xml:space="preserve"> </w:t>
            </w:r>
          </w:p>
        </w:tc>
        <w:tc>
          <w:tcPr>
            <w:tcW w:w="4029" w:type="dxa"/>
            <w:tcBorders>
              <w:tl2br w:val="nil"/>
              <w:tr2bl w:val="nil"/>
            </w:tcBorders>
            <w:vAlign w:val="top"/>
          </w:tcPr>
          <w:p w14:paraId="535A51D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spacing w:val="8"/>
                <w:highlight w:val="none"/>
                <w:lang w:eastAsia="zh-CN"/>
              </w:rPr>
            </w:pPr>
            <w:r>
              <w:rPr>
                <w:rFonts w:hint="eastAsia"/>
                <w:spacing w:val="8"/>
                <w:highlight w:val="none"/>
                <w:lang w:eastAsia="zh-CN"/>
              </w:rPr>
              <w:t>(2.1)废水(2.1.1)高新区实施雨污分流，雨水通过雨水管网收集后排入新墙河。(2.1.2)区块一、区块二(主产业片区)废水经岳阳高新技术产业园区污水处理厂处理达标后排入新墙河。(2.1.3)区块三、区块四、区块五(洪山洞片区)废水经长湖乡污水处理厂处理达标后排入常家大屋河，最终汇入新墙河。(2.1.4)严格限制入园企业的总磷排放浓度，确保污水处理厂的除磷效果。</w:t>
            </w:r>
          </w:p>
        </w:tc>
        <w:tc>
          <w:tcPr>
            <w:tcW w:w="2778" w:type="dxa"/>
            <w:tcBorders>
              <w:tl2br w:val="nil"/>
              <w:tr2bl w:val="nil"/>
            </w:tcBorders>
            <w:vAlign w:val="top"/>
          </w:tcPr>
          <w:p w14:paraId="46698E5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highlight w:val="none"/>
                <w:lang w:eastAsia="zh-CN"/>
              </w:rPr>
            </w:pPr>
            <w:r>
              <w:rPr>
                <w:rFonts w:hint="eastAsia"/>
                <w:spacing w:val="8"/>
                <w:highlight w:val="none"/>
                <w:lang w:eastAsia="zh-CN"/>
              </w:rPr>
              <w:t>本项目生活污水依托园区创新创业基地隔油池和化粪池处理后进入园区污水管网，</w:t>
            </w:r>
            <w:r>
              <w:rPr>
                <w:rFonts w:hint="eastAsia"/>
                <w:spacing w:val="8"/>
                <w:highlight w:val="none"/>
                <w:lang w:val="en-US" w:eastAsia="zh-CN"/>
              </w:rPr>
              <w:t>地面清洁废水经沉淀池沉淀后同纯水制备浓水一起进入园区污水管网排入岳阳高新技术产业园区污水处理厂处理</w:t>
            </w:r>
            <w:r>
              <w:rPr>
                <w:rFonts w:hint="eastAsia"/>
                <w:spacing w:val="8"/>
                <w:highlight w:val="none"/>
                <w:lang w:eastAsia="zh-CN"/>
              </w:rPr>
              <w:t>达标</w:t>
            </w:r>
            <w:r>
              <w:rPr>
                <w:rFonts w:hint="eastAsia"/>
                <w:spacing w:val="8"/>
                <w:highlight w:val="none"/>
                <w:lang w:val="en-US" w:eastAsia="zh-CN"/>
              </w:rPr>
              <w:t>后</w:t>
            </w:r>
            <w:r>
              <w:rPr>
                <w:rFonts w:hint="eastAsia"/>
                <w:spacing w:val="8"/>
                <w:highlight w:val="none"/>
                <w:lang w:eastAsia="zh-CN"/>
              </w:rPr>
              <w:t>排入新墙河。雨污分流，雨水通过雨水管网收集后排入新墙河。符合管控要求。</w:t>
            </w:r>
          </w:p>
        </w:tc>
        <w:tc>
          <w:tcPr>
            <w:tcW w:w="715" w:type="dxa"/>
            <w:tcBorders>
              <w:tl2br w:val="nil"/>
              <w:tr2bl w:val="nil"/>
            </w:tcBorders>
            <w:vAlign w:val="top"/>
          </w:tcPr>
          <w:p w14:paraId="71EB05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7B9F53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AC986D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66E30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0" w:hRule="atLeast"/>
          <w:jc w:val="center"/>
        </w:trPr>
        <w:tc>
          <w:tcPr>
            <w:tcW w:w="660" w:type="dxa"/>
            <w:vMerge w:val="continue"/>
            <w:tcBorders>
              <w:tl2br w:val="nil"/>
              <w:tr2bl w:val="nil"/>
            </w:tcBorders>
            <w:vAlign w:val="top"/>
          </w:tcPr>
          <w:p w14:paraId="0417F5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510" w:type="dxa"/>
            <w:vMerge w:val="continue"/>
            <w:tcBorders>
              <w:tl2br w:val="nil"/>
              <w:tr2bl w:val="nil"/>
            </w:tcBorders>
            <w:textDirection w:val="tbRlV"/>
            <w:vAlign w:val="top"/>
          </w:tcPr>
          <w:p w14:paraId="7CD33A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4029" w:type="dxa"/>
            <w:tcBorders>
              <w:tl2br w:val="nil"/>
              <w:tr2bl w:val="nil"/>
            </w:tcBorders>
            <w:vAlign w:val="center"/>
          </w:tcPr>
          <w:p w14:paraId="17F41E6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highlight w:val="none"/>
              </w:rPr>
            </w:pPr>
            <w:r>
              <w:rPr>
                <w:rFonts w:hint="eastAsia"/>
                <w:highlight w:val="none"/>
              </w:rPr>
              <w:t>(2.2)废气:加快对挥发性有机物排放的治理，加强对重点排放企业的监管，采取有效措施减少污染物排放总量</w:t>
            </w:r>
          </w:p>
        </w:tc>
        <w:tc>
          <w:tcPr>
            <w:tcW w:w="2778" w:type="dxa"/>
            <w:tcBorders>
              <w:tl2br w:val="nil"/>
              <w:tr2bl w:val="nil"/>
            </w:tcBorders>
            <w:vAlign w:val="top"/>
          </w:tcPr>
          <w:p w14:paraId="5CF7849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rFonts w:hint="eastAsia"/>
                <w:spacing w:val="8"/>
                <w:highlight w:val="none"/>
              </w:rPr>
              <w:t>有机废气</w:t>
            </w:r>
            <w:r>
              <w:rPr>
                <w:rFonts w:hint="eastAsia"/>
                <w:spacing w:val="8"/>
                <w:highlight w:val="none"/>
                <w:lang w:val="en-US" w:eastAsia="zh-CN"/>
              </w:rPr>
              <w:t>含有挥发性有机物，</w:t>
            </w:r>
            <w:r>
              <w:rPr>
                <w:rFonts w:hint="eastAsia"/>
                <w:spacing w:val="8"/>
                <w:highlight w:val="none"/>
              </w:rPr>
              <w:t>经二级活性炭吸附箱处理达标后通过15m排气筒有组织排放。</w:t>
            </w:r>
          </w:p>
        </w:tc>
        <w:tc>
          <w:tcPr>
            <w:tcW w:w="715" w:type="dxa"/>
            <w:tcBorders>
              <w:tl2br w:val="nil"/>
              <w:tr2bl w:val="nil"/>
            </w:tcBorders>
            <w:vAlign w:val="top"/>
          </w:tcPr>
          <w:p w14:paraId="1B70E9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479B5A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4D547FA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1B577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jc w:val="center"/>
        </w:trPr>
        <w:tc>
          <w:tcPr>
            <w:tcW w:w="660" w:type="dxa"/>
            <w:vMerge w:val="continue"/>
            <w:tcBorders>
              <w:tl2br w:val="nil"/>
              <w:tr2bl w:val="nil"/>
            </w:tcBorders>
            <w:vAlign w:val="top"/>
          </w:tcPr>
          <w:p w14:paraId="261D3D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510" w:type="dxa"/>
            <w:vMerge w:val="continue"/>
            <w:tcBorders>
              <w:tl2br w:val="nil"/>
              <w:tr2bl w:val="nil"/>
            </w:tcBorders>
            <w:textDirection w:val="tbRlV"/>
            <w:vAlign w:val="top"/>
          </w:tcPr>
          <w:p w14:paraId="0BACB7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4029" w:type="dxa"/>
            <w:tcBorders>
              <w:tl2br w:val="nil"/>
              <w:tr2bl w:val="nil"/>
            </w:tcBorders>
            <w:vAlign w:val="top"/>
          </w:tcPr>
          <w:p w14:paraId="01EED87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highlight w:val="none"/>
              </w:rPr>
            </w:pPr>
            <w:r>
              <w:rPr>
                <w:rFonts w:hint="eastAsia"/>
                <w:highlight w:val="none"/>
              </w:rPr>
              <w:t>(2.3)固体废弃物:建立高新区固废规范化管理体系，做好工业固体废物的分类收集、转运、综合利用和无害化处理。对危险变物应严格按照国家有关规定综合利用或妥善处置，对危险废物产生企业和经营单位，应强化日常环境监管。</w:t>
            </w:r>
          </w:p>
          <w:p w14:paraId="7E823E3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rFonts w:hint="eastAsia"/>
                <w:highlight w:val="none"/>
              </w:rPr>
              <w:t>(2.4)高新区内相关行业污染物排放满足《湖南省生态环中境厅关于执行污染物特别排放限值(第一批)的公告》中的要求。</w:t>
            </w:r>
          </w:p>
        </w:tc>
        <w:tc>
          <w:tcPr>
            <w:tcW w:w="2778" w:type="dxa"/>
            <w:tcBorders>
              <w:tl2br w:val="nil"/>
              <w:tr2bl w:val="nil"/>
            </w:tcBorders>
            <w:vAlign w:val="top"/>
          </w:tcPr>
          <w:p w14:paraId="1CFC121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highlight w:val="none"/>
              </w:rPr>
            </w:pPr>
            <w:r>
              <w:rPr>
                <w:spacing w:val="8"/>
                <w:highlight w:val="none"/>
              </w:rPr>
              <w:t>厂区设置</w:t>
            </w:r>
            <w:r>
              <w:rPr>
                <w:rFonts w:hint="eastAsia"/>
                <w:spacing w:val="8"/>
                <w:highlight w:val="none"/>
                <w:lang w:val="en-US" w:eastAsia="zh-CN"/>
              </w:rPr>
              <w:t>一般</w:t>
            </w:r>
            <w:r>
              <w:rPr>
                <w:spacing w:val="8"/>
                <w:highlight w:val="none"/>
              </w:rPr>
              <w:t>固废暂存间</w:t>
            </w:r>
            <w:r>
              <w:rPr>
                <w:spacing w:val="6"/>
                <w:highlight w:val="none"/>
              </w:rPr>
              <w:t>及危险废物暂存间，</w:t>
            </w:r>
            <w:r>
              <w:rPr>
                <w:rFonts w:hint="eastAsia"/>
                <w:spacing w:val="6"/>
                <w:highlight w:val="none"/>
                <w:lang w:val="en-US" w:eastAsia="zh-CN"/>
              </w:rPr>
              <w:t>一般工业固废</w:t>
            </w:r>
            <w:r>
              <w:rPr>
                <w:rFonts w:hint="eastAsia"/>
                <w:highlight w:val="none"/>
              </w:rPr>
              <w:t>分类收集</w:t>
            </w:r>
            <w:r>
              <w:rPr>
                <w:rFonts w:hint="eastAsia"/>
                <w:highlight w:val="none"/>
                <w:lang w:eastAsia="zh-CN"/>
              </w:rPr>
              <w:t>，</w:t>
            </w:r>
            <w:r>
              <w:rPr>
                <w:rFonts w:hint="eastAsia"/>
                <w:spacing w:val="6"/>
                <w:highlight w:val="none"/>
                <w:lang w:val="en-US" w:eastAsia="zh-CN"/>
              </w:rPr>
              <w:t>进行综合利用或处置；危险废物经收集后暂存于危废暂存间由有资质单位进行处置，强</w:t>
            </w:r>
            <w:r>
              <w:rPr>
                <w:rFonts w:hint="eastAsia"/>
                <w:highlight w:val="none"/>
              </w:rPr>
              <w:t>化日常环境监管。</w:t>
            </w:r>
          </w:p>
          <w:p w14:paraId="7F89864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6"/>
                <w:highlight w:val="none"/>
              </w:rPr>
              <w:t>符合管控要求。</w:t>
            </w:r>
          </w:p>
        </w:tc>
        <w:tc>
          <w:tcPr>
            <w:tcW w:w="715" w:type="dxa"/>
            <w:tcBorders>
              <w:tl2br w:val="nil"/>
              <w:tr2bl w:val="nil"/>
            </w:tcBorders>
            <w:vAlign w:val="top"/>
          </w:tcPr>
          <w:p w14:paraId="06A986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F8905D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42A41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jc w:val="center"/>
        </w:trPr>
        <w:tc>
          <w:tcPr>
            <w:tcW w:w="660" w:type="dxa"/>
            <w:vMerge w:val="continue"/>
            <w:tcBorders>
              <w:tl2br w:val="nil"/>
              <w:tr2bl w:val="nil"/>
            </w:tcBorders>
            <w:vAlign w:val="top"/>
          </w:tcPr>
          <w:p w14:paraId="78DA7B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510" w:type="dxa"/>
            <w:vMerge w:val="restart"/>
            <w:tcBorders>
              <w:tl2br w:val="nil"/>
              <w:tr2bl w:val="nil"/>
            </w:tcBorders>
            <w:textDirection w:val="tbRlV"/>
            <w:vAlign w:val="center"/>
          </w:tcPr>
          <w:p w14:paraId="00BB423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环</w:t>
            </w:r>
            <w:r>
              <w:rPr>
                <w:spacing w:val="-32"/>
                <w:highlight w:val="none"/>
              </w:rPr>
              <w:t xml:space="preserve"> </w:t>
            </w:r>
            <w:r>
              <w:rPr>
                <w:spacing w:val="8"/>
                <w:highlight w:val="none"/>
              </w:rPr>
              <w:t>境</w:t>
            </w:r>
            <w:r>
              <w:rPr>
                <w:spacing w:val="-38"/>
                <w:highlight w:val="none"/>
              </w:rPr>
              <w:t xml:space="preserve"> </w:t>
            </w:r>
            <w:r>
              <w:rPr>
                <w:spacing w:val="8"/>
                <w:highlight w:val="none"/>
              </w:rPr>
              <w:t>风</w:t>
            </w:r>
            <w:r>
              <w:rPr>
                <w:spacing w:val="-35"/>
                <w:highlight w:val="none"/>
              </w:rPr>
              <w:t xml:space="preserve"> </w:t>
            </w:r>
            <w:r>
              <w:rPr>
                <w:spacing w:val="8"/>
                <w:highlight w:val="none"/>
              </w:rPr>
              <w:t>险</w:t>
            </w:r>
            <w:r>
              <w:rPr>
                <w:spacing w:val="-37"/>
                <w:highlight w:val="none"/>
              </w:rPr>
              <w:t xml:space="preserve"> </w:t>
            </w:r>
            <w:r>
              <w:rPr>
                <w:spacing w:val="8"/>
                <w:highlight w:val="none"/>
              </w:rPr>
              <w:t>防</w:t>
            </w:r>
            <w:r>
              <w:rPr>
                <w:spacing w:val="-38"/>
                <w:highlight w:val="none"/>
              </w:rPr>
              <w:t xml:space="preserve"> </w:t>
            </w:r>
            <w:r>
              <w:rPr>
                <w:spacing w:val="8"/>
                <w:highlight w:val="none"/>
              </w:rPr>
              <w:t>控</w:t>
            </w:r>
          </w:p>
        </w:tc>
        <w:tc>
          <w:tcPr>
            <w:tcW w:w="4029" w:type="dxa"/>
            <w:tcBorders>
              <w:tl2br w:val="nil"/>
              <w:tr2bl w:val="nil"/>
            </w:tcBorders>
            <w:vAlign w:val="top"/>
          </w:tcPr>
          <w:p w14:paraId="015884E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highlight w:val="none"/>
              </w:rPr>
            </w:pPr>
            <w:r>
              <w:rPr>
                <w:rFonts w:hint="eastAsia"/>
                <w:spacing w:val="8"/>
                <w:highlight w:val="none"/>
              </w:rPr>
              <w:t>(3.1)高新区各区块须建立健全环境风险防控体系，严格落实《岳阳高新技术产业园区突发环境事件应急预案》的相关要求,严防环境风险事故发生，提高应急处置能力。</w:t>
            </w:r>
          </w:p>
          <w:p w14:paraId="63BA3D1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highlight w:val="none"/>
              </w:rPr>
            </w:pPr>
            <w:r>
              <w:rPr>
                <w:rFonts w:hint="eastAsia"/>
                <w:spacing w:val="8"/>
                <w:highlight w:val="none"/>
              </w:rPr>
              <w:t>(3.2)高新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5B3C261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highlight w:val="none"/>
              </w:rPr>
            </w:pPr>
            <w:r>
              <w:rPr>
                <w:rFonts w:hint="eastAsia"/>
                <w:spacing w:val="8"/>
                <w:highlight w:val="none"/>
              </w:rPr>
              <w:t>(3.3)建设用地土壤风险防控:加强土壤污染源头防控，开展重点行业土壤污染防治，加强土壤污染重点监管单位环境管理。</w:t>
            </w:r>
          </w:p>
          <w:p w14:paraId="3A7FDA2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8"/>
                <w:highlight w:val="none"/>
              </w:rPr>
            </w:pPr>
            <w:r>
              <w:rPr>
                <w:rFonts w:hint="eastAsia"/>
                <w:spacing w:val="8"/>
                <w:highlight w:val="none"/>
              </w:rPr>
              <w:t>制定土壤污染隐患排查计划，落实土壤环境监督性监测任务。</w:t>
            </w:r>
          </w:p>
        </w:tc>
        <w:tc>
          <w:tcPr>
            <w:tcW w:w="2778" w:type="dxa"/>
            <w:tcBorders>
              <w:tl2br w:val="nil"/>
              <w:tr2bl w:val="nil"/>
            </w:tcBorders>
            <w:vAlign w:val="top"/>
          </w:tcPr>
          <w:p w14:paraId="5FADA29F">
            <w:pPr>
              <w:pStyle w:val="36"/>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6"/>
                <w:highlight w:val="none"/>
                <w:lang w:eastAsia="zh-CN"/>
              </w:rPr>
            </w:pPr>
            <w:r>
              <w:rPr>
                <w:spacing w:val="8"/>
                <w:highlight w:val="none"/>
              </w:rPr>
              <w:t>厂区拟建立风险防控</w:t>
            </w:r>
            <w:r>
              <w:rPr>
                <w:spacing w:val="6"/>
                <w:highlight w:val="none"/>
              </w:rPr>
              <w:t>体系，建设危险废物暂存间，</w:t>
            </w:r>
            <w:r>
              <w:rPr>
                <w:rFonts w:hint="eastAsia"/>
                <w:spacing w:val="6"/>
                <w:highlight w:val="none"/>
                <w:lang w:val="en-US" w:eastAsia="zh-CN"/>
              </w:rPr>
              <w:t>项目建成后</w:t>
            </w:r>
            <w:r>
              <w:rPr>
                <w:spacing w:val="6"/>
                <w:highlight w:val="none"/>
              </w:rPr>
              <w:t>编制</w:t>
            </w:r>
            <w:r>
              <w:rPr>
                <w:rFonts w:hint="eastAsia"/>
                <w:spacing w:val="6"/>
                <w:highlight w:val="none"/>
                <w:lang w:val="en-US" w:eastAsia="zh-CN"/>
              </w:rPr>
              <w:t>和落实</w:t>
            </w:r>
            <w:r>
              <w:rPr>
                <w:spacing w:val="6"/>
                <w:highlight w:val="none"/>
              </w:rPr>
              <w:t>突发环境事件应急预案并备案</w:t>
            </w:r>
            <w:r>
              <w:rPr>
                <w:rFonts w:hint="eastAsia"/>
                <w:spacing w:val="6"/>
                <w:highlight w:val="none"/>
                <w:lang w:eastAsia="zh-CN"/>
              </w:rPr>
              <w:t>；</w:t>
            </w:r>
          </w:p>
          <w:p w14:paraId="5DB38D7B">
            <w:pPr>
              <w:pStyle w:val="36"/>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right="0" w:firstLine="0" w:firstLineChars="0"/>
              <w:jc w:val="center"/>
              <w:textAlignment w:val="auto"/>
              <w:rPr>
                <w:rFonts w:hint="eastAsia"/>
                <w:spacing w:val="8"/>
                <w:highlight w:val="none"/>
              </w:rPr>
            </w:pPr>
            <w:r>
              <w:rPr>
                <w:rFonts w:hint="eastAsia"/>
                <w:spacing w:val="6"/>
                <w:highlight w:val="none"/>
                <w:lang w:val="en-US" w:eastAsia="zh-CN"/>
              </w:rPr>
              <w:t>本项目要求进行</w:t>
            </w:r>
            <w:r>
              <w:rPr>
                <w:rFonts w:hint="eastAsia"/>
                <w:spacing w:val="8"/>
                <w:highlight w:val="none"/>
              </w:rPr>
              <w:t>土壤风险防控:加强土壤污染源头防控，开展土壤污染防治，</w:t>
            </w:r>
            <w:r>
              <w:rPr>
                <w:rFonts w:hint="eastAsia"/>
                <w:spacing w:val="8"/>
                <w:highlight w:val="none"/>
                <w:lang w:val="en-US" w:eastAsia="zh-CN"/>
              </w:rPr>
              <w:t>进行厂区分区防渗处理</w:t>
            </w:r>
            <w:r>
              <w:rPr>
                <w:rFonts w:hint="eastAsia"/>
                <w:spacing w:val="8"/>
                <w:highlight w:val="none"/>
              </w:rPr>
              <w:t>。</w:t>
            </w:r>
          </w:p>
          <w:p w14:paraId="52FB399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8"/>
                <w:highlight w:val="none"/>
              </w:rPr>
            </w:pPr>
            <w:r>
              <w:rPr>
                <w:rFonts w:hint="eastAsia"/>
                <w:spacing w:val="8"/>
                <w:highlight w:val="none"/>
                <w:lang w:eastAsia="zh-CN"/>
              </w:rPr>
              <w:t>（</w:t>
            </w:r>
            <w:r>
              <w:rPr>
                <w:rFonts w:hint="eastAsia"/>
                <w:spacing w:val="8"/>
                <w:highlight w:val="none"/>
                <w:lang w:val="en-US" w:eastAsia="zh-CN"/>
              </w:rPr>
              <w:t>3</w:t>
            </w:r>
            <w:r>
              <w:rPr>
                <w:rFonts w:hint="eastAsia"/>
                <w:spacing w:val="8"/>
                <w:highlight w:val="none"/>
                <w:lang w:eastAsia="zh-CN"/>
              </w:rPr>
              <w:t>）</w:t>
            </w:r>
            <w:r>
              <w:rPr>
                <w:rFonts w:hint="eastAsia"/>
                <w:spacing w:val="8"/>
                <w:highlight w:val="none"/>
              </w:rPr>
              <w:t>制定土壤污染隐患排查计划，落实土壤环境</w:t>
            </w:r>
            <w:r>
              <w:rPr>
                <w:rFonts w:hint="eastAsia"/>
                <w:spacing w:val="8"/>
                <w:highlight w:val="none"/>
                <w:lang w:val="en-US" w:eastAsia="zh-CN"/>
              </w:rPr>
              <w:t>跟踪</w:t>
            </w:r>
            <w:r>
              <w:rPr>
                <w:rFonts w:hint="eastAsia"/>
                <w:spacing w:val="8"/>
                <w:highlight w:val="none"/>
              </w:rPr>
              <w:t>监测任务。</w:t>
            </w:r>
            <w:r>
              <w:rPr>
                <w:spacing w:val="6"/>
                <w:highlight w:val="none"/>
              </w:rPr>
              <w:t>符合管控要求。</w:t>
            </w:r>
          </w:p>
        </w:tc>
        <w:tc>
          <w:tcPr>
            <w:tcW w:w="715" w:type="dxa"/>
            <w:tcBorders>
              <w:tl2br w:val="nil"/>
              <w:tr2bl w:val="nil"/>
            </w:tcBorders>
            <w:vAlign w:val="top"/>
          </w:tcPr>
          <w:p w14:paraId="5041D73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4"/>
                <w:highlight w:val="none"/>
              </w:rPr>
            </w:pPr>
          </w:p>
        </w:tc>
      </w:tr>
      <w:tr w14:paraId="69249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jc w:val="center"/>
        </w:trPr>
        <w:tc>
          <w:tcPr>
            <w:tcW w:w="660" w:type="dxa"/>
            <w:vMerge w:val="continue"/>
            <w:tcBorders>
              <w:tl2br w:val="nil"/>
              <w:tr2bl w:val="nil"/>
            </w:tcBorders>
            <w:vAlign w:val="top"/>
          </w:tcPr>
          <w:p w14:paraId="239908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510" w:type="dxa"/>
            <w:tcBorders>
              <w:tl2br w:val="nil"/>
              <w:tr2bl w:val="nil"/>
            </w:tcBorders>
            <w:textDirection w:val="tbRlV"/>
            <w:vAlign w:val="center"/>
          </w:tcPr>
          <w:p w14:paraId="3F32CCA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highlight w:val="none"/>
                <w:lang w:val="en-US" w:eastAsia="zh-CN"/>
              </w:rPr>
            </w:pPr>
            <w:r>
              <w:rPr>
                <w:spacing w:val="8"/>
                <w:highlight w:val="none"/>
              </w:rPr>
              <w:t>资</w:t>
            </w:r>
            <w:r>
              <w:rPr>
                <w:spacing w:val="-37"/>
                <w:highlight w:val="none"/>
              </w:rPr>
              <w:t xml:space="preserve"> </w:t>
            </w:r>
            <w:r>
              <w:rPr>
                <w:spacing w:val="8"/>
                <w:highlight w:val="none"/>
              </w:rPr>
              <w:t>源</w:t>
            </w:r>
            <w:r>
              <w:rPr>
                <w:spacing w:val="-35"/>
                <w:highlight w:val="none"/>
              </w:rPr>
              <w:t xml:space="preserve"> </w:t>
            </w:r>
            <w:r>
              <w:rPr>
                <w:spacing w:val="8"/>
                <w:highlight w:val="none"/>
              </w:rPr>
              <w:t>开</w:t>
            </w:r>
            <w:r>
              <w:rPr>
                <w:rFonts w:hint="eastAsia"/>
                <w:spacing w:val="8"/>
                <w:highlight w:val="none"/>
                <w:lang w:val="en-US" w:eastAsia="zh-CN"/>
              </w:rPr>
              <w:t>发效率要求</w:t>
            </w:r>
          </w:p>
        </w:tc>
        <w:tc>
          <w:tcPr>
            <w:tcW w:w="4029" w:type="dxa"/>
            <w:tcBorders>
              <w:tl2br w:val="nil"/>
              <w:tr2bl w:val="nil"/>
            </w:tcBorders>
            <w:vAlign w:val="top"/>
          </w:tcPr>
          <w:p w14:paraId="77BAD68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spacing w:val="9"/>
                <w:highlight w:val="none"/>
              </w:rPr>
            </w:pPr>
            <w:r>
              <w:rPr>
                <w:rFonts w:hint="default" w:ascii="Times New Roman" w:hAnsi="Times New Roman" w:cs="Times New Roman"/>
                <w:spacing w:val="9"/>
                <w:highlight w:val="none"/>
              </w:rPr>
              <w:t>(4.1)能源:推动高新区能源系统整体优化和污染综合整治，鼓励工业企业、园区优先利用可再生能源。2025年区域综合能耗消费量预测当量值为 596900 吨标煤，区域单位 GDP 能耗预测值为 0.497吨标煤/万元，区域“十四五”时期能源消耗增量控制在 113500 吨标煤。</w:t>
            </w:r>
          </w:p>
          <w:p w14:paraId="40D3841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spacing w:val="9"/>
                <w:highlight w:val="none"/>
              </w:rPr>
            </w:pPr>
            <w:r>
              <w:rPr>
                <w:rFonts w:hint="default" w:ascii="Times New Roman" w:hAnsi="Times New Roman" w:cs="Times New Roman"/>
                <w:spacing w:val="9"/>
                <w:highlight w:val="none"/>
              </w:rPr>
              <w:t>(4.2)水资源(4.21)强化生产用水管理，大力推广高效冷却、循环用水等节水工艺和技术，支持企业开展节水技术改造。(4.2.2)积极推行水循环梯级利用，推动现有企业和高新区开展绿色高质量升级和循环化改造,促进企业间串联用水、分质用水。一水多用和循环利用。</w:t>
            </w:r>
          </w:p>
          <w:p w14:paraId="17369D3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spacing w:val="9"/>
                <w:highlight w:val="none"/>
              </w:rPr>
            </w:pPr>
            <w:r>
              <w:rPr>
                <w:rFonts w:hint="default" w:ascii="Times New Roman" w:hAnsi="Times New Roman" w:cs="Times New Roman"/>
                <w:spacing w:val="9"/>
                <w:highlight w:val="none"/>
              </w:rPr>
              <w:t>(4.2.3)2025年，高新区指标应符合相应行政区域的管控要求，岳阳县用水总量控制在4.07 亿立方米以内，2025年万元地区生产总值用水量比 2020 年下降 21.53%，2025 年万元工业增加值用水量比2020 年下降12.65%。</w:t>
            </w:r>
          </w:p>
          <w:p w14:paraId="4F35C0A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rFonts w:hint="default" w:ascii="Times New Roman" w:hAnsi="Times New Roman" w:cs="Times New Roman"/>
                <w:spacing w:val="9"/>
                <w:highlight w:val="none"/>
              </w:rPr>
              <w:t>(4.3)土地资源:在详细规划编制、用地预审与选址、用地报批、土地出让、规划许可、竣工验收等环节，全面推行工业项目建设用地引导指标和工业项目供地负面清单管理。省级园区工业用地固定资产投入强度达到 260万元/亩，工业用地地均税收达到13 万元/亩。</w:t>
            </w:r>
          </w:p>
        </w:tc>
        <w:tc>
          <w:tcPr>
            <w:tcW w:w="2778" w:type="dxa"/>
            <w:tcBorders>
              <w:tl2br w:val="nil"/>
              <w:tr2bl w:val="nil"/>
            </w:tcBorders>
            <w:vAlign w:val="center"/>
          </w:tcPr>
          <w:p w14:paraId="555A8F1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eastAsia="宋体"/>
                <w:highlight w:val="none"/>
                <w:lang w:eastAsia="zh-CN"/>
              </w:rPr>
            </w:pPr>
            <w:r>
              <w:rPr>
                <w:spacing w:val="6"/>
                <w:highlight w:val="none"/>
              </w:rPr>
              <w:t>不涉及燃煤锅炉，项目</w:t>
            </w:r>
            <w:r>
              <w:rPr>
                <w:spacing w:val="7"/>
                <w:highlight w:val="none"/>
              </w:rPr>
              <w:t>用水为自来水</w:t>
            </w:r>
            <w:r>
              <w:rPr>
                <w:rFonts w:hint="eastAsia"/>
                <w:spacing w:val="7"/>
                <w:highlight w:val="none"/>
                <w:lang w:eastAsia="zh-CN"/>
              </w:rPr>
              <w:t>。本项目用地为工业用地，且不属于</w:t>
            </w:r>
            <w:r>
              <w:rPr>
                <w:rFonts w:hint="eastAsia"/>
                <w:spacing w:val="7"/>
                <w:highlight w:val="none"/>
                <w:lang w:val="en-US" w:eastAsia="zh-CN"/>
              </w:rPr>
              <w:t>园区</w:t>
            </w:r>
            <w:r>
              <w:rPr>
                <w:rFonts w:hint="eastAsia"/>
                <w:spacing w:val="7"/>
                <w:highlight w:val="none"/>
                <w:lang w:eastAsia="zh-CN"/>
              </w:rPr>
              <w:t>禁止类</w:t>
            </w:r>
            <w:r>
              <w:rPr>
                <w:rFonts w:hint="eastAsia"/>
                <w:spacing w:val="7"/>
                <w:highlight w:val="none"/>
                <w:lang w:val="en-US" w:eastAsia="zh-CN"/>
              </w:rPr>
              <w:t>及淘汰类</w:t>
            </w:r>
            <w:r>
              <w:rPr>
                <w:rFonts w:hint="eastAsia"/>
                <w:spacing w:val="7"/>
                <w:highlight w:val="none"/>
                <w:lang w:eastAsia="zh-CN"/>
              </w:rPr>
              <w:t>工业，符合岳阳高新技术产业园管控要求。</w:t>
            </w:r>
          </w:p>
        </w:tc>
        <w:tc>
          <w:tcPr>
            <w:tcW w:w="715" w:type="dxa"/>
            <w:tcBorders>
              <w:tl2br w:val="nil"/>
              <w:tr2bl w:val="nil"/>
            </w:tcBorders>
            <w:vAlign w:val="center"/>
          </w:tcPr>
          <w:p w14:paraId="134914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2F73659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bl>
    <w:p w14:paraId="7238F877">
      <w:pPr>
        <w:keepNext w:val="0"/>
        <w:keepLines w:val="0"/>
        <w:pageBreakBefore w:val="0"/>
        <w:widowControl/>
        <w:kinsoku/>
        <w:wordWrap/>
        <w:overflowPunct/>
        <w:topLinePunct w:val="0"/>
        <w:autoSpaceDE/>
        <w:autoSpaceDN/>
        <w:bidi w:val="0"/>
        <w:adjustRightInd/>
        <w:snapToGrid/>
        <w:spacing w:before="0" w:line="360" w:lineRule="auto"/>
        <w:ind w:left="0" w:right="0" w:firstLine="0" w:firstLineChars="0"/>
        <w:jc w:val="both"/>
        <w:textAlignment w:val="auto"/>
        <w:rPr>
          <w:rFonts w:hint="default" w:ascii="Times New Roman" w:hAnsi="Times New Roman" w:eastAsia="宋体" w:cs="Times New Roman"/>
          <w:spacing w:val="1"/>
          <w:sz w:val="24"/>
          <w:szCs w:val="24"/>
          <w:highlight w:val="none"/>
          <w:lang w:val="en-US" w:eastAsia="zh-CN"/>
        </w:rPr>
      </w:pPr>
      <w:r>
        <w:rPr>
          <w:rFonts w:hint="eastAsia" w:eastAsia="宋体" w:cs="Times New Roman"/>
          <w:b/>
          <w:bCs/>
          <w:spacing w:val="-5"/>
          <w:sz w:val="24"/>
          <w:szCs w:val="24"/>
          <w:highlight w:val="none"/>
          <w:lang w:val="en-US" w:eastAsia="zh-CN"/>
        </w:rPr>
        <w:t xml:space="preserve">   </w:t>
      </w:r>
      <w:r>
        <w:rPr>
          <w:rFonts w:ascii="Times New Roman" w:hAnsi="Times New Roman" w:eastAsia="宋体" w:cs="Times New Roman"/>
          <w:i w:val="0"/>
          <w:iCs w:val="0"/>
          <w:caps w:val="0"/>
          <w:spacing w:val="1"/>
          <w:sz w:val="24"/>
          <w:szCs w:val="24"/>
          <w:highlight w:val="none"/>
          <w:shd w:val="clear"/>
        </w:rPr>
        <w:t>2024年12月17日岳阳市生态环境局</w:t>
      </w:r>
      <w:r>
        <w:rPr>
          <w:rFonts w:hint="default" w:ascii="Times New Roman" w:hAnsi="Times New Roman" w:eastAsia="宋体" w:cs="Times New Roman"/>
          <w:i w:val="0"/>
          <w:iCs w:val="0"/>
          <w:caps w:val="0"/>
          <w:spacing w:val="1"/>
          <w:sz w:val="24"/>
          <w:szCs w:val="24"/>
          <w:highlight w:val="none"/>
          <w:shd w:val="clear"/>
          <w:lang w:val="en-US" w:eastAsia="zh-CN"/>
        </w:rPr>
        <w:t>发布了《</w:t>
      </w:r>
      <w:r>
        <w:rPr>
          <w:rFonts w:ascii="Times New Roman" w:hAnsi="Times New Roman" w:eastAsia="宋体" w:cs="Times New Roman"/>
          <w:i w:val="0"/>
          <w:iCs w:val="0"/>
          <w:caps w:val="0"/>
          <w:spacing w:val="1"/>
          <w:sz w:val="24"/>
          <w:szCs w:val="24"/>
          <w:highlight w:val="none"/>
          <w:shd w:val="clear"/>
        </w:rPr>
        <w:t>岳阳市生态环境分区管控动态更新成果（2023年版）</w:t>
      </w:r>
      <w:r>
        <w:rPr>
          <w:rFonts w:hint="default" w:ascii="Times New Roman" w:hAnsi="Times New Roman" w:eastAsia="宋体" w:cs="Times New Roman"/>
          <w:i w:val="0"/>
          <w:iCs w:val="0"/>
          <w:caps w:val="0"/>
          <w:spacing w:val="1"/>
          <w:sz w:val="24"/>
          <w:szCs w:val="24"/>
          <w:highlight w:val="none"/>
          <w:shd w:val="clear"/>
          <w:lang w:val="en-US" w:eastAsia="zh-CN"/>
        </w:rPr>
        <w:t>》</w:t>
      </w:r>
      <w:r>
        <w:rPr>
          <w:rFonts w:hint="default" w:ascii="Times New Roman" w:hAnsi="Times New Roman" w:eastAsia="宋体" w:cs="Times New Roman"/>
          <w:b w:val="0"/>
          <w:bCs w:val="0"/>
          <w:spacing w:val="1"/>
          <w:sz w:val="24"/>
          <w:szCs w:val="24"/>
          <w:highlight w:val="none"/>
          <w:lang w:val="en-US" w:eastAsia="zh-CN"/>
        </w:rPr>
        <w:t>（岳环发〔2024〕14号），</w:t>
      </w:r>
      <w:r>
        <w:rPr>
          <w:rFonts w:hint="default" w:ascii="Times New Roman" w:hAnsi="Times New Roman" w:eastAsia="宋体" w:cs="Times New Roman"/>
          <w:spacing w:val="1"/>
          <w:sz w:val="24"/>
          <w:szCs w:val="24"/>
          <w:highlight w:val="none"/>
          <w:lang w:val="en-US" w:eastAsia="zh-CN"/>
        </w:rPr>
        <w:t>项目与《岳阳市生态环境管控基本要求(2023 年版)》符合性分析详见下表</w:t>
      </w:r>
      <w:r>
        <w:rPr>
          <w:rFonts w:hint="default" w:ascii="Times New Roman" w:hAnsi="Times New Roman" w:eastAsia="宋体" w:cs="Times New Roman"/>
          <w:spacing w:val="1"/>
          <w:sz w:val="24"/>
          <w:szCs w:val="24"/>
          <w:highlight w:val="none"/>
        </w:rPr>
        <w:t>1.5-</w:t>
      </w:r>
      <w:r>
        <w:rPr>
          <w:rFonts w:hint="default" w:ascii="Times New Roman" w:hAnsi="Times New Roman" w:eastAsia="宋体" w:cs="Times New Roman"/>
          <w:spacing w:val="1"/>
          <w:sz w:val="24"/>
          <w:szCs w:val="24"/>
          <w:highlight w:val="none"/>
          <w:lang w:val="en-US" w:eastAsia="zh-CN"/>
        </w:rPr>
        <w:t>4</w:t>
      </w:r>
      <w:r>
        <w:rPr>
          <w:rFonts w:hint="default" w:ascii="Times New Roman" w:hAnsi="Times New Roman" w:eastAsia="宋体" w:cs="Times New Roman"/>
          <w:spacing w:val="1"/>
          <w:sz w:val="24"/>
          <w:szCs w:val="24"/>
          <w:highlight w:val="none"/>
        </w:rPr>
        <w:t xml:space="preserve"> </w:t>
      </w:r>
      <w:r>
        <w:rPr>
          <w:rFonts w:hint="default" w:ascii="Times New Roman" w:hAnsi="Times New Roman" w:eastAsia="宋体" w:cs="Times New Roman"/>
          <w:spacing w:val="1"/>
          <w:sz w:val="24"/>
          <w:szCs w:val="24"/>
          <w:highlight w:val="none"/>
          <w:lang w:val="en-US" w:eastAsia="zh-CN"/>
        </w:rPr>
        <w:t>所示。</w:t>
      </w:r>
    </w:p>
    <w:p w14:paraId="3E8731C5">
      <w:pPr>
        <w:keepNext w:val="0"/>
        <w:keepLines w:val="0"/>
        <w:pageBreakBefore w:val="0"/>
        <w:widowControl w:val="0"/>
        <w:kinsoku/>
        <w:wordWrap/>
        <w:overflowPunct/>
        <w:topLinePunct w:val="0"/>
        <w:autoSpaceDE/>
        <w:autoSpaceDN/>
        <w:bidi w:val="0"/>
        <w:adjustRightInd/>
        <w:snapToGrid/>
        <w:spacing w:line="360" w:lineRule="auto"/>
        <w:ind w:left="0" w:firstLine="461" w:firstLineChars="0"/>
        <w:jc w:val="center"/>
        <w:textAlignment w:val="auto"/>
        <w:rPr>
          <w:rFonts w:hint="default" w:eastAsia="宋体"/>
          <w:b/>
          <w:bCs/>
          <w:spacing w:val="1"/>
          <w:sz w:val="24"/>
          <w:szCs w:val="24"/>
          <w:highlight w:val="none"/>
          <w:u w:val="none"/>
          <w:lang w:val="en-US" w:eastAsia="zh-CN"/>
        </w:rPr>
      </w:pPr>
      <w:r>
        <w:rPr>
          <w:rFonts w:hint="default" w:eastAsia="宋体"/>
          <w:b/>
          <w:bCs/>
          <w:spacing w:val="1"/>
          <w:sz w:val="24"/>
          <w:szCs w:val="24"/>
          <w:highlight w:val="none"/>
          <w:u w:val="none"/>
          <w:lang w:val="en-US" w:eastAsia="zh-CN"/>
        </w:rPr>
        <w:t>表</w:t>
      </w:r>
      <w:r>
        <w:rPr>
          <w:rFonts w:hint="default" w:eastAsia="宋体"/>
          <w:b/>
          <w:bCs/>
          <w:spacing w:val="1"/>
          <w:sz w:val="24"/>
          <w:szCs w:val="24"/>
          <w:highlight w:val="none"/>
          <w:u w:val="none"/>
        </w:rPr>
        <w:t>1.5-</w:t>
      </w:r>
      <w:r>
        <w:rPr>
          <w:rFonts w:hint="default" w:eastAsia="宋体"/>
          <w:b/>
          <w:bCs/>
          <w:spacing w:val="1"/>
          <w:sz w:val="24"/>
          <w:szCs w:val="24"/>
          <w:highlight w:val="none"/>
          <w:u w:val="none"/>
          <w:lang w:val="en-US" w:eastAsia="zh-CN"/>
        </w:rPr>
        <w:t>4 本项目与岳阳市生态环境管控基本要求(2023 年版)符合性分析</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87"/>
        <w:gridCol w:w="4231"/>
        <w:gridCol w:w="2657"/>
        <w:gridCol w:w="712"/>
      </w:tblGrid>
      <w:tr w14:paraId="4A48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gridSpan w:val="2"/>
            <w:vAlign w:val="top"/>
          </w:tcPr>
          <w:p w14:paraId="1CEEE12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bCs/>
                <w:spacing w:val="1"/>
                <w:sz w:val="21"/>
                <w:szCs w:val="21"/>
                <w:highlight w:val="none"/>
                <w:u w:val="none"/>
                <w:vertAlign w:val="baseline"/>
                <w:lang w:val="en-US" w:eastAsia="zh-CN"/>
              </w:rPr>
            </w:pPr>
            <w:r>
              <w:rPr>
                <w:rFonts w:hint="default" w:ascii="Times New Roman" w:hAnsi="Times New Roman" w:eastAsia="宋体" w:cs="Times New Roman"/>
                <w:b/>
                <w:bCs/>
                <w:spacing w:val="-6"/>
                <w:sz w:val="21"/>
                <w:szCs w:val="21"/>
                <w:highlight w:val="none"/>
              </w:rPr>
              <w:t>管控维度</w:t>
            </w:r>
          </w:p>
        </w:tc>
        <w:tc>
          <w:tcPr>
            <w:tcW w:w="4231" w:type="dxa"/>
            <w:vAlign w:val="top"/>
          </w:tcPr>
          <w:p w14:paraId="3A31A7A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bCs/>
                <w:spacing w:val="1"/>
                <w:sz w:val="21"/>
                <w:szCs w:val="21"/>
                <w:highlight w:val="none"/>
                <w:u w:val="none"/>
                <w:vertAlign w:val="baseline"/>
                <w:lang w:val="en-US" w:eastAsia="zh-CN"/>
              </w:rPr>
            </w:pPr>
            <w:r>
              <w:rPr>
                <w:rFonts w:hint="default" w:ascii="Times New Roman" w:hAnsi="Times New Roman" w:eastAsia="宋体" w:cs="Times New Roman"/>
                <w:b/>
                <w:bCs/>
                <w:spacing w:val="-6"/>
                <w:sz w:val="21"/>
                <w:szCs w:val="21"/>
                <w:highlight w:val="none"/>
              </w:rPr>
              <w:t>管控要求</w:t>
            </w:r>
          </w:p>
        </w:tc>
        <w:tc>
          <w:tcPr>
            <w:tcW w:w="2657" w:type="dxa"/>
            <w:vAlign w:val="top"/>
          </w:tcPr>
          <w:p w14:paraId="5A7FAB9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bCs/>
                <w:spacing w:val="1"/>
                <w:sz w:val="21"/>
                <w:szCs w:val="21"/>
                <w:highlight w:val="none"/>
                <w:u w:val="none"/>
                <w:vertAlign w:val="baseline"/>
                <w:lang w:val="en-US" w:eastAsia="zh-CN"/>
              </w:rPr>
            </w:pPr>
            <w:r>
              <w:rPr>
                <w:rFonts w:hint="default" w:ascii="Times New Roman" w:hAnsi="Times New Roman" w:eastAsia="宋体" w:cs="Times New Roman"/>
                <w:b/>
                <w:bCs/>
                <w:spacing w:val="-6"/>
                <w:sz w:val="21"/>
                <w:szCs w:val="21"/>
                <w:highlight w:val="none"/>
              </w:rPr>
              <w:t>本项目</w:t>
            </w:r>
          </w:p>
        </w:tc>
        <w:tc>
          <w:tcPr>
            <w:tcW w:w="712" w:type="dxa"/>
            <w:vAlign w:val="top"/>
          </w:tcPr>
          <w:p w14:paraId="3837D82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10"/>
                <w:sz w:val="21"/>
                <w:szCs w:val="21"/>
                <w:highlight w:val="none"/>
              </w:rPr>
              <w:t>是否</w:t>
            </w:r>
          </w:p>
          <w:p w14:paraId="3E935B0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b/>
                <w:bCs/>
                <w:spacing w:val="1"/>
                <w:sz w:val="21"/>
                <w:szCs w:val="21"/>
                <w:highlight w:val="none"/>
                <w:u w:val="none"/>
                <w:vertAlign w:val="baseline"/>
                <w:lang w:val="en-US" w:eastAsia="zh-CN"/>
              </w:rPr>
            </w:pPr>
            <w:r>
              <w:rPr>
                <w:rFonts w:hint="default" w:ascii="Times New Roman" w:hAnsi="Times New Roman" w:eastAsia="宋体" w:cs="Times New Roman"/>
                <w:b/>
                <w:bCs/>
                <w:spacing w:val="-8"/>
                <w:sz w:val="21"/>
                <w:szCs w:val="21"/>
                <w:highlight w:val="none"/>
              </w:rPr>
              <w:t>相符</w:t>
            </w:r>
          </w:p>
        </w:tc>
      </w:tr>
      <w:tr w14:paraId="7502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Merge w:val="restart"/>
            <w:vAlign w:val="center"/>
          </w:tcPr>
          <w:p w14:paraId="5BD7B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产业园区</w:t>
            </w:r>
          </w:p>
        </w:tc>
        <w:tc>
          <w:tcPr>
            <w:tcW w:w="487" w:type="dxa"/>
            <w:vAlign w:val="center"/>
          </w:tcPr>
          <w:p w14:paraId="72191D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spacing w:val="8"/>
                <w:sz w:val="21"/>
                <w:szCs w:val="21"/>
                <w:highlight w:val="none"/>
              </w:rPr>
              <w:t>空</w:t>
            </w:r>
            <w:r>
              <w:rPr>
                <w:rFonts w:hint="default" w:ascii="Times New Roman" w:hAnsi="Times New Roman" w:eastAsia="宋体" w:cs="Times New Roman"/>
                <w:spacing w:val="-34"/>
                <w:sz w:val="21"/>
                <w:szCs w:val="21"/>
                <w:highlight w:val="none"/>
              </w:rPr>
              <w:t xml:space="preserve"> </w:t>
            </w:r>
            <w:r>
              <w:rPr>
                <w:rFonts w:hint="default" w:ascii="Times New Roman" w:hAnsi="Times New Roman" w:eastAsia="宋体" w:cs="Times New Roman"/>
                <w:spacing w:val="8"/>
                <w:sz w:val="21"/>
                <w:szCs w:val="21"/>
                <w:highlight w:val="none"/>
              </w:rPr>
              <w:t>间</w:t>
            </w:r>
            <w:r>
              <w:rPr>
                <w:rFonts w:hint="default" w:ascii="Times New Roman" w:hAnsi="Times New Roman" w:eastAsia="宋体" w:cs="Times New Roman"/>
                <w:spacing w:val="-36"/>
                <w:sz w:val="21"/>
                <w:szCs w:val="21"/>
                <w:highlight w:val="none"/>
              </w:rPr>
              <w:t xml:space="preserve"> </w:t>
            </w:r>
            <w:r>
              <w:rPr>
                <w:rFonts w:hint="default" w:ascii="Times New Roman" w:hAnsi="Times New Roman" w:eastAsia="宋体" w:cs="Times New Roman"/>
                <w:spacing w:val="8"/>
                <w:sz w:val="21"/>
                <w:szCs w:val="21"/>
                <w:highlight w:val="none"/>
              </w:rPr>
              <w:t>布</w:t>
            </w:r>
            <w:r>
              <w:rPr>
                <w:rFonts w:hint="default" w:ascii="Times New Roman" w:hAnsi="Times New Roman" w:eastAsia="宋体" w:cs="Times New Roman"/>
                <w:spacing w:val="-37"/>
                <w:sz w:val="21"/>
                <w:szCs w:val="21"/>
                <w:highlight w:val="none"/>
              </w:rPr>
              <w:t xml:space="preserve"> </w:t>
            </w:r>
            <w:r>
              <w:rPr>
                <w:rFonts w:hint="default" w:ascii="Times New Roman" w:hAnsi="Times New Roman" w:eastAsia="宋体" w:cs="Times New Roman"/>
                <w:spacing w:val="8"/>
                <w:sz w:val="21"/>
                <w:szCs w:val="21"/>
                <w:highlight w:val="none"/>
              </w:rPr>
              <w:t>局</w:t>
            </w:r>
            <w:r>
              <w:rPr>
                <w:rFonts w:hint="default" w:ascii="Times New Roman" w:hAnsi="Times New Roman" w:eastAsia="宋体" w:cs="Times New Roman"/>
                <w:spacing w:val="-35"/>
                <w:sz w:val="21"/>
                <w:szCs w:val="21"/>
                <w:highlight w:val="none"/>
              </w:rPr>
              <w:t xml:space="preserve"> </w:t>
            </w:r>
            <w:r>
              <w:rPr>
                <w:rFonts w:hint="default" w:ascii="Times New Roman" w:hAnsi="Times New Roman" w:eastAsia="宋体" w:cs="Times New Roman"/>
                <w:spacing w:val="8"/>
                <w:sz w:val="21"/>
                <w:szCs w:val="21"/>
                <w:highlight w:val="none"/>
              </w:rPr>
              <w:t>约</w:t>
            </w:r>
            <w:r>
              <w:rPr>
                <w:rFonts w:hint="default" w:ascii="Times New Roman" w:hAnsi="Times New Roman" w:eastAsia="宋体" w:cs="Times New Roman"/>
                <w:spacing w:val="-38"/>
                <w:sz w:val="21"/>
                <w:szCs w:val="21"/>
                <w:highlight w:val="none"/>
              </w:rPr>
              <w:t xml:space="preserve"> </w:t>
            </w:r>
            <w:r>
              <w:rPr>
                <w:rFonts w:hint="default" w:ascii="Times New Roman" w:hAnsi="Times New Roman" w:eastAsia="宋体" w:cs="Times New Roman"/>
                <w:spacing w:val="8"/>
                <w:sz w:val="21"/>
                <w:szCs w:val="21"/>
                <w:highlight w:val="none"/>
              </w:rPr>
              <w:t>束</w:t>
            </w:r>
          </w:p>
        </w:tc>
        <w:tc>
          <w:tcPr>
            <w:tcW w:w="4231" w:type="dxa"/>
          </w:tcPr>
          <w:p w14:paraId="06E6E75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(1.1)坚决遏制高耗能、高排放、低水平项目盲目发展，积极稳妥推进碳达峰行动。</w:t>
            </w:r>
          </w:p>
          <w:p w14:paraId="4AE33B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(1.2)科学确定园区产业定位，每个园区按照“一主两特”的方向布局产业，推动园区专业化、特色化发展。</w:t>
            </w:r>
          </w:p>
          <w:p w14:paraId="4F61E2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(1.3)沿江岸线1公里范围内，严禁新建、扩建化工园区、化工生产项目;严禁现有合规化工园区在沿江岸线1公里范围内靠江扩建。</w:t>
            </w:r>
          </w:p>
          <w:p w14:paraId="25A9AA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(1.4)推动工业企业采用轻质化、无害化原辅材料，鼓励建材企业将粉煤灰、工业废渣、尾矿渣作为原料。加快落后产能淘汰进度，严禁违规新增水泥产能。</w:t>
            </w:r>
          </w:p>
        </w:tc>
        <w:tc>
          <w:tcPr>
            <w:tcW w:w="2657" w:type="dxa"/>
          </w:tcPr>
          <w:p w14:paraId="197418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eastAsia" w:ascii="Times New Roman" w:hAnsi="Times New Roman" w:eastAsia="宋体" w:cs="Times New Roman"/>
                <w:b w:val="0"/>
                <w:bCs w:val="0"/>
                <w:spacing w:val="1"/>
                <w:sz w:val="21"/>
                <w:szCs w:val="21"/>
                <w:highlight w:val="none"/>
                <w:u w:val="none"/>
                <w:vertAlign w:val="baseline"/>
                <w:lang w:val="en-US" w:eastAsia="zh-CN"/>
              </w:rPr>
              <w:t>本项目不属于高耗能、高排放、低水平项目。</w:t>
            </w:r>
            <w:r>
              <w:rPr>
                <w:rFonts w:hint="default" w:eastAsia="宋体" w:cs="Times New Roman"/>
                <w:b w:val="0"/>
                <w:bCs w:val="0"/>
                <w:spacing w:val="1"/>
                <w:sz w:val="21"/>
                <w:szCs w:val="21"/>
                <w:highlight w:val="none"/>
                <w:u w:val="none"/>
                <w:vertAlign w:val="baseline"/>
                <w:lang w:val="en-US" w:eastAsia="zh-CN"/>
              </w:rPr>
              <w:t>本项目位于岳阳高新技术产业园</w:t>
            </w:r>
            <w:r>
              <w:rPr>
                <w:rFonts w:hint="default" w:eastAsia="宋体"/>
                <w:spacing w:val="1"/>
                <w:sz w:val="21"/>
                <w:szCs w:val="21"/>
                <w:highlight w:val="none"/>
                <w:u w:val="none"/>
              </w:rPr>
              <w:t>区块二(主产业片区)西部生物医药产业区</w:t>
            </w:r>
            <w:r>
              <w:rPr>
                <w:rFonts w:hint="default" w:eastAsia="宋体"/>
                <w:spacing w:val="1"/>
                <w:sz w:val="21"/>
                <w:szCs w:val="21"/>
                <w:highlight w:val="none"/>
                <w:u w:val="none"/>
                <w:lang w:eastAsia="zh-CN"/>
              </w:rPr>
              <w:t>，</w:t>
            </w:r>
            <w:r>
              <w:rPr>
                <w:rFonts w:hint="default" w:eastAsia="宋体" w:cs="Times New Roman"/>
                <w:b w:val="0"/>
                <w:bCs w:val="0"/>
                <w:spacing w:val="1"/>
                <w:sz w:val="21"/>
                <w:szCs w:val="21"/>
                <w:highlight w:val="none"/>
                <w:u w:val="none"/>
                <w:vertAlign w:val="baseline"/>
                <w:lang w:val="en-US" w:eastAsia="zh-CN"/>
              </w:rPr>
              <w:t>本项目属于生物酶制剂及配套助剂复配应用项目，符合园区产业定位</w:t>
            </w:r>
            <w:r>
              <w:rPr>
                <w:rFonts w:hint="eastAsia" w:eastAsia="宋体" w:cs="Times New Roman"/>
                <w:b w:val="0"/>
                <w:bCs w:val="0"/>
                <w:spacing w:val="1"/>
                <w:sz w:val="21"/>
                <w:szCs w:val="21"/>
                <w:highlight w:val="none"/>
                <w:u w:val="none"/>
                <w:vertAlign w:val="baseline"/>
                <w:lang w:val="en-US" w:eastAsia="zh-CN"/>
              </w:rPr>
              <w:t>。</w:t>
            </w:r>
          </w:p>
        </w:tc>
        <w:tc>
          <w:tcPr>
            <w:tcW w:w="712" w:type="dxa"/>
          </w:tcPr>
          <w:p w14:paraId="68AAFC9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eastAsia" w:eastAsia="宋体" w:cs="Times New Roman"/>
                <w:b w:val="0"/>
                <w:bCs w:val="0"/>
                <w:spacing w:val="1"/>
                <w:sz w:val="21"/>
                <w:szCs w:val="21"/>
                <w:highlight w:val="none"/>
                <w:u w:val="none"/>
                <w:vertAlign w:val="baseline"/>
                <w:lang w:val="en-US" w:eastAsia="zh-CN"/>
              </w:rPr>
              <w:t>符合</w:t>
            </w:r>
          </w:p>
        </w:tc>
      </w:tr>
      <w:tr w14:paraId="0698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Merge w:val="continue"/>
            <w:vAlign w:val="center"/>
          </w:tcPr>
          <w:p w14:paraId="7BD45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p>
        </w:tc>
        <w:tc>
          <w:tcPr>
            <w:tcW w:w="487" w:type="dxa"/>
            <w:vAlign w:val="center"/>
          </w:tcPr>
          <w:p w14:paraId="74BC0A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spacing w:val="8"/>
                <w:sz w:val="21"/>
                <w:szCs w:val="21"/>
                <w:highlight w:val="none"/>
                <w:lang w:val="en-US" w:eastAsia="zh-CN"/>
              </w:rPr>
              <w:t>污染物排放管控</w:t>
            </w:r>
          </w:p>
        </w:tc>
        <w:tc>
          <w:tcPr>
            <w:tcW w:w="4231" w:type="dxa"/>
          </w:tcPr>
          <w:p w14:paraId="6928CD5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(2.1)推进工业园区水污染治理，实现省级及以上工业园区污水管网全覆盖、污水全收集、污水集中处理设施稳定达标运行、进出水水质在线监控并联网正常。</w:t>
            </w:r>
          </w:p>
          <w:p w14:paraId="670144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(2.2)推进 VOCs 原辅材料源头替代，强化重点行业及油品储运销 VOCs 深度治理，加大氮氧化物减排力度。</w:t>
            </w:r>
          </w:p>
        </w:tc>
        <w:tc>
          <w:tcPr>
            <w:tcW w:w="2657" w:type="dxa"/>
          </w:tcPr>
          <w:p w14:paraId="0F2DF7D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eastAsia="宋体"/>
                <w:spacing w:val="1"/>
                <w:sz w:val="21"/>
                <w:szCs w:val="21"/>
                <w:highlight w:val="none"/>
                <w:u w:val="none"/>
                <w:lang w:eastAsia="zh-CN"/>
              </w:rPr>
              <w:t>本项目生活污水依托园区创新创业基地隔油池和化粪池处理后进入园区污水管网，</w:t>
            </w:r>
            <w:r>
              <w:rPr>
                <w:rFonts w:hint="default" w:eastAsia="宋体"/>
                <w:spacing w:val="1"/>
                <w:sz w:val="21"/>
                <w:szCs w:val="21"/>
                <w:highlight w:val="none"/>
                <w:u w:val="none"/>
                <w:lang w:val="en-US" w:eastAsia="zh-CN"/>
              </w:rPr>
              <w:t>地面清洁废水经沉淀池沉淀后同纯水制备浓水一起进入园区污水管网排入岳阳高新技术产业园区污水处理厂处理</w:t>
            </w:r>
            <w:r>
              <w:rPr>
                <w:rFonts w:hint="default" w:eastAsia="宋体"/>
                <w:spacing w:val="1"/>
                <w:sz w:val="21"/>
                <w:szCs w:val="21"/>
                <w:highlight w:val="none"/>
                <w:u w:val="none"/>
                <w:lang w:eastAsia="zh-CN"/>
              </w:rPr>
              <w:t>达标</w:t>
            </w:r>
            <w:r>
              <w:rPr>
                <w:rFonts w:hint="default" w:eastAsia="宋体"/>
                <w:spacing w:val="1"/>
                <w:sz w:val="21"/>
                <w:szCs w:val="21"/>
                <w:highlight w:val="none"/>
                <w:u w:val="none"/>
                <w:lang w:val="en-US" w:eastAsia="zh-CN"/>
              </w:rPr>
              <w:t>后</w:t>
            </w:r>
            <w:r>
              <w:rPr>
                <w:rFonts w:hint="default" w:eastAsia="宋体"/>
                <w:spacing w:val="1"/>
                <w:sz w:val="21"/>
                <w:szCs w:val="21"/>
                <w:highlight w:val="none"/>
                <w:u w:val="none"/>
                <w:lang w:eastAsia="zh-CN"/>
              </w:rPr>
              <w:t>排入新墙河。雨污分流，雨水通过雨水管网收集后排入新墙河。</w:t>
            </w:r>
            <w:r>
              <w:rPr>
                <w:rFonts w:hint="eastAsia" w:eastAsia="宋体"/>
                <w:spacing w:val="1"/>
                <w:sz w:val="21"/>
                <w:szCs w:val="21"/>
                <w:highlight w:val="none"/>
                <w:u w:val="none"/>
                <w:lang w:val="en-US" w:eastAsia="zh-CN"/>
              </w:rPr>
              <w:t>本项目助剂粉剂冷却废气含VOCs，通过二级活性炭吸附箱处理后经15米排气筒排放</w:t>
            </w:r>
            <w:r>
              <w:rPr>
                <w:rFonts w:hint="eastAsia" w:eastAsia="宋体"/>
                <w:spacing w:val="1"/>
                <w:sz w:val="21"/>
                <w:szCs w:val="21"/>
                <w:highlight w:val="none"/>
                <w:u w:val="none"/>
                <w:lang w:eastAsia="zh-CN"/>
              </w:rPr>
              <w:t>。</w:t>
            </w:r>
            <w:r>
              <w:rPr>
                <w:rFonts w:hint="default" w:eastAsia="宋体"/>
                <w:spacing w:val="1"/>
                <w:sz w:val="21"/>
                <w:szCs w:val="21"/>
                <w:highlight w:val="none"/>
                <w:u w:val="none"/>
                <w:lang w:eastAsia="zh-CN"/>
              </w:rPr>
              <w:t>符合管控要求。</w:t>
            </w:r>
          </w:p>
        </w:tc>
        <w:tc>
          <w:tcPr>
            <w:tcW w:w="712" w:type="dxa"/>
          </w:tcPr>
          <w:p w14:paraId="023343C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eastAsia" w:eastAsia="宋体" w:cs="Times New Roman"/>
                <w:b w:val="0"/>
                <w:bCs w:val="0"/>
                <w:spacing w:val="1"/>
                <w:sz w:val="21"/>
                <w:szCs w:val="21"/>
                <w:highlight w:val="none"/>
                <w:u w:val="none"/>
                <w:vertAlign w:val="baseline"/>
                <w:lang w:val="en-US" w:eastAsia="zh-CN"/>
              </w:rPr>
              <w:t>符合</w:t>
            </w:r>
          </w:p>
        </w:tc>
      </w:tr>
      <w:tr w14:paraId="6D7C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Merge w:val="continue"/>
            <w:vAlign w:val="center"/>
          </w:tcPr>
          <w:p w14:paraId="211BD8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p>
        </w:tc>
        <w:tc>
          <w:tcPr>
            <w:tcW w:w="487" w:type="dxa"/>
            <w:vAlign w:val="center"/>
          </w:tcPr>
          <w:p w14:paraId="3B3D29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环境风险防控</w:t>
            </w:r>
          </w:p>
        </w:tc>
        <w:tc>
          <w:tcPr>
            <w:tcW w:w="4231" w:type="dxa"/>
          </w:tcPr>
          <w:p w14:paraId="6B36E2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(3.1)重点监管工业园区建设用地土壤中铅、镉、砷、汞等重金属和多环芳烃、石油烃、卤代烃等有机污染物。</w:t>
            </w:r>
          </w:p>
          <w:p w14:paraId="56568F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(3.2)推进强化危险废物监管和利用处置能力改革，逐步建立“源头严防、过程严管、后果严惩”危险废物监管体系。</w:t>
            </w:r>
          </w:p>
        </w:tc>
        <w:tc>
          <w:tcPr>
            <w:tcW w:w="2657" w:type="dxa"/>
          </w:tcPr>
          <w:p w14:paraId="66CFCF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eastAsia" w:eastAsia="宋体" w:cs="Times New Roman"/>
                <w:b w:val="0"/>
                <w:bCs w:val="0"/>
                <w:spacing w:val="1"/>
                <w:sz w:val="21"/>
                <w:szCs w:val="21"/>
                <w:highlight w:val="none"/>
                <w:u w:val="none"/>
                <w:vertAlign w:val="baseline"/>
                <w:lang w:val="en-US" w:eastAsia="zh-CN"/>
              </w:rPr>
              <w:t>本项目将做分区防渗，加强土壤环境风险防控。危险废物集中收集后暂存于危废暂存间，委托处置有资质单位，项目建成后会严格建立</w:t>
            </w:r>
            <w:r>
              <w:rPr>
                <w:rFonts w:hint="default" w:ascii="Times New Roman" w:hAnsi="Times New Roman" w:eastAsia="宋体" w:cs="Times New Roman"/>
                <w:b w:val="0"/>
                <w:bCs w:val="0"/>
                <w:spacing w:val="1"/>
                <w:sz w:val="21"/>
                <w:szCs w:val="21"/>
                <w:highlight w:val="none"/>
                <w:u w:val="none"/>
                <w:vertAlign w:val="baseline"/>
                <w:lang w:val="en-US" w:eastAsia="zh-CN"/>
              </w:rPr>
              <w:t>危险废物监管体系</w:t>
            </w:r>
            <w:r>
              <w:rPr>
                <w:rFonts w:hint="eastAsia" w:eastAsia="宋体" w:cs="Times New Roman"/>
                <w:b w:val="0"/>
                <w:bCs w:val="0"/>
                <w:spacing w:val="1"/>
                <w:sz w:val="21"/>
                <w:szCs w:val="21"/>
                <w:highlight w:val="none"/>
                <w:u w:val="none"/>
                <w:vertAlign w:val="baseline"/>
                <w:lang w:val="en-US" w:eastAsia="zh-CN"/>
              </w:rPr>
              <w:t>。</w:t>
            </w:r>
          </w:p>
        </w:tc>
        <w:tc>
          <w:tcPr>
            <w:tcW w:w="712" w:type="dxa"/>
          </w:tcPr>
          <w:p w14:paraId="6BA28A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eastAsia" w:eastAsia="宋体" w:cs="Times New Roman"/>
                <w:b w:val="0"/>
                <w:bCs w:val="0"/>
                <w:spacing w:val="1"/>
                <w:sz w:val="21"/>
                <w:szCs w:val="21"/>
                <w:highlight w:val="none"/>
                <w:u w:val="none"/>
                <w:vertAlign w:val="baseline"/>
                <w:lang w:val="en-US" w:eastAsia="zh-CN"/>
              </w:rPr>
              <w:t>符合</w:t>
            </w:r>
          </w:p>
        </w:tc>
      </w:tr>
      <w:tr w14:paraId="698C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Merge w:val="continue"/>
            <w:vAlign w:val="center"/>
          </w:tcPr>
          <w:p w14:paraId="32BC4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p>
        </w:tc>
        <w:tc>
          <w:tcPr>
            <w:tcW w:w="487" w:type="dxa"/>
            <w:vAlign w:val="center"/>
          </w:tcPr>
          <w:p w14:paraId="423397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资源开发效率要求</w:t>
            </w:r>
          </w:p>
        </w:tc>
        <w:tc>
          <w:tcPr>
            <w:tcW w:w="4231" w:type="dxa"/>
          </w:tcPr>
          <w:p w14:paraId="5F4FB8E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default" w:ascii="Times New Roman" w:hAnsi="Times New Roman" w:eastAsia="宋体" w:cs="Times New Roman"/>
                <w:b w:val="0"/>
                <w:bCs w:val="0"/>
                <w:spacing w:val="1"/>
                <w:sz w:val="21"/>
                <w:szCs w:val="21"/>
                <w:highlight w:val="none"/>
                <w:u w:val="none"/>
                <w:vertAlign w:val="baseline"/>
                <w:lang w:val="en-US" w:eastAsia="zh-CN"/>
              </w:rPr>
              <w:t>(4.1)实煤电节能减排升级改造，推进</w:t>
            </w:r>
            <w:r>
              <w:rPr>
                <w:rFonts w:hint="eastAsia" w:eastAsia="宋体" w:cs="Times New Roman"/>
                <w:b w:val="0"/>
                <w:bCs w:val="0"/>
                <w:spacing w:val="1"/>
                <w:sz w:val="21"/>
                <w:szCs w:val="21"/>
                <w:highlight w:val="none"/>
                <w:u w:val="none"/>
                <w:vertAlign w:val="baseline"/>
                <w:lang w:val="en-US" w:eastAsia="zh-CN"/>
              </w:rPr>
              <w:t>“</w:t>
            </w:r>
            <w:r>
              <w:rPr>
                <w:rFonts w:hint="default" w:ascii="Times New Roman" w:hAnsi="Times New Roman" w:eastAsia="宋体" w:cs="Times New Roman"/>
                <w:b w:val="0"/>
                <w:bCs w:val="0"/>
                <w:spacing w:val="1"/>
                <w:sz w:val="21"/>
                <w:szCs w:val="21"/>
                <w:highlight w:val="none"/>
                <w:u w:val="none"/>
                <w:vertAlign w:val="baseline"/>
                <w:lang w:val="en-US" w:eastAsia="zh-CN"/>
              </w:rPr>
              <w:t>煤改电”、“煤改气</w:t>
            </w:r>
            <w:r>
              <w:rPr>
                <w:rFonts w:hint="eastAsia" w:eastAsia="宋体" w:cs="Times New Roman"/>
                <w:b w:val="0"/>
                <w:bCs w:val="0"/>
                <w:spacing w:val="1"/>
                <w:sz w:val="21"/>
                <w:szCs w:val="21"/>
                <w:highlight w:val="none"/>
                <w:u w:val="none"/>
                <w:vertAlign w:val="baseline"/>
                <w:lang w:val="en-US" w:eastAsia="zh-CN"/>
              </w:rPr>
              <w:t>”</w:t>
            </w:r>
            <w:r>
              <w:rPr>
                <w:rFonts w:hint="default" w:ascii="Times New Roman" w:hAnsi="Times New Roman" w:eastAsia="宋体" w:cs="Times New Roman"/>
                <w:b w:val="0"/>
                <w:bCs w:val="0"/>
                <w:spacing w:val="1"/>
                <w:sz w:val="21"/>
                <w:szCs w:val="21"/>
                <w:highlight w:val="none"/>
                <w:u w:val="none"/>
                <w:vertAlign w:val="baseline"/>
                <w:lang w:val="en-US" w:eastAsia="zh-CN"/>
              </w:rPr>
              <w:t>，推进热电联产集中供热:开展工业园区和企业分布式绿色智能微电网建设，提高非化石能源使用比例(4.2)鼓励工业企业、园区优先利用可再生资源，推进供热、供电、污水处理、中水回用等公共基础设施共建共享。</w:t>
            </w:r>
          </w:p>
        </w:tc>
        <w:tc>
          <w:tcPr>
            <w:tcW w:w="2657" w:type="dxa"/>
          </w:tcPr>
          <w:p w14:paraId="160FE59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eastAsia" w:eastAsia="宋体" w:cs="Times New Roman"/>
                <w:b w:val="0"/>
                <w:bCs w:val="0"/>
                <w:spacing w:val="1"/>
                <w:sz w:val="21"/>
                <w:szCs w:val="21"/>
                <w:highlight w:val="none"/>
                <w:u w:val="none"/>
                <w:vertAlign w:val="baseline"/>
                <w:lang w:val="en-US" w:eastAsia="zh-CN"/>
              </w:rPr>
              <w:t>本项目使用能源为电能，供电依托园区。生活污水依托园区</w:t>
            </w:r>
            <w:r>
              <w:rPr>
                <w:rFonts w:hint="eastAsia" w:ascii="Times New Roman" w:hAnsi="Times New Roman" w:eastAsia="宋体" w:cs="Times New Roman"/>
                <w:snapToGrid w:val="0"/>
                <w:color w:val="000000"/>
                <w:spacing w:val="-3"/>
                <w:kern w:val="0"/>
                <w:sz w:val="21"/>
                <w:szCs w:val="21"/>
                <w:highlight w:val="none"/>
                <w:lang w:val="en-US" w:eastAsia="en-US" w:bidi="ar-SA"/>
              </w:rPr>
              <w:t>创新创业基地</w:t>
            </w:r>
            <w:r>
              <w:rPr>
                <w:rFonts w:hint="eastAsia" w:eastAsia="宋体" w:cs="Times New Roman"/>
                <w:b w:val="0"/>
                <w:bCs w:val="0"/>
                <w:spacing w:val="1"/>
                <w:sz w:val="21"/>
                <w:szCs w:val="21"/>
                <w:highlight w:val="none"/>
                <w:u w:val="none"/>
                <w:vertAlign w:val="baseline"/>
                <w:lang w:val="en-US" w:eastAsia="zh-CN"/>
              </w:rPr>
              <w:t>隔油池和化粪池处理，地面清洁废水经沉淀池沉淀后与纯水制备浓水一起进入园区污水管网，外排废水由岳阳高新技术产业园污水处理厂处理达标排放。</w:t>
            </w:r>
          </w:p>
        </w:tc>
        <w:tc>
          <w:tcPr>
            <w:tcW w:w="712" w:type="dxa"/>
          </w:tcPr>
          <w:p w14:paraId="2150DCF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pacing w:val="1"/>
                <w:sz w:val="21"/>
                <w:szCs w:val="21"/>
                <w:highlight w:val="none"/>
                <w:u w:val="none"/>
                <w:vertAlign w:val="baseline"/>
                <w:lang w:val="en-US" w:eastAsia="zh-CN"/>
              </w:rPr>
            </w:pPr>
            <w:r>
              <w:rPr>
                <w:rFonts w:hint="eastAsia" w:eastAsia="宋体" w:cs="Times New Roman"/>
                <w:b w:val="0"/>
                <w:bCs w:val="0"/>
                <w:spacing w:val="1"/>
                <w:sz w:val="21"/>
                <w:szCs w:val="21"/>
                <w:highlight w:val="none"/>
                <w:u w:val="none"/>
                <w:vertAlign w:val="baseline"/>
                <w:lang w:val="en-US" w:eastAsia="zh-CN"/>
              </w:rPr>
              <w:t>符合</w:t>
            </w:r>
          </w:p>
        </w:tc>
      </w:tr>
    </w:tbl>
    <w:p w14:paraId="22FE1294">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both"/>
        <w:textAlignment w:val="auto"/>
        <w:rPr>
          <w:rFonts w:hint="default" w:ascii="Times New Roman" w:hAnsi="Times New Roman" w:eastAsia="宋体" w:cs="Times New Roman"/>
          <w:b/>
          <w:bCs/>
          <w:spacing w:val="-5"/>
          <w:sz w:val="24"/>
          <w:szCs w:val="24"/>
          <w:highlight w:val="none"/>
        </w:rPr>
      </w:pPr>
      <w:r>
        <w:rPr>
          <w:rFonts w:hint="default" w:ascii="Times New Roman" w:hAnsi="Times New Roman" w:eastAsia="宋体" w:cs="Times New Roman"/>
          <w:b/>
          <w:bCs/>
          <w:spacing w:val="-5"/>
          <w:sz w:val="24"/>
          <w:szCs w:val="24"/>
          <w:highlight w:val="none"/>
        </w:rPr>
        <w:t>6 、与本项目与《湖南省“十四五”生态环境保护规划》符合性分析</w:t>
      </w:r>
    </w:p>
    <w:p w14:paraId="23AD3B24">
      <w:pPr>
        <w:spacing w:before="181" w:line="359" w:lineRule="auto"/>
        <w:ind w:left="151" w:right="286" w:firstLine="461"/>
        <w:rPr>
          <w:rFonts w:ascii="宋体" w:hAnsi="宋体" w:eastAsia="宋体" w:cs="宋体"/>
          <w:sz w:val="24"/>
          <w:szCs w:val="24"/>
          <w:highlight w:val="none"/>
        </w:rPr>
      </w:pPr>
      <w:r>
        <w:rPr>
          <w:rFonts w:ascii="宋体" w:hAnsi="宋体" w:eastAsia="宋体" w:cs="宋体"/>
          <w:spacing w:val="1"/>
          <w:sz w:val="24"/>
          <w:szCs w:val="24"/>
          <w:highlight w:val="none"/>
        </w:rPr>
        <w:t>本项目与《湖南省“十四五</w:t>
      </w:r>
      <w:r>
        <w:rPr>
          <w:rFonts w:ascii="宋体" w:hAnsi="宋体" w:eastAsia="宋体" w:cs="宋体"/>
          <w:spacing w:val="-86"/>
          <w:sz w:val="24"/>
          <w:szCs w:val="24"/>
          <w:highlight w:val="none"/>
        </w:rPr>
        <w:t xml:space="preserve"> </w:t>
      </w:r>
      <w:r>
        <w:rPr>
          <w:rFonts w:ascii="宋体" w:hAnsi="宋体" w:eastAsia="宋体" w:cs="宋体"/>
          <w:spacing w:val="1"/>
          <w:sz w:val="24"/>
          <w:szCs w:val="24"/>
          <w:highlight w:val="none"/>
        </w:rPr>
        <w:t>”生态环境保护规划》湘政办</w:t>
      </w:r>
      <w:r>
        <w:rPr>
          <w:rFonts w:ascii="宋体" w:hAnsi="宋体" w:eastAsia="宋体" w:cs="宋体"/>
          <w:sz w:val="24"/>
          <w:szCs w:val="24"/>
          <w:highlight w:val="none"/>
        </w:rPr>
        <w:t>发【</w:t>
      </w:r>
      <w:r>
        <w:rPr>
          <w:rFonts w:ascii="Times New Roman" w:hAnsi="Times New Roman" w:eastAsia="Times New Roman" w:cs="Times New Roman"/>
          <w:sz w:val="24"/>
          <w:szCs w:val="24"/>
          <w:highlight w:val="none"/>
        </w:rPr>
        <w:t>2021</w:t>
      </w:r>
      <w:r>
        <w:rPr>
          <w:rFonts w:ascii="宋体" w:hAnsi="宋体" w:eastAsia="宋体" w:cs="宋体"/>
          <w:sz w:val="24"/>
          <w:szCs w:val="24"/>
          <w:highlight w:val="none"/>
        </w:rPr>
        <w:t>】</w:t>
      </w:r>
      <w:r>
        <w:rPr>
          <w:rFonts w:ascii="Times New Roman" w:hAnsi="Times New Roman" w:eastAsia="Times New Roman" w:cs="Times New Roman"/>
          <w:sz w:val="24"/>
          <w:szCs w:val="24"/>
          <w:highlight w:val="none"/>
        </w:rPr>
        <w:t>61</w:t>
      </w:r>
      <w:r>
        <w:rPr>
          <w:rFonts w:ascii="Times New Roman" w:hAnsi="Times New Roman" w:eastAsia="Times New Roman" w:cs="Times New Roman"/>
          <w:spacing w:val="18"/>
          <w:sz w:val="24"/>
          <w:szCs w:val="24"/>
          <w:highlight w:val="none"/>
        </w:rPr>
        <w:t xml:space="preserve"> </w:t>
      </w:r>
      <w:r>
        <w:rPr>
          <w:rFonts w:ascii="宋体" w:hAnsi="宋体" w:eastAsia="宋体" w:cs="宋体"/>
          <w:sz w:val="24"/>
          <w:szCs w:val="24"/>
          <w:highlight w:val="none"/>
        </w:rPr>
        <w:t xml:space="preserve">号 </w:t>
      </w:r>
      <w:r>
        <w:rPr>
          <w:rFonts w:ascii="宋体" w:hAnsi="宋体" w:eastAsia="宋体" w:cs="宋体"/>
          <w:spacing w:val="-3"/>
          <w:sz w:val="24"/>
          <w:szCs w:val="24"/>
          <w:highlight w:val="none"/>
        </w:rPr>
        <w:t>的相符性分析具体见下表所示。</w:t>
      </w:r>
    </w:p>
    <w:p w14:paraId="11C269C6">
      <w:pPr>
        <w:keepNext w:val="0"/>
        <w:keepLines w:val="0"/>
        <w:pageBreakBefore w:val="0"/>
        <w:widowControl w:val="0"/>
        <w:kinsoku/>
        <w:wordWrap/>
        <w:overflowPunct/>
        <w:topLinePunct w:val="0"/>
        <w:autoSpaceDE/>
        <w:autoSpaceDN/>
        <w:bidi w:val="0"/>
        <w:adjustRightInd/>
        <w:snapToGrid/>
        <w:spacing w:line="360" w:lineRule="auto"/>
        <w:ind w:left="0" w:right="0" w:firstLine="461"/>
        <w:jc w:val="center"/>
        <w:textAlignment w:val="auto"/>
        <w:rPr>
          <w:rFonts w:hint="default" w:ascii="Times New Roman" w:hAnsi="Times New Roman" w:eastAsia="宋体" w:cs="Times New Roman"/>
          <w:b/>
          <w:bCs/>
          <w:spacing w:val="1"/>
          <w:sz w:val="24"/>
          <w:szCs w:val="24"/>
          <w:highlight w:val="none"/>
        </w:rPr>
      </w:pPr>
      <w:r>
        <w:rPr>
          <w:rFonts w:hint="default" w:ascii="Times New Roman" w:hAnsi="Times New Roman" w:eastAsia="宋体" w:cs="Times New Roman"/>
          <w:b/>
          <w:bCs/>
          <w:spacing w:val="1"/>
          <w:sz w:val="24"/>
          <w:szCs w:val="24"/>
          <w:highlight w:val="none"/>
        </w:rPr>
        <w:t>表 1.</w:t>
      </w:r>
      <w:r>
        <w:rPr>
          <w:rFonts w:hint="eastAsia" w:ascii="Times New Roman" w:hAnsi="Times New Roman" w:eastAsia="宋体" w:cs="Times New Roman"/>
          <w:b/>
          <w:bCs/>
          <w:spacing w:val="1"/>
          <w:sz w:val="24"/>
          <w:szCs w:val="24"/>
          <w:highlight w:val="none"/>
          <w:lang w:val="en-US" w:eastAsia="zh-CN"/>
        </w:rPr>
        <w:t>5</w:t>
      </w:r>
      <w:r>
        <w:rPr>
          <w:rFonts w:hint="default" w:ascii="Times New Roman" w:hAnsi="Times New Roman" w:eastAsia="宋体" w:cs="Times New Roman"/>
          <w:b/>
          <w:bCs/>
          <w:spacing w:val="1"/>
          <w:sz w:val="24"/>
          <w:szCs w:val="24"/>
          <w:highlight w:val="none"/>
        </w:rPr>
        <w:t>-</w:t>
      </w:r>
      <w:r>
        <w:rPr>
          <w:rFonts w:hint="eastAsia" w:eastAsia="宋体" w:cs="Times New Roman"/>
          <w:b/>
          <w:bCs/>
          <w:spacing w:val="1"/>
          <w:sz w:val="24"/>
          <w:szCs w:val="24"/>
          <w:highlight w:val="none"/>
          <w:lang w:val="en-US" w:eastAsia="zh-CN"/>
        </w:rPr>
        <w:t>5</w:t>
      </w:r>
      <w:r>
        <w:rPr>
          <w:rFonts w:hint="default" w:ascii="Times New Roman" w:hAnsi="Times New Roman" w:eastAsia="宋体" w:cs="Times New Roman"/>
          <w:b/>
          <w:bCs/>
          <w:spacing w:val="1"/>
          <w:sz w:val="24"/>
          <w:szCs w:val="24"/>
          <w:highlight w:val="none"/>
        </w:rPr>
        <w:t xml:space="preserve">   本项目与湘政办发【2021】61 号的符合性分析</w:t>
      </w: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5"/>
        <w:gridCol w:w="5542"/>
        <w:gridCol w:w="1445"/>
        <w:gridCol w:w="780"/>
      </w:tblGrid>
      <w:tr w14:paraId="33B81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322" w:type="pct"/>
            <w:tcBorders>
              <w:tl2br w:val="nil"/>
              <w:tr2bl w:val="nil"/>
            </w:tcBorders>
            <w:vAlign w:val="top"/>
          </w:tcPr>
          <w:p w14:paraId="4345F83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5"/>
                <w:highlight w:val="none"/>
              </w:rPr>
              <w:t>序号</w:t>
            </w:r>
          </w:p>
        </w:tc>
        <w:tc>
          <w:tcPr>
            <w:tcW w:w="3336" w:type="pct"/>
            <w:tcBorders>
              <w:tl2br w:val="nil"/>
              <w:tr2bl w:val="nil"/>
            </w:tcBorders>
            <w:vAlign w:val="top"/>
          </w:tcPr>
          <w:p w14:paraId="09DD270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highlight w:val="none"/>
              </w:rPr>
            </w:pPr>
            <w:r>
              <w:rPr>
                <w:spacing w:val="8"/>
                <w:highlight w:val="none"/>
              </w:rPr>
              <w:t>湖南省</w:t>
            </w:r>
            <w:r>
              <w:rPr>
                <w:rFonts w:ascii="Times New Roman" w:hAnsi="Times New Roman" w:eastAsia="Times New Roman" w:cs="Times New Roman"/>
                <w:spacing w:val="8"/>
                <w:highlight w:val="none"/>
              </w:rPr>
              <w:t>“</w:t>
            </w:r>
            <w:r>
              <w:rPr>
                <w:spacing w:val="8"/>
                <w:highlight w:val="none"/>
              </w:rPr>
              <w:t>十四五</w:t>
            </w:r>
            <w:r>
              <w:rPr>
                <w:rFonts w:ascii="Times New Roman" w:hAnsi="Times New Roman" w:eastAsia="Times New Roman" w:cs="Times New Roman"/>
                <w:spacing w:val="8"/>
                <w:highlight w:val="none"/>
              </w:rPr>
              <w:t>”</w:t>
            </w:r>
            <w:r>
              <w:rPr>
                <w:spacing w:val="8"/>
                <w:highlight w:val="none"/>
              </w:rPr>
              <w:t>生态环境保护规划</w:t>
            </w:r>
          </w:p>
        </w:tc>
        <w:tc>
          <w:tcPr>
            <w:tcW w:w="870" w:type="pct"/>
            <w:tcBorders>
              <w:tl2br w:val="nil"/>
              <w:tr2bl w:val="nil"/>
            </w:tcBorders>
            <w:vAlign w:val="top"/>
          </w:tcPr>
          <w:p w14:paraId="4BE9AD6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highlight w:val="none"/>
              </w:rPr>
            </w:pPr>
            <w:r>
              <w:rPr>
                <w:spacing w:val="7"/>
                <w:highlight w:val="none"/>
              </w:rPr>
              <w:t>项目具体情况</w:t>
            </w:r>
          </w:p>
        </w:tc>
        <w:tc>
          <w:tcPr>
            <w:tcW w:w="469" w:type="pct"/>
            <w:tcBorders>
              <w:tl2br w:val="nil"/>
              <w:tr2bl w:val="nil"/>
            </w:tcBorders>
            <w:vAlign w:val="top"/>
          </w:tcPr>
          <w:p w14:paraId="202F610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3"/>
                <w:highlight w:val="none"/>
              </w:rPr>
              <w:t>符合</w:t>
            </w:r>
          </w:p>
          <w:p w14:paraId="561B733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2"/>
                <w:highlight w:val="none"/>
              </w:rPr>
              <w:t>与否</w:t>
            </w:r>
          </w:p>
        </w:tc>
      </w:tr>
      <w:tr w14:paraId="4BA7E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1" w:hRule="atLeast"/>
        </w:trPr>
        <w:tc>
          <w:tcPr>
            <w:tcW w:w="322" w:type="pct"/>
            <w:tcBorders>
              <w:tl2br w:val="nil"/>
              <w:tr2bl w:val="nil"/>
            </w:tcBorders>
            <w:vAlign w:val="top"/>
          </w:tcPr>
          <w:p w14:paraId="1097F3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5F24C70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6434DD2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2"/>
                <w:highlight w:val="none"/>
              </w:rPr>
              <w:t>总体</w:t>
            </w:r>
          </w:p>
          <w:p w14:paraId="380DC71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16"/>
                <w:highlight w:val="none"/>
              </w:rPr>
              <w:t>目标</w:t>
            </w:r>
          </w:p>
        </w:tc>
        <w:tc>
          <w:tcPr>
            <w:tcW w:w="3336" w:type="pct"/>
            <w:tcBorders>
              <w:tl2br w:val="nil"/>
              <w:tr2bl w:val="nil"/>
            </w:tcBorders>
            <w:vAlign w:val="top"/>
          </w:tcPr>
          <w:p w14:paraId="36BA79D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生产生活方式绿色转型成效显著，能源资源配置更加合理、利</w:t>
            </w:r>
          </w:p>
          <w:p w14:paraId="600AEB1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用效率大幅提高，国土空间开发与保护格局得到优化，污染物</w:t>
            </w:r>
          </w:p>
          <w:p w14:paraId="1709374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排放总量持续减少，生态环境质量持续改善，突出生态环境问</w:t>
            </w:r>
          </w:p>
          <w:p w14:paraId="3CE3726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题加快解决，重大生态环境风险基本化解，生态安全屏障更加</w:t>
            </w:r>
          </w:p>
          <w:p w14:paraId="3CD0111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牢固，城乡人居环境明显改善，生态环境治理体系和治理能力</w:t>
            </w:r>
          </w:p>
          <w:p w14:paraId="6F8B178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highlight w:val="none"/>
              </w:rPr>
            </w:pPr>
            <w:r>
              <w:rPr>
                <w:rFonts w:hint="eastAsia"/>
                <w:highlight w:val="none"/>
              </w:rPr>
              <w:t>现代化水平明显增强，生态文明建设实现新进步。</w:t>
            </w:r>
          </w:p>
        </w:tc>
        <w:tc>
          <w:tcPr>
            <w:tcW w:w="870" w:type="pct"/>
            <w:tcBorders>
              <w:tl2br w:val="nil"/>
              <w:tr2bl w:val="nil"/>
            </w:tcBorders>
            <w:vAlign w:val="top"/>
          </w:tcPr>
          <w:p w14:paraId="5C3F217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highlight w:val="none"/>
              </w:rPr>
            </w:pPr>
            <w:r>
              <w:rPr>
                <w:rFonts w:hint="eastAsia"/>
                <w:spacing w:val="7"/>
                <w:highlight w:val="none"/>
                <w:lang w:val="en-US" w:eastAsia="zh-CN"/>
              </w:rPr>
              <w:t>本项目属于复配生物酶制剂及酶制剂助剂应用项目</w:t>
            </w:r>
            <w:r>
              <w:rPr>
                <w:rFonts w:hint="eastAsia"/>
                <w:highlight w:val="none"/>
              </w:rPr>
              <w:t>，满足绿色发展理念，资源利用提高。</w:t>
            </w:r>
          </w:p>
        </w:tc>
        <w:tc>
          <w:tcPr>
            <w:tcW w:w="469" w:type="pct"/>
            <w:tcBorders>
              <w:tl2br w:val="nil"/>
              <w:tr2bl w:val="nil"/>
            </w:tcBorders>
            <w:vAlign w:val="top"/>
          </w:tcPr>
          <w:p w14:paraId="15D7CA6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1315C8D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4B7FE85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3"/>
                <w:highlight w:val="none"/>
              </w:rPr>
              <w:t>符合</w:t>
            </w:r>
          </w:p>
        </w:tc>
      </w:tr>
      <w:tr w14:paraId="6639C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8" w:hRule="atLeast"/>
        </w:trPr>
        <w:tc>
          <w:tcPr>
            <w:tcW w:w="322" w:type="pct"/>
            <w:vMerge w:val="restart"/>
            <w:tcBorders>
              <w:tl2br w:val="nil"/>
              <w:tr2bl w:val="nil"/>
            </w:tcBorders>
            <w:vAlign w:val="center"/>
          </w:tcPr>
          <w:p w14:paraId="6C1D8F3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6C1DD8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5FBDF1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478C667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4"/>
                <w:highlight w:val="none"/>
              </w:rPr>
              <w:t>致力</w:t>
            </w:r>
          </w:p>
          <w:p w14:paraId="56F31D9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3"/>
                <w:highlight w:val="none"/>
              </w:rPr>
              <w:t>绿色</w:t>
            </w:r>
          </w:p>
          <w:p w14:paraId="5EF66B3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5"/>
                <w:highlight w:val="none"/>
              </w:rPr>
              <w:t>低碳</w:t>
            </w:r>
          </w:p>
          <w:p w14:paraId="450FC75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4"/>
                <w:highlight w:val="none"/>
              </w:rPr>
              <w:t>循环</w:t>
            </w:r>
          </w:p>
          <w:p w14:paraId="04D91BF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3"/>
                <w:highlight w:val="none"/>
              </w:rPr>
              <w:t>发展</w:t>
            </w:r>
          </w:p>
        </w:tc>
        <w:tc>
          <w:tcPr>
            <w:tcW w:w="3336" w:type="pct"/>
            <w:tcBorders>
              <w:tl2br w:val="nil"/>
              <w:tr2bl w:val="nil"/>
            </w:tcBorders>
            <w:vAlign w:val="top"/>
          </w:tcPr>
          <w:p w14:paraId="049CCEF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（一）优化国土空间保护格局。落实主体功能区战略。坚持保 护优先，立足资源环境承载 力，合理划分城市化发展区、农产 品主产区、重点生态功 能区，发挥各地比较优势，实施国土空 间资源的差异化配 置，推动形成以主体功能明显、优势互补、 高质量发展的 国土空间开发保护新格局，保护永久基本农田和 生态空间。强化国土空间分区管控。统筹划定生态保护红线、 永久基本农田和城镇开发边界三条控制线，合理安排生产、生 活、生态空间，形成科学适度有序的国土空间布局体系，减少 人类活动对自然空间的占用。促进区域绿色发展。保障“一江一 湖三山四水”生态安全，推动“长株潭、洞庭湖、湘南、大湘西”</w:t>
            </w:r>
          </w:p>
          <w:p w14:paraId="31B0C2E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区域协调发展。</w:t>
            </w:r>
          </w:p>
        </w:tc>
        <w:tc>
          <w:tcPr>
            <w:tcW w:w="870" w:type="pct"/>
            <w:tcBorders>
              <w:tl2br w:val="nil"/>
              <w:tr2bl w:val="nil"/>
            </w:tcBorders>
            <w:vAlign w:val="top"/>
          </w:tcPr>
          <w:p w14:paraId="4A09A06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spacing w:val="7"/>
                <w:highlight w:val="none"/>
                <w:lang w:val="en-US" w:eastAsia="zh-CN"/>
              </w:rPr>
            </w:pPr>
            <w:r>
              <w:rPr>
                <w:rFonts w:hint="eastAsia"/>
                <w:spacing w:val="7"/>
                <w:highlight w:val="none"/>
                <w:lang w:val="en-US" w:eastAsia="zh-CN"/>
              </w:rPr>
              <w:t>本项目属于复配生物酶制剂及酶制剂助剂应用项目，位于岳阳县荣家湾镇高新技术产业园区，符合湖南省“三线一单”生态环境总体管控要求。</w:t>
            </w:r>
          </w:p>
        </w:tc>
        <w:tc>
          <w:tcPr>
            <w:tcW w:w="469" w:type="pct"/>
            <w:tcBorders>
              <w:tl2br w:val="nil"/>
              <w:tr2bl w:val="nil"/>
            </w:tcBorders>
            <w:vAlign w:val="top"/>
          </w:tcPr>
          <w:p w14:paraId="39851BF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spacing w:val="3"/>
                <w:highlight w:val="none"/>
                <w:lang w:val="en-US" w:eastAsia="zh-CN"/>
              </w:rPr>
            </w:pPr>
            <w:r>
              <w:rPr>
                <w:rFonts w:hint="eastAsia"/>
                <w:spacing w:val="3"/>
                <w:highlight w:val="none"/>
                <w:lang w:val="en-US" w:eastAsia="zh-CN"/>
              </w:rPr>
              <w:t>符合</w:t>
            </w:r>
          </w:p>
        </w:tc>
      </w:tr>
      <w:tr w14:paraId="6E45B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8" w:hRule="atLeast"/>
        </w:trPr>
        <w:tc>
          <w:tcPr>
            <w:tcW w:w="322" w:type="pct"/>
            <w:vMerge w:val="continue"/>
            <w:tcBorders>
              <w:tl2br w:val="nil"/>
              <w:tr2bl w:val="nil"/>
            </w:tcBorders>
            <w:vAlign w:val="top"/>
          </w:tcPr>
          <w:p w14:paraId="7147AE8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p>
        </w:tc>
        <w:tc>
          <w:tcPr>
            <w:tcW w:w="3336" w:type="pct"/>
            <w:tcBorders>
              <w:tl2br w:val="nil"/>
              <w:tr2bl w:val="nil"/>
            </w:tcBorders>
            <w:vAlign w:val="top"/>
          </w:tcPr>
          <w:p w14:paraId="0478DF1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（二）推动形成绿色生产方式。推动产业结构绿色转型。加快</w:t>
            </w:r>
          </w:p>
          <w:p w14:paraId="26D6C14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建设绿色制造体系，持续推进工业新兴优势产业链和“3+3+2”</w:t>
            </w:r>
          </w:p>
          <w:p w14:paraId="2002F91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重点产业领域建设，围绕碳达峰、碳中和目标，在污染治理、</w:t>
            </w:r>
          </w:p>
          <w:p w14:paraId="63E3EEE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资源综合利用、先进储能、燃料电池、碳捕集利用封存等方面</w:t>
            </w:r>
          </w:p>
          <w:p w14:paraId="57DDEAD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突破一批关键技术。推动能源结构持续 优化。优化能源结构，</w:t>
            </w:r>
          </w:p>
          <w:p w14:paraId="4A82A95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构建清洁低碳、安全高效的现代能 源体系，控制化石能源消费</w:t>
            </w:r>
          </w:p>
          <w:p w14:paraId="2D8D7BF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总量，合理控制煤炭消费总量，提升煤炭清洁化利用率，“十四</w:t>
            </w:r>
          </w:p>
          <w:p w14:paraId="6781BC8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五 ”期间煤炭消费基本达峰，形成以非石化能源为能源消费增</w:t>
            </w:r>
          </w:p>
          <w:p w14:paraId="2459F8E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量主体的能源结构。推动运输结构持续优化。充分发挥“一江一</w:t>
            </w:r>
          </w:p>
          <w:p w14:paraId="5C2DF0E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湖四水”水运资源禀赋和“连南接北、承东启西”铁路运输优势，</w:t>
            </w:r>
          </w:p>
          <w:p w14:paraId="5ED3E3B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推进大宗货物和集装箱中长距离运输“公转铁、公转水”，实现“宜铁则铁、宜公则公、宜水则水”优化组合，减少公路运输量，</w:t>
            </w:r>
          </w:p>
          <w:p w14:paraId="5F87957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增加铁路、水路运输量。推动资源高效循环利用。加强工业生</w:t>
            </w:r>
          </w:p>
          <w:p w14:paraId="1CC13D5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产用水、用能全过程管理，提高水资源、能源利用效率，严格</w:t>
            </w:r>
          </w:p>
          <w:p w14:paraId="7CD07A6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实行用水、用能总量和强度管理，开展工业能效、水效“领跑者</w:t>
            </w:r>
          </w:p>
          <w:p w14:paraId="0DCFA41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highlight w:val="none"/>
              </w:rPr>
            </w:pPr>
            <w:r>
              <w:rPr>
                <w:rFonts w:hint="eastAsia"/>
                <w:highlight w:val="none"/>
              </w:rPr>
              <w:t>”制度。</w:t>
            </w:r>
          </w:p>
        </w:tc>
        <w:tc>
          <w:tcPr>
            <w:tcW w:w="870" w:type="pct"/>
            <w:tcBorders>
              <w:tl2br w:val="nil"/>
              <w:tr2bl w:val="nil"/>
            </w:tcBorders>
            <w:vAlign w:val="top"/>
          </w:tcPr>
          <w:p w14:paraId="21B1AD3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eastAsia="宋体"/>
                <w:highlight w:val="none"/>
                <w:lang w:eastAsia="zh-CN"/>
              </w:rPr>
            </w:pPr>
            <w:r>
              <w:rPr>
                <w:rFonts w:hint="eastAsia"/>
                <w:spacing w:val="7"/>
                <w:highlight w:val="none"/>
                <w:lang w:val="en-US" w:eastAsia="zh-CN"/>
              </w:rPr>
              <w:t>本项目属于复配生物酶制剂及酶制剂助剂应用项目，</w:t>
            </w:r>
            <w:r>
              <w:rPr>
                <w:rFonts w:hint="eastAsia"/>
                <w:highlight w:val="none"/>
              </w:rPr>
              <w:t>推动形成绿色生产方式</w:t>
            </w:r>
            <w:r>
              <w:rPr>
                <w:rFonts w:hint="eastAsia"/>
                <w:highlight w:val="none"/>
                <w:lang w:eastAsia="zh-CN"/>
              </w:rPr>
              <w:t>。</w:t>
            </w:r>
          </w:p>
        </w:tc>
        <w:tc>
          <w:tcPr>
            <w:tcW w:w="469" w:type="pct"/>
            <w:tcBorders>
              <w:tl2br w:val="nil"/>
              <w:tr2bl w:val="nil"/>
            </w:tcBorders>
            <w:vAlign w:val="top"/>
          </w:tcPr>
          <w:p w14:paraId="5E2C7F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4E395F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28D063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61FFF34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762714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1531368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3"/>
                <w:highlight w:val="none"/>
              </w:rPr>
              <w:t>符合</w:t>
            </w:r>
          </w:p>
        </w:tc>
      </w:tr>
      <w:tr w14:paraId="22CD7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322" w:type="pct"/>
            <w:vMerge w:val="continue"/>
            <w:tcBorders>
              <w:tl2br w:val="nil"/>
              <w:tr2bl w:val="nil"/>
            </w:tcBorders>
            <w:vAlign w:val="top"/>
          </w:tcPr>
          <w:p w14:paraId="1385B1C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p>
        </w:tc>
        <w:tc>
          <w:tcPr>
            <w:tcW w:w="3336" w:type="pct"/>
            <w:tcBorders>
              <w:tl2br w:val="nil"/>
              <w:tr2bl w:val="nil"/>
            </w:tcBorders>
            <w:vAlign w:val="top"/>
          </w:tcPr>
          <w:p w14:paraId="4FAF9B2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（五）严格生态环境准入。严格生态环境分区引导。严格落实</w:t>
            </w:r>
          </w:p>
          <w:p w14:paraId="13C48CF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湖南省“三线一单”生态环境总体管控要求，将生态保护红线、</w:t>
            </w:r>
          </w:p>
          <w:p w14:paraId="1F28046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环境质量底线、资源利用上线和生态环境准入清单作为硬约束</w:t>
            </w:r>
          </w:p>
          <w:p w14:paraId="3DE346C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落实到环境管控单元，根据生态环境功能、 自然资源禀赋、经</w:t>
            </w:r>
          </w:p>
          <w:p w14:paraId="3A13B8A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济与社会发展实际，对环境管控单元实施差异化生态环境准入</w:t>
            </w:r>
          </w:p>
          <w:p w14:paraId="0D70622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管理。加强“三线一单”与国土空间规划的衔接，区域资源开发</w:t>
            </w:r>
          </w:p>
          <w:p w14:paraId="0D711B3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、产业布局和结构调整、城镇建设、重大项目选址应以“三线一</w:t>
            </w:r>
          </w:p>
          <w:p w14:paraId="608FE0B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单”确定的环境管控单元及生态环境准入清单作为重要依据，加</w:t>
            </w:r>
          </w:p>
          <w:p w14:paraId="0BE4E68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强省级以上产业园区生态环境准入管理。全面实行排污许可制</w:t>
            </w:r>
          </w:p>
          <w:p w14:paraId="2CE8E62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度。推动构建以排污许可制为核心的固定污染源监管制度体系</w:t>
            </w:r>
          </w:p>
          <w:p w14:paraId="4E21342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 实现固定污染源排污许可全覆盖，推动工业固体废物、土壤</w:t>
            </w:r>
          </w:p>
          <w:p w14:paraId="3A64603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环境要素全覆盖，探索将碳排放纳入排污许可管理内容。依托</w:t>
            </w:r>
          </w:p>
          <w:p w14:paraId="5D2BA6F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排污许可证实施企事业单位污染物排放总量指标分配、监管和</w:t>
            </w:r>
          </w:p>
          <w:p w14:paraId="50FBE46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考核。建立以排污许可证为主要依据的生态环境日常监管执法</w:t>
            </w:r>
          </w:p>
          <w:p w14:paraId="78B2C57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体系，落实排污许可“一证式”管理。推进排污许可制度与环境</w:t>
            </w:r>
          </w:p>
          <w:p w14:paraId="73A2064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影响评价制度有效融合，推动重点行业企业环境影响评价、排</w:t>
            </w:r>
          </w:p>
          <w:p w14:paraId="67905A0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污许可、监管执法全闭环管理。持续做好排污许可证换证或登</w:t>
            </w:r>
          </w:p>
          <w:p w14:paraId="5F00F45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记延续动态更新。</w:t>
            </w:r>
          </w:p>
        </w:tc>
        <w:tc>
          <w:tcPr>
            <w:tcW w:w="870" w:type="pct"/>
            <w:tcBorders>
              <w:tl2br w:val="nil"/>
              <w:tr2bl w:val="nil"/>
            </w:tcBorders>
            <w:vAlign w:val="top"/>
          </w:tcPr>
          <w:p w14:paraId="320C170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spacing w:val="7"/>
                <w:highlight w:val="none"/>
                <w:lang w:val="en-US" w:eastAsia="zh-CN"/>
              </w:rPr>
            </w:pPr>
            <w:r>
              <w:rPr>
                <w:rFonts w:hint="eastAsia"/>
                <w:spacing w:val="7"/>
                <w:highlight w:val="none"/>
                <w:lang w:val="en-US" w:eastAsia="zh-CN"/>
              </w:rPr>
              <w:t>根据《排污许可</w:t>
            </w:r>
          </w:p>
          <w:p w14:paraId="586D2BB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spacing w:val="7"/>
                <w:highlight w:val="none"/>
                <w:lang w:val="en-US" w:eastAsia="zh-CN"/>
              </w:rPr>
            </w:pPr>
            <w:r>
              <w:rPr>
                <w:rFonts w:hint="eastAsia"/>
                <w:spacing w:val="7"/>
                <w:highlight w:val="none"/>
                <w:lang w:val="en-US" w:eastAsia="zh-CN"/>
              </w:rPr>
              <w:t>管理条例》相关</w:t>
            </w:r>
          </w:p>
          <w:p w14:paraId="04542FB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spacing w:val="7"/>
                <w:highlight w:val="none"/>
                <w:lang w:val="en-US" w:eastAsia="zh-CN"/>
              </w:rPr>
            </w:pPr>
            <w:r>
              <w:rPr>
                <w:rFonts w:hint="eastAsia"/>
                <w:spacing w:val="7"/>
                <w:highlight w:val="none"/>
                <w:lang w:val="en-US" w:eastAsia="zh-CN"/>
              </w:rPr>
              <w:t>规定，本项目环</w:t>
            </w:r>
          </w:p>
          <w:p w14:paraId="350FCAF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spacing w:val="7"/>
                <w:highlight w:val="none"/>
                <w:lang w:val="en-US" w:eastAsia="zh-CN"/>
              </w:rPr>
            </w:pPr>
            <w:r>
              <w:rPr>
                <w:rFonts w:hint="eastAsia"/>
                <w:spacing w:val="7"/>
                <w:highlight w:val="none"/>
                <w:lang w:val="en-US" w:eastAsia="zh-CN"/>
              </w:rPr>
              <w:t>评审批后，建设</w:t>
            </w:r>
          </w:p>
          <w:p w14:paraId="0EFCA49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spacing w:val="7"/>
                <w:highlight w:val="none"/>
                <w:lang w:val="en-US" w:eastAsia="zh-CN"/>
              </w:rPr>
            </w:pPr>
            <w:r>
              <w:rPr>
                <w:rFonts w:hint="eastAsia"/>
                <w:spacing w:val="7"/>
                <w:highlight w:val="none"/>
                <w:lang w:val="en-US" w:eastAsia="zh-CN"/>
              </w:rPr>
              <w:t>单位将按条例进行申领排污许可证。</w:t>
            </w:r>
          </w:p>
        </w:tc>
        <w:tc>
          <w:tcPr>
            <w:tcW w:w="469" w:type="pct"/>
            <w:tcBorders>
              <w:tl2br w:val="nil"/>
              <w:tr2bl w:val="nil"/>
            </w:tcBorders>
            <w:vAlign w:val="center"/>
          </w:tcPr>
          <w:p w14:paraId="4C81D9D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r>
              <w:rPr>
                <w:spacing w:val="3"/>
                <w:highlight w:val="none"/>
              </w:rPr>
              <w:t>符合</w:t>
            </w:r>
          </w:p>
        </w:tc>
      </w:tr>
      <w:tr w14:paraId="76262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322" w:type="pct"/>
            <w:vMerge w:val="restart"/>
            <w:tcBorders>
              <w:tl2br w:val="nil"/>
              <w:tr2bl w:val="nil"/>
            </w:tcBorders>
            <w:vAlign w:val="top"/>
          </w:tcPr>
          <w:p w14:paraId="11275FB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spacing w:val="3"/>
                <w:highlight w:val="none"/>
              </w:rPr>
            </w:pPr>
            <w:r>
              <w:rPr>
                <w:rFonts w:hint="eastAsia"/>
                <w:spacing w:val="3"/>
                <w:highlight w:val="none"/>
              </w:rPr>
              <w:t>深入</w:t>
            </w:r>
          </w:p>
          <w:p w14:paraId="689A73C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spacing w:val="3"/>
                <w:highlight w:val="none"/>
              </w:rPr>
            </w:pPr>
            <w:r>
              <w:rPr>
                <w:rFonts w:hint="eastAsia"/>
                <w:spacing w:val="3"/>
                <w:highlight w:val="none"/>
              </w:rPr>
              <w:t>打好</w:t>
            </w:r>
          </w:p>
          <w:p w14:paraId="5643FA8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spacing w:val="3"/>
                <w:highlight w:val="none"/>
              </w:rPr>
            </w:pPr>
            <w:r>
              <w:rPr>
                <w:rFonts w:hint="eastAsia"/>
                <w:spacing w:val="3"/>
                <w:highlight w:val="none"/>
              </w:rPr>
              <w:t>污染</w:t>
            </w:r>
          </w:p>
          <w:p w14:paraId="75134AD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spacing w:val="3"/>
                <w:highlight w:val="none"/>
              </w:rPr>
            </w:pPr>
            <w:r>
              <w:rPr>
                <w:rFonts w:hint="eastAsia"/>
                <w:spacing w:val="3"/>
                <w:highlight w:val="none"/>
              </w:rPr>
              <w:t>防治</w:t>
            </w:r>
          </w:p>
          <w:p w14:paraId="55CBA3D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r>
              <w:rPr>
                <w:rFonts w:hint="eastAsia"/>
                <w:spacing w:val="3"/>
                <w:highlight w:val="none"/>
              </w:rPr>
              <w:t>攻坚 战</w:t>
            </w:r>
          </w:p>
        </w:tc>
        <w:tc>
          <w:tcPr>
            <w:tcW w:w="3336" w:type="pct"/>
            <w:tcBorders>
              <w:tl2br w:val="nil"/>
              <w:tr2bl w:val="nil"/>
            </w:tcBorders>
            <w:vAlign w:val="top"/>
          </w:tcPr>
          <w:p w14:paraId="675D24C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p>
          <w:p w14:paraId="72F884F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深入打好碧水保卫战：深化重点领域水污染治理。补齐城乡污</w:t>
            </w:r>
          </w:p>
          <w:p w14:paraId="33DE356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水收集和处理设施短板，加强生活源污染治理，完善城市污水</w:t>
            </w:r>
          </w:p>
          <w:p w14:paraId="0DF6074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管网建设，实现建成区污水管网全覆盖，改造老旧破损管网及</w:t>
            </w:r>
          </w:p>
          <w:p w14:paraId="6363D6E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检查井，系统解决管网漏损问题。</w:t>
            </w:r>
          </w:p>
        </w:tc>
        <w:tc>
          <w:tcPr>
            <w:tcW w:w="870" w:type="pct"/>
            <w:tcBorders>
              <w:tl2br w:val="nil"/>
              <w:tr2bl w:val="nil"/>
            </w:tcBorders>
            <w:vAlign w:val="top"/>
          </w:tcPr>
          <w:p w14:paraId="239FA4B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本项目位于岳阳</w:t>
            </w:r>
          </w:p>
          <w:p w14:paraId="64F8F48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县荣家湾镇高新</w:t>
            </w:r>
          </w:p>
          <w:p w14:paraId="7CD0189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技术产业园区，</w:t>
            </w:r>
          </w:p>
          <w:p w14:paraId="16770B9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周边污水管网已</w:t>
            </w:r>
          </w:p>
          <w:p w14:paraId="561C28B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全覆盖，污水可</w:t>
            </w:r>
          </w:p>
          <w:p w14:paraId="4D87ECA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进入污水处理厂</w:t>
            </w:r>
          </w:p>
          <w:p w14:paraId="241BD6E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lang w:val="en-US" w:eastAsia="zh-CN"/>
              </w:rPr>
            </w:pPr>
            <w:r>
              <w:rPr>
                <w:rFonts w:hint="eastAsia"/>
                <w:highlight w:val="none"/>
              </w:rPr>
              <w:t>处理。</w:t>
            </w:r>
          </w:p>
        </w:tc>
        <w:tc>
          <w:tcPr>
            <w:tcW w:w="469" w:type="pct"/>
            <w:tcBorders>
              <w:tl2br w:val="nil"/>
              <w:tr2bl w:val="nil"/>
            </w:tcBorders>
            <w:vAlign w:val="center"/>
          </w:tcPr>
          <w:p w14:paraId="15715EA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r>
              <w:rPr>
                <w:spacing w:val="3"/>
                <w:highlight w:val="none"/>
              </w:rPr>
              <w:t>符合</w:t>
            </w:r>
          </w:p>
        </w:tc>
      </w:tr>
      <w:tr w14:paraId="4AD3D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322" w:type="pct"/>
            <w:vMerge w:val="continue"/>
            <w:tcBorders>
              <w:tl2br w:val="nil"/>
              <w:tr2bl w:val="nil"/>
            </w:tcBorders>
            <w:vAlign w:val="top"/>
          </w:tcPr>
          <w:p w14:paraId="359FFA2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p>
        </w:tc>
        <w:tc>
          <w:tcPr>
            <w:tcW w:w="3336" w:type="pct"/>
            <w:tcBorders>
              <w:tl2br w:val="nil"/>
              <w:tr2bl w:val="nil"/>
            </w:tcBorders>
            <w:vAlign w:val="top"/>
          </w:tcPr>
          <w:p w14:paraId="17E1E0E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深入打好蓝天保卫战：加强其他涉气污染物治理。加强消耗臭</w:t>
            </w:r>
          </w:p>
          <w:p w14:paraId="0BECE0C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氧层物质和氢氟碳化物环境管理，加强恶臭、有毒有害大气污</w:t>
            </w:r>
          </w:p>
          <w:p w14:paraId="65B48B5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染物防控。</w:t>
            </w:r>
          </w:p>
        </w:tc>
        <w:tc>
          <w:tcPr>
            <w:tcW w:w="870" w:type="pct"/>
            <w:tcBorders>
              <w:tl2br w:val="nil"/>
              <w:tr2bl w:val="nil"/>
            </w:tcBorders>
            <w:vAlign w:val="top"/>
          </w:tcPr>
          <w:p w14:paraId="6A70174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本项目废气均能</w:t>
            </w:r>
          </w:p>
          <w:p w14:paraId="5A62B37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达标排放，能够</w:t>
            </w:r>
          </w:p>
          <w:p w14:paraId="63B0329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满足蓝天保卫战</w:t>
            </w:r>
          </w:p>
          <w:p w14:paraId="5B2DDBA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lang w:val="en-US" w:eastAsia="zh-CN"/>
              </w:rPr>
            </w:pPr>
            <w:r>
              <w:rPr>
                <w:rFonts w:hint="eastAsia"/>
                <w:highlight w:val="none"/>
              </w:rPr>
              <w:t>要求。</w:t>
            </w:r>
          </w:p>
        </w:tc>
        <w:tc>
          <w:tcPr>
            <w:tcW w:w="469" w:type="pct"/>
            <w:tcBorders>
              <w:tl2br w:val="nil"/>
              <w:tr2bl w:val="nil"/>
            </w:tcBorders>
            <w:vAlign w:val="center"/>
          </w:tcPr>
          <w:p w14:paraId="54D8269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r>
              <w:rPr>
                <w:spacing w:val="3"/>
                <w:highlight w:val="none"/>
              </w:rPr>
              <w:t>符合</w:t>
            </w:r>
          </w:p>
        </w:tc>
      </w:tr>
      <w:tr w14:paraId="4EF77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8" w:hRule="atLeast"/>
        </w:trPr>
        <w:tc>
          <w:tcPr>
            <w:tcW w:w="322" w:type="pct"/>
            <w:vMerge w:val="continue"/>
            <w:tcBorders>
              <w:tl2br w:val="nil"/>
              <w:tr2bl w:val="nil"/>
            </w:tcBorders>
            <w:vAlign w:val="top"/>
          </w:tcPr>
          <w:p w14:paraId="6165604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p>
        </w:tc>
        <w:tc>
          <w:tcPr>
            <w:tcW w:w="3336" w:type="pct"/>
            <w:tcBorders>
              <w:tl2br w:val="nil"/>
              <w:tr2bl w:val="nil"/>
            </w:tcBorders>
            <w:vAlign w:val="top"/>
          </w:tcPr>
          <w:p w14:paraId="0ABEE3C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深入打好净土保卫战：加强土壤污染源头预防。推动污染物 与</w:t>
            </w:r>
          </w:p>
          <w:p w14:paraId="7AB1494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土壤环境、地下水环境之间的协同控制，持续开展固体 废物和</w:t>
            </w:r>
          </w:p>
          <w:p w14:paraId="0DF543E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rPr>
            </w:pPr>
            <w:r>
              <w:rPr>
                <w:rFonts w:hint="eastAsia"/>
                <w:highlight w:val="none"/>
              </w:rPr>
              <w:t>危险废物贮存场所周边土壤与地下水环境状况调查评估。</w:t>
            </w:r>
          </w:p>
        </w:tc>
        <w:tc>
          <w:tcPr>
            <w:tcW w:w="870" w:type="pct"/>
            <w:tcBorders>
              <w:tl2br w:val="nil"/>
              <w:tr2bl w:val="nil"/>
            </w:tcBorders>
            <w:vAlign w:val="top"/>
          </w:tcPr>
          <w:p w14:paraId="0CE44C2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eastAsia"/>
                <w:highlight w:val="none"/>
                <w:lang w:val="en-US" w:eastAsia="zh-CN"/>
              </w:rPr>
            </w:pPr>
            <w:r>
              <w:rPr>
                <w:rFonts w:hint="eastAsia"/>
                <w:highlight w:val="none"/>
              </w:rPr>
              <w:t>本项目固废能得 到妥善处置，不 会产生二次污染</w:t>
            </w:r>
          </w:p>
        </w:tc>
        <w:tc>
          <w:tcPr>
            <w:tcW w:w="469" w:type="pct"/>
            <w:tcBorders>
              <w:tl2br w:val="nil"/>
              <w:tr2bl w:val="nil"/>
            </w:tcBorders>
            <w:vAlign w:val="center"/>
          </w:tcPr>
          <w:p w14:paraId="3B3927C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pacing w:val="3"/>
                <w:highlight w:val="none"/>
              </w:rPr>
            </w:pPr>
            <w:r>
              <w:rPr>
                <w:spacing w:val="3"/>
                <w:highlight w:val="none"/>
              </w:rPr>
              <w:t>符合</w:t>
            </w:r>
          </w:p>
        </w:tc>
      </w:tr>
    </w:tbl>
    <w:p w14:paraId="323BEE1D">
      <w:pPr>
        <w:spacing w:before="48" w:line="219" w:lineRule="auto"/>
        <w:ind w:left="0" w:leftChars="0" w:firstLine="0" w:firstLineChars="0"/>
        <w:rPr>
          <w:rFonts w:ascii="宋体" w:hAnsi="宋体" w:eastAsia="宋体" w:cs="宋体"/>
          <w:sz w:val="24"/>
          <w:szCs w:val="24"/>
          <w:highlight w:val="none"/>
        </w:rPr>
      </w:pPr>
      <w:r>
        <w:rPr>
          <w:rFonts w:ascii="Times New Roman" w:hAnsi="Times New Roman" w:eastAsia="Times New Roman" w:cs="Times New Roman"/>
          <w:b/>
          <w:bCs/>
          <w:spacing w:val="-3"/>
          <w:sz w:val="24"/>
          <w:szCs w:val="24"/>
          <w:highlight w:val="none"/>
        </w:rPr>
        <w:t>7</w:t>
      </w:r>
      <w:r>
        <w:rPr>
          <w:rFonts w:ascii="Times New Roman" w:hAnsi="Times New Roman" w:eastAsia="Times New Roman" w:cs="Times New Roman"/>
          <w:b/>
          <w:bCs/>
          <w:spacing w:val="-23"/>
          <w:sz w:val="24"/>
          <w:szCs w:val="24"/>
          <w:highlight w:val="none"/>
        </w:rPr>
        <w:t xml:space="preserve"> </w:t>
      </w:r>
      <w:r>
        <w:rPr>
          <w:rFonts w:ascii="宋体" w:hAnsi="宋体" w:eastAsia="宋体" w:cs="宋体"/>
          <w:b/>
          <w:bCs/>
          <w:spacing w:val="-3"/>
          <w:sz w:val="24"/>
          <w:szCs w:val="24"/>
          <w:highlight w:val="none"/>
        </w:rPr>
        <w:t>、与《湖南省长江经济带发展负面清单实施细则（试行</w:t>
      </w:r>
      <w:r>
        <w:rPr>
          <w:rFonts w:hint="eastAsia" w:ascii="宋体" w:hAnsi="宋体" w:eastAsia="宋体" w:cs="宋体"/>
          <w:b/>
          <w:bCs/>
          <w:spacing w:val="-3"/>
          <w:sz w:val="24"/>
          <w:szCs w:val="24"/>
          <w:highlight w:val="none"/>
          <w:lang w:val="en-US" w:eastAsia="zh-CN"/>
        </w:rPr>
        <w:t>2022年版</w:t>
      </w:r>
      <w:r>
        <w:rPr>
          <w:rFonts w:ascii="宋体" w:hAnsi="宋体" w:eastAsia="宋体" w:cs="宋体"/>
          <w:b/>
          <w:bCs/>
          <w:spacing w:val="-3"/>
          <w:sz w:val="24"/>
          <w:szCs w:val="24"/>
          <w:highlight w:val="none"/>
        </w:rPr>
        <w:t>）》相符性分析</w:t>
      </w:r>
    </w:p>
    <w:p w14:paraId="62CCB3CA">
      <w:pPr>
        <w:spacing w:before="183" w:line="359" w:lineRule="auto"/>
        <w:ind w:left="135" w:right="116" w:firstLine="477"/>
        <w:rPr>
          <w:rFonts w:ascii="宋体" w:hAnsi="宋体" w:eastAsia="宋体" w:cs="宋体"/>
          <w:sz w:val="24"/>
          <w:szCs w:val="24"/>
          <w:highlight w:val="none"/>
        </w:rPr>
      </w:pPr>
      <w:r>
        <w:rPr>
          <w:rFonts w:ascii="宋体" w:hAnsi="宋体" w:eastAsia="宋体" w:cs="宋体"/>
          <w:spacing w:val="-3"/>
          <w:sz w:val="24"/>
          <w:szCs w:val="24"/>
          <w:highlight w:val="none"/>
        </w:rPr>
        <w:t>本项目与《湖南省长江经济带发展负面清单实施细则》（试行）相符性</w:t>
      </w:r>
      <w:r>
        <w:rPr>
          <w:rFonts w:ascii="宋体" w:hAnsi="宋体" w:eastAsia="宋体" w:cs="宋体"/>
          <w:spacing w:val="-4"/>
          <w:sz w:val="24"/>
          <w:szCs w:val="24"/>
          <w:highlight w:val="none"/>
        </w:rPr>
        <w:t>分析</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如下表：</w:t>
      </w:r>
    </w:p>
    <w:p w14:paraId="4B574136">
      <w:pPr>
        <w:spacing w:before="181" w:line="359" w:lineRule="auto"/>
        <w:ind w:left="3036" w:leftChars="224" w:right="286" w:hanging="2409" w:hangingChars="1000"/>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表 1.</w:t>
      </w:r>
      <w:r>
        <w:rPr>
          <w:rFonts w:hint="default" w:ascii="Times New Roman" w:hAnsi="Times New Roman"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rPr>
        <w:t>-</w:t>
      </w:r>
      <w:r>
        <w:rPr>
          <w:rFonts w:hint="eastAsia" w:eastAsia="宋体" w:cs="Times New Roman"/>
          <w:b/>
          <w:bCs/>
          <w:sz w:val="24"/>
          <w:szCs w:val="24"/>
          <w:highlight w:val="none"/>
          <w:lang w:val="en-US" w:eastAsia="zh-CN"/>
        </w:rPr>
        <w:t>6</w:t>
      </w:r>
      <w:r>
        <w:rPr>
          <w:rFonts w:hint="default" w:ascii="Times New Roman" w:hAnsi="Times New Roman" w:eastAsia="宋体" w:cs="Times New Roman"/>
          <w:b/>
          <w:bCs/>
          <w:sz w:val="24"/>
          <w:szCs w:val="24"/>
          <w:highlight w:val="none"/>
        </w:rPr>
        <w:t xml:space="preserve">   项目与《湖南省长江经济带发展负面清单实施细则（试行）》相符性分析表</w:t>
      </w: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40"/>
        <w:gridCol w:w="2226"/>
        <w:gridCol w:w="636"/>
      </w:tblGrid>
      <w:tr w14:paraId="51EFC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3275" w:type="pct"/>
            <w:tcBorders>
              <w:tl2br w:val="nil"/>
              <w:tr2bl w:val="nil"/>
            </w:tcBorders>
            <w:vAlign w:val="top"/>
          </w:tcPr>
          <w:p w14:paraId="2D73234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6"/>
                <w:highlight w:val="none"/>
              </w:rPr>
              <w:t>《湖南省长江经济带发展负面清单实施细则（试行</w:t>
            </w:r>
            <w:r>
              <w:rPr>
                <w:spacing w:val="5"/>
                <w:highlight w:val="none"/>
              </w:rPr>
              <w:t>）》相关</w:t>
            </w:r>
          </w:p>
          <w:p w14:paraId="5CC7EC6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内容</w:t>
            </w:r>
          </w:p>
        </w:tc>
        <w:tc>
          <w:tcPr>
            <w:tcW w:w="1340" w:type="pct"/>
            <w:tcBorders>
              <w:tl2br w:val="nil"/>
              <w:tr2bl w:val="nil"/>
            </w:tcBorders>
            <w:vAlign w:val="top"/>
          </w:tcPr>
          <w:p w14:paraId="1F71DA5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本项目实际情况</w:t>
            </w:r>
          </w:p>
        </w:tc>
        <w:tc>
          <w:tcPr>
            <w:tcW w:w="383" w:type="pct"/>
            <w:tcBorders>
              <w:tl2br w:val="nil"/>
              <w:tr2bl w:val="nil"/>
            </w:tcBorders>
            <w:vAlign w:val="top"/>
          </w:tcPr>
          <w:p w14:paraId="0D79225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3"/>
                <w:highlight w:val="none"/>
              </w:rPr>
              <w:t>是否</w:t>
            </w:r>
          </w:p>
          <w:p w14:paraId="4958CCB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4"/>
                <w:highlight w:val="none"/>
              </w:rPr>
              <w:t>相符</w:t>
            </w:r>
          </w:p>
        </w:tc>
      </w:tr>
      <w:tr w14:paraId="78E90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3275" w:type="pct"/>
            <w:tcBorders>
              <w:tl2br w:val="nil"/>
              <w:tr2bl w:val="nil"/>
            </w:tcBorders>
            <w:vAlign w:val="top"/>
          </w:tcPr>
          <w:p w14:paraId="646E0D4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9"/>
                <w:highlight w:val="none"/>
              </w:rPr>
              <w:t>第三条 禁止建设不符合全国和省级港口布局规划以及港口</w:t>
            </w:r>
            <w:r>
              <w:rPr>
                <w:spacing w:val="8"/>
                <w:highlight w:val="none"/>
              </w:rPr>
              <w:t xml:space="preserve"> </w:t>
            </w:r>
            <w:r>
              <w:rPr>
                <w:spacing w:val="6"/>
                <w:highlight w:val="none"/>
              </w:rPr>
              <w:t>总体规划的码头项目。对不符合港口总体规划的新建、改建</w:t>
            </w:r>
            <w:r>
              <w:rPr>
                <w:highlight w:val="none"/>
              </w:rPr>
              <w:t xml:space="preserve"> </w:t>
            </w:r>
            <w:r>
              <w:rPr>
                <w:spacing w:val="9"/>
                <w:highlight w:val="none"/>
              </w:rPr>
              <w:t>和扩建的码头工程</w:t>
            </w:r>
            <w:r>
              <w:rPr>
                <w:rFonts w:ascii="Times New Roman" w:hAnsi="Times New Roman" w:eastAsia="Times New Roman" w:cs="Times New Roman"/>
                <w:spacing w:val="9"/>
                <w:highlight w:val="none"/>
              </w:rPr>
              <w:t>(</w:t>
            </w:r>
            <w:r>
              <w:rPr>
                <w:spacing w:val="9"/>
                <w:highlight w:val="none"/>
              </w:rPr>
              <w:t>含舾装码头工程</w:t>
            </w:r>
            <w:r>
              <w:rPr>
                <w:rFonts w:ascii="Times New Roman" w:hAnsi="Times New Roman" w:eastAsia="Times New Roman" w:cs="Times New Roman"/>
                <w:spacing w:val="9"/>
                <w:highlight w:val="none"/>
              </w:rPr>
              <w:t>)</w:t>
            </w:r>
            <w:r>
              <w:rPr>
                <w:spacing w:val="9"/>
                <w:highlight w:val="none"/>
              </w:rPr>
              <w:t>及其同时建设的配套</w:t>
            </w:r>
            <w:r>
              <w:rPr>
                <w:spacing w:val="6"/>
                <w:highlight w:val="none"/>
              </w:rPr>
              <w:t>设施、防波堤、锚地、护岸等工程投资主管部门不得审批或</w:t>
            </w:r>
            <w:r>
              <w:rPr>
                <w:highlight w:val="none"/>
              </w:rPr>
              <w:t xml:space="preserve"> </w:t>
            </w:r>
            <w:r>
              <w:rPr>
                <w:spacing w:val="6"/>
                <w:highlight w:val="none"/>
              </w:rPr>
              <w:t>核准。码头工程建设项目需要使用港口岸线的，项目单位应</w:t>
            </w:r>
            <w:r>
              <w:rPr>
                <w:spacing w:val="2"/>
                <w:highlight w:val="none"/>
              </w:rPr>
              <w:t xml:space="preserve"> </w:t>
            </w:r>
            <w:r>
              <w:rPr>
                <w:spacing w:val="9"/>
                <w:highlight w:val="none"/>
              </w:rPr>
              <w:t>当按照国省港口岸线使用的管理规定办理港口岸线使用手</w:t>
            </w:r>
            <w:r>
              <w:rPr>
                <w:spacing w:val="6"/>
                <w:highlight w:val="none"/>
              </w:rPr>
              <w:t>续。未取得岸线使用批准文件或者岸线使用意见的，不得开工建设。禁止建设不符合《长江干线过江通道布局规划》的</w:t>
            </w:r>
            <w:r>
              <w:rPr>
                <w:spacing w:val="7"/>
                <w:highlight w:val="none"/>
              </w:rPr>
              <w:t>过长江通道项目。</w:t>
            </w:r>
          </w:p>
        </w:tc>
        <w:tc>
          <w:tcPr>
            <w:tcW w:w="1340" w:type="pct"/>
            <w:tcBorders>
              <w:tl2br w:val="nil"/>
              <w:tr2bl w:val="nil"/>
            </w:tcBorders>
            <w:vAlign w:val="top"/>
          </w:tcPr>
          <w:p w14:paraId="6EF419D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680376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116CBA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2FD15A2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本项目不属于港库项</w:t>
            </w:r>
            <w:r>
              <w:rPr>
                <w:highlight w:val="none"/>
              </w:rPr>
              <w:t>目</w:t>
            </w:r>
          </w:p>
        </w:tc>
        <w:tc>
          <w:tcPr>
            <w:tcW w:w="383" w:type="pct"/>
            <w:tcBorders>
              <w:tl2br w:val="nil"/>
              <w:tr2bl w:val="nil"/>
            </w:tcBorders>
            <w:vAlign w:val="top"/>
          </w:tcPr>
          <w:p w14:paraId="5C58F3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532609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561D00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2749B6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122239B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65E46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3275" w:type="pct"/>
            <w:tcBorders>
              <w:tl2br w:val="nil"/>
              <w:tr2bl w:val="nil"/>
            </w:tcBorders>
            <w:vAlign w:val="top"/>
          </w:tcPr>
          <w:p w14:paraId="66311E9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10"/>
                <w:highlight w:val="none"/>
              </w:rPr>
              <w:t>第四条 禁止在自然保护区核心区、缓冲区的岸线和</w:t>
            </w:r>
            <w:r>
              <w:rPr>
                <w:spacing w:val="9"/>
                <w:highlight w:val="none"/>
              </w:rPr>
              <w:t>河段范</w:t>
            </w:r>
            <w:r>
              <w:rPr>
                <w:highlight w:val="none"/>
              </w:rPr>
              <w:t xml:space="preserve"> </w:t>
            </w:r>
            <w:r>
              <w:rPr>
                <w:spacing w:val="3"/>
                <w:highlight w:val="none"/>
              </w:rPr>
              <w:t>围内投资建设以下项目：</w:t>
            </w:r>
            <w:r>
              <w:rPr>
                <w:rFonts w:ascii="Times New Roman" w:hAnsi="Times New Roman" w:eastAsia="Times New Roman" w:cs="Times New Roman"/>
                <w:spacing w:val="3"/>
                <w:highlight w:val="none"/>
              </w:rPr>
              <w:t>(</w:t>
            </w:r>
            <w:r>
              <w:rPr>
                <w:spacing w:val="3"/>
                <w:highlight w:val="none"/>
              </w:rPr>
              <w:t>一</w:t>
            </w:r>
            <w:r>
              <w:rPr>
                <w:rFonts w:ascii="Times New Roman" w:hAnsi="Times New Roman" w:eastAsia="Times New Roman" w:cs="Times New Roman"/>
                <w:spacing w:val="3"/>
                <w:highlight w:val="none"/>
              </w:rPr>
              <w:t>)</w:t>
            </w:r>
            <w:r>
              <w:rPr>
                <w:spacing w:val="3"/>
                <w:highlight w:val="none"/>
              </w:rPr>
              <w:t>高尔夫球场开发、房地产开发、</w:t>
            </w:r>
            <w:r>
              <w:rPr>
                <w:spacing w:val="8"/>
                <w:highlight w:val="none"/>
              </w:rPr>
              <w:t>索道建设、会所建设等项目；</w:t>
            </w:r>
            <w:r>
              <w:rPr>
                <w:rFonts w:ascii="Times New Roman" w:hAnsi="Times New Roman" w:eastAsia="Times New Roman" w:cs="Times New Roman"/>
                <w:spacing w:val="8"/>
                <w:highlight w:val="none"/>
              </w:rPr>
              <w:t>(</w:t>
            </w:r>
            <w:r>
              <w:rPr>
                <w:spacing w:val="8"/>
                <w:highlight w:val="none"/>
              </w:rPr>
              <w:t>二</w:t>
            </w:r>
            <w:r>
              <w:rPr>
                <w:rFonts w:ascii="Times New Roman" w:hAnsi="Times New Roman" w:eastAsia="Times New Roman" w:cs="Times New Roman"/>
                <w:spacing w:val="8"/>
                <w:highlight w:val="none"/>
              </w:rPr>
              <w:t>)</w:t>
            </w:r>
            <w:r>
              <w:rPr>
                <w:spacing w:val="8"/>
                <w:highlight w:val="none"/>
              </w:rPr>
              <w:t>光伏发电、风力发电、火</w:t>
            </w:r>
            <w:r>
              <w:rPr>
                <w:spacing w:val="10"/>
                <w:highlight w:val="none"/>
              </w:rPr>
              <w:t xml:space="preserve"> </w:t>
            </w:r>
            <w:r>
              <w:rPr>
                <w:spacing w:val="8"/>
                <w:highlight w:val="none"/>
              </w:rPr>
              <w:t>力发电建设项目；</w:t>
            </w:r>
            <w:r>
              <w:rPr>
                <w:rFonts w:ascii="Times New Roman" w:hAnsi="Times New Roman" w:eastAsia="Times New Roman" w:cs="Times New Roman"/>
                <w:spacing w:val="8"/>
                <w:highlight w:val="none"/>
              </w:rPr>
              <w:t>(</w:t>
            </w:r>
            <w:r>
              <w:rPr>
                <w:spacing w:val="8"/>
                <w:highlight w:val="none"/>
              </w:rPr>
              <w:t>三</w:t>
            </w:r>
            <w:r>
              <w:rPr>
                <w:rFonts w:ascii="Times New Roman" w:hAnsi="Times New Roman" w:eastAsia="Times New Roman" w:cs="Times New Roman"/>
                <w:spacing w:val="8"/>
                <w:highlight w:val="none"/>
              </w:rPr>
              <w:t>)</w:t>
            </w:r>
            <w:r>
              <w:rPr>
                <w:spacing w:val="8"/>
                <w:highlight w:val="none"/>
              </w:rPr>
              <w:t xml:space="preserve">社会资金进行商业性探矿勘查，以及 </w:t>
            </w:r>
            <w:r>
              <w:rPr>
                <w:spacing w:val="9"/>
                <w:highlight w:val="none"/>
              </w:rPr>
              <w:t>不属于国家紧缺矿种资源的基础地质调查和矿产远景调查</w:t>
            </w:r>
            <w:r>
              <w:rPr>
                <w:spacing w:val="8"/>
                <w:highlight w:val="none"/>
              </w:rPr>
              <w:t>等公益性工作的设施建设；</w:t>
            </w:r>
            <w:r>
              <w:rPr>
                <w:rFonts w:ascii="Times New Roman" w:hAnsi="Times New Roman" w:eastAsia="Times New Roman" w:cs="Times New Roman"/>
                <w:spacing w:val="8"/>
                <w:highlight w:val="none"/>
              </w:rPr>
              <w:t>(</w:t>
            </w:r>
            <w:r>
              <w:rPr>
                <w:spacing w:val="8"/>
                <w:highlight w:val="none"/>
              </w:rPr>
              <w:t>四</w:t>
            </w:r>
            <w:r>
              <w:rPr>
                <w:rFonts w:ascii="Times New Roman" w:hAnsi="Times New Roman" w:eastAsia="Times New Roman" w:cs="Times New Roman"/>
                <w:spacing w:val="8"/>
                <w:highlight w:val="none"/>
              </w:rPr>
              <w:t>)</w:t>
            </w:r>
            <w:r>
              <w:rPr>
                <w:spacing w:val="8"/>
                <w:highlight w:val="none"/>
              </w:rPr>
              <w:t>野生动物驯养繁殖、展览基地建设项目；</w:t>
            </w:r>
            <w:r>
              <w:rPr>
                <w:rFonts w:ascii="Times New Roman" w:hAnsi="Times New Roman" w:eastAsia="Times New Roman" w:cs="Times New Roman"/>
                <w:spacing w:val="8"/>
                <w:highlight w:val="none"/>
              </w:rPr>
              <w:t>(</w:t>
            </w:r>
            <w:r>
              <w:rPr>
                <w:spacing w:val="8"/>
                <w:highlight w:val="none"/>
              </w:rPr>
              <w:t>五</w:t>
            </w:r>
            <w:r>
              <w:rPr>
                <w:rFonts w:ascii="Times New Roman" w:hAnsi="Times New Roman" w:eastAsia="Times New Roman" w:cs="Times New Roman"/>
                <w:spacing w:val="8"/>
                <w:highlight w:val="none"/>
              </w:rPr>
              <w:t>)</w:t>
            </w:r>
            <w:r>
              <w:rPr>
                <w:spacing w:val="8"/>
                <w:highlight w:val="none"/>
              </w:rPr>
              <w:t>污染环境、破坏自然资源或自然景观的建设设施；</w:t>
            </w:r>
            <w:r>
              <w:rPr>
                <w:rFonts w:ascii="Times New Roman" w:hAnsi="Times New Roman" w:eastAsia="Times New Roman" w:cs="Times New Roman"/>
                <w:spacing w:val="8"/>
                <w:highlight w:val="none"/>
              </w:rPr>
              <w:t>(</w:t>
            </w:r>
            <w:r>
              <w:rPr>
                <w:spacing w:val="8"/>
                <w:highlight w:val="none"/>
              </w:rPr>
              <w:t>六</w:t>
            </w:r>
            <w:r>
              <w:rPr>
                <w:rFonts w:ascii="Times New Roman" w:hAnsi="Times New Roman" w:eastAsia="Times New Roman" w:cs="Times New Roman"/>
                <w:spacing w:val="8"/>
                <w:highlight w:val="none"/>
              </w:rPr>
              <w:t>)</w:t>
            </w:r>
            <w:r>
              <w:rPr>
                <w:spacing w:val="8"/>
                <w:highlight w:val="none"/>
              </w:rPr>
              <w:t>对自然保护区主要保护对象产生重大影响、改</w:t>
            </w:r>
            <w:r>
              <w:rPr>
                <w:spacing w:val="1"/>
                <w:highlight w:val="none"/>
              </w:rPr>
              <w:t>变自然生态系统完整性、原真性、破坏自然景观的设施；</w:t>
            </w:r>
            <w:r>
              <w:rPr>
                <w:rFonts w:ascii="Times New Roman" w:hAnsi="Times New Roman" w:eastAsia="Times New Roman" w:cs="Times New Roman"/>
                <w:spacing w:val="1"/>
                <w:highlight w:val="none"/>
              </w:rPr>
              <w:t>(</w:t>
            </w:r>
            <w:r>
              <w:rPr>
                <w:highlight w:val="none"/>
              </w:rPr>
              <w:t>七</w:t>
            </w:r>
            <w:r>
              <w:rPr>
                <w:rFonts w:ascii="Times New Roman" w:hAnsi="Times New Roman" w:eastAsia="Times New Roman" w:cs="Times New Roman"/>
                <w:highlight w:val="none"/>
              </w:rPr>
              <w:t xml:space="preserve">)  </w:t>
            </w:r>
            <w:r>
              <w:rPr>
                <w:spacing w:val="9"/>
                <w:highlight w:val="none"/>
              </w:rPr>
              <w:t>其他不符合自然保护区主体功能定位和国家禁止的设施。</w:t>
            </w:r>
          </w:p>
        </w:tc>
        <w:tc>
          <w:tcPr>
            <w:tcW w:w="1340" w:type="pct"/>
            <w:tcBorders>
              <w:tl2br w:val="nil"/>
              <w:tr2bl w:val="nil"/>
            </w:tcBorders>
            <w:vAlign w:val="top"/>
          </w:tcPr>
          <w:p w14:paraId="15DCEC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25C33D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790C6E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79C7D6A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本项目不在自然保护</w:t>
            </w:r>
            <w:r>
              <w:rPr>
                <w:spacing w:val="5"/>
                <w:highlight w:val="none"/>
              </w:rPr>
              <w:t>区核心区、缓冲区的岸</w:t>
            </w:r>
            <w:r>
              <w:rPr>
                <w:spacing w:val="7"/>
                <w:highlight w:val="none"/>
              </w:rPr>
              <w:t>线和河段范围</w:t>
            </w:r>
          </w:p>
        </w:tc>
        <w:tc>
          <w:tcPr>
            <w:tcW w:w="383" w:type="pct"/>
            <w:tcBorders>
              <w:tl2br w:val="nil"/>
              <w:tr2bl w:val="nil"/>
            </w:tcBorders>
            <w:vAlign w:val="top"/>
          </w:tcPr>
          <w:p w14:paraId="20647E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17B537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2D1282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79FD73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440F4F5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5D670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3275" w:type="pct"/>
            <w:tcBorders>
              <w:tl2br w:val="nil"/>
              <w:tr2bl w:val="nil"/>
            </w:tcBorders>
            <w:vAlign w:val="top"/>
          </w:tcPr>
          <w:p w14:paraId="7DA2DE0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9"/>
                <w:highlight w:val="none"/>
              </w:rPr>
              <w:t>第五条 机场、铁路、公路、水利、航运、围堰等公益性基</w:t>
            </w:r>
            <w:r>
              <w:rPr>
                <w:spacing w:val="6"/>
                <w:highlight w:val="none"/>
              </w:rPr>
              <w:t>础设施的选址选线应多方案优化比选，尽量避让相关自然保护区域、野生动物迁徙洄游通道；无法避让的，应当采取修建野生动物通道、过鱼设施等措施，消除或者减少对野生动</w:t>
            </w:r>
            <w:r>
              <w:rPr>
                <w:spacing w:val="7"/>
                <w:highlight w:val="none"/>
              </w:rPr>
              <w:t>物的不利影响。</w:t>
            </w:r>
          </w:p>
        </w:tc>
        <w:tc>
          <w:tcPr>
            <w:tcW w:w="1340" w:type="pct"/>
            <w:tcBorders>
              <w:tl2br w:val="nil"/>
              <w:tr2bl w:val="nil"/>
            </w:tcBorders>
            <w:vAlign w:val="top"/>
          </w:tcPr>
          <w:p w14:paraId="3A7D705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6"/>
                <w:highlight w:val="none"/>
              </w:rPr>
              <w:t>本项目不属于机场、铁</w:t>
            </w:r>
          </w:p>
          <w:p w14:paraId="16D834B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4"/>
                <w:highlight w:val="none"/>
              </w:rPr>
              <w:t>路、公路、水利、航运、</w:t>
            </w:r>
          </w:p>
          <w:p w14:paraId="521525B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6"/>
                <w:highlight w:val="none"/>
              </w:rPr>
              <w:t>围堰等公益性基础设</w:t>
            </w:r>
            <w:r>
              <w:rPr>
                <w:spacing w:val="1"/>
                <w:highlight w:val="none"/>
              </w:rPr>
              <w:t>施</w:t>
            </w:r>
          </w:p>
        </w:tc>
        <w:tc>
          <w:tcPr>
            <w:tcW w:w="383" w:type="pct"/>
            <w:tcBorders>
              <w:tl2br w:val="nil"/>
              <w:tr2bl w:val="nil"/>
            </w:tcBorders>
            <w:vAlign w:val="top"/>
          </w:tcPr>
          <w:p w14:paraId="6E825A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6D2154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3FE5E9B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60DBB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3275" w:type="pct"/>
            <w:tcBorders>
              <w:tl2br w:val="nil"/>
              <w:tr2bl w:val="nil"/>
            </w:tcBorders>
            <w:vAlign w:val="top"/>
          </w:tcPr>
          <w:p w14:paraId="00CDCF9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10"/>
                <w:highlight w:val="none"/>
              </w:rPr>
              <w:t>第六条 禁止违反风景名胜区规划，在风景名胜区内</w:t>
            </w:r>
            <w:r>
              <w:rPr>
                <w:spacing w:val="9"/>
                <w:highlight w:val="none"/>
              </w:rPr>
              <w:t>设立各</w:t>
            </w:r>
            <w:r>
              <w:rPr>
                <w:spacing w:val="6"/>
                <w:highlight w:val="none"/>
              </w:rPr>
              <w:t>类开发区和在核心景区内建设宾馆、招待所、培训中心、疗养院以及与风景名胜资源保护无关的其他建筑物；已经建设</w:t>
            </w:r>
            <w:r>
              <w:rPr>
                <w:spacing w:val="8"/>
                <w:highlight w:val="none"/>
              </w:rPr>
              <w:t>的，应当按照风景名胜区规划，逐步迁出。</w:t>
            </w:r>
          </w:p>
        </w:tc>
        <w:tc>
          <w:tcPr>
            <w:tcW w:w="1340" w:type="pct"/>
            <w:tcBorders>
              <w:tl2br w:val="nil"/>
              <w:tr2bl w:val="nil"/>
            </w:tcBorders>
            <w:vAlign w:val="top"/>
          </w:tcPr>
          <w:p w14:paraId="13F749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4CA97F9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本项目不在风景名胜</w:t>
            </w:r>
            <w:r>
              <w:rPr>
                <w:spacing w:val="-3"/>
                <w:highlight w:val="none"/>
              </w:rPr>
              <w:t>区内</w:t>
            </w:r>
          </w:p>
        </w:tc>
        <w:tc>
          <w:tcPr>
            <w:tcW w:w="383" w:type="pct"/>
            <w:tcBorders>
              <w:tl2br w:val="nil"/>
              <w:tr2bl w:val="nil"/>
            </w:tcBorders>
            <w:vAlign w:val="top"/>
          </w:tcPr>
          <w:p w14:paraId="308625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73A8C7B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5A880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3275" w:type="pct"/>
            <w:tcBorders>
              <w:tl2br w:val="nil"/>
              <w:tr2bl w:val="nil"/>
            </w:tcBorders>
            <w:vAlign w:val="top"/>
          </w:tcPr>
          <w:p w14:paraId="3C58DC5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7"/>
                <w:highlight w:val="none"/>
              </w:rPr>
              <w:t>第七条 饮用水水源一</w:t>
            </w:r>
            <w:r>
              <w:rPr>
                <w:spacing w:val="-23"/>
                <w:highlight w:val="none"/>
              </w:rPr>
              <w:t xml:space="preserve"> </w:t>
            </w:r>
            <w:r>
              <w:rPr>
                <w:spacing w:val="7"/>
                <w:highlight w:val="none"/>
              </w:rPr>
              <w:t>级保护区内禁止新建、改建、扩建与</w:t>
            </w:r>
            <w:r>
              <w:rPr>
                <w:highlight w:val="none"/>
              </w:rPr>
              <w:t xml:space="preserve"> </w:t>
            </w:r>
            <w:r>
              <w:rPr>
                <w:spacing w:val="9"/>
                <w:highlight w:val="none"/>
              </w:rPr>
              <w:t>供水设施和保护水源无关的建设项目；禁止向水域排放污</w:t>
            </w:r>
            <w:r>
              <w:rPr>
                <w:spacing w:val="5"/>
                <w:highlight w:val="none"/>
              </w:rPr>
              <w:t xml:space="preserve">   </w:t>
            </w:r>
            <w:r>
              <w:rPr>
                <w:spacing w:val="6"/>
                <w:highlight w:val="none"/>
              </w:rPr>
              <w:t>水，已设置的排污口必须拆除；不得设置与供水需要无关的</w:t>
            </w:r>
            <w:r>
              <w:rPr>
                <w:spacing w:val="2"/>
                <w:highlight w:val="none"/>
              </w:rPr>
              <w:t xml:space="preserve"> </w:t>
            </w:r>
            <w:r>
              <w:rPr>
                <w:spacing w:val="1"/>
                <w:highlight w:val="none"/>
              </w:rPr>
              <w:t>码头，禁止停靠船舶；禁止堆置和存放工业废渣、城市垃圾、</w:t>
            </w:r>
            <w:r>
              <w:rPr>
                <w:spacing w:val="4"/>
                <w:highlight w:val="none"/>
              </w:rPr>
              <w:t xml:space="preserve"> </w:t>
            </w:r>
            <w:r>
              <w:rPr>
                <w:spacing w:val="9"/>
                <w:highlight w:val="none"/>
              </w:rPr>
              <w:t>粪便和其它废弃物；禁止设置油库；禁止使用含磷洗</w:t>
            </w:r>
            <w:r>
              <w:rPr>
                <w:spacing w:val="8"/>
                <w:highlight w:val="none"/>
              </w:rPr>
              <w:t>涤剂、</w:t>
            </w:r>
            <w:r>
              <w:rPr>
                <w:highlight w:val="none"/>
              </w:rPr>
              <w:t xml:space="preserve"> </w:t>
            </w:r>
            <w:r>
              <w:rPr>
                <w:spacing w:val="6"/>
                <w:highlight w:val="none"/>
              </w:rPr>
              <w:t>化肥、农药；禁止建设养殖场、禁止网箱养殖、旅游等可能</w:t>
            </w:r>
            <w:r>
              <w:rPr>
                <w:spacing w:val="4"/>
                <w:highlight w:val="none"/>
              </w:rPr>
              <w:t xml:space="preserve"> </w:t>
            </w:r>
            <w:r>
              <w:rPr>
                <w:spacing w:val="8"/>
                <w:highlight w:val="none"/>
              </w:rPr>
              <w:t>污染饮用水水体的投资建设项目。</w:t>
            </w:r>
          </w:p>
        </w:tc>
        <w:tc>
          <w:tcPr>
            <w:tcW w:w="1340" w:type="pct"/>
            <w:tcBorders>
              <w:tl2br w:val="nil"/>
              <w:tr2bl w:val="nil"/>
            </w:tcBorders>
            <w:vAlign w:val="top"/>
          </w:tcPr>
          <w:p w14:paraId="06AAB1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28DE3B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0C24DF9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本项目不在饮用水水源一级保护区内</w:t>
            </w:r>
          </w:p>
        </w:tc>
        <w:tc>
          <w:tcPr>
            <w:tcW w:w="383" w:type="pct"/>
            <w:tcBorders>
              <w:tl2br w:val="nil"/>
              <w:tr2bl w:val="nil"/>
            </w:tcBorders>
            <w:vAlign w:val="top"/>
          </w:tcPr>
          <w:p w14:paraId="11FA5B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5C08A9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7B5224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1349D37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3307A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275" w:type="pct"/>
            <w:tcBorders>
              <w:tl2br w:val="nil"/>
              <w:tr2bl w:val="nil"/>
            </w:tcBorders>
            <w:vAlign w:val="top"/>
          </w:tcPr>
          <w:p w14:paraId="6521125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第八条 饮用水水源二级保护区内禁止新建、</w:t>
            </w:r>
            <w:r>
              <w:rPr>
                <w:spacing w:val="-46"/>
                <w:highlight w:val="none"/>
              </w:rPr>
              <w:t xml:space="preserve"> </w:t>
            </w:r>
            <w:r>
              <w:rPr>
                <w:spacing w:val="8"/>
                <w:highlight w:val="none"/>
              </w:rPr>
              <w:t>改建、</w:t>
            </w:r>
            <w:r>
              <w:rPr>
                <w:spacing w:val="7"/>
                <w:highlight w:val="none"/>
              </w:rPr>
              <w:t>扩建向</w:t>
            </w:r>
            <w:r>
              <w:rPr>
                <w:highlight w:val="none"/>
              </w:rPr>
              <w:t xml:space="preserve"> </w:t>
            </w:r>
            <w:r>
              <w:rPr>
                <w:spacing w:val="6"/>
                <w:highlight w:val="none"/>
              </w:rPr>
              <w:t>水体排放污染物的投资建设项目。原有排污口依法拆除或关</w:t>
            </w:r>
            <w:r>
              <w:rPr>
                <w:spacing w:val="1"/>
                <w:highlight w:val="none"/>
              </w:rPr>
              <w:t xml:space="preserve"> </w:t>
            </w:r>
            <w:r>
              <w:rPr>
                <w:spacing w:val="8"/>
                <w:highlight w:val="none"/>
              </w:rPr>
              <w:t>闭。禁止设立装卸垃圾、粪便</w:t>
            </w:r>
            <w:r>
              <w:rPr>
                <w:rFonts w:ascii="Times New Roman" w:hAnsi="Times New Roman" w:eastAsia="Times New Roman" w:cs="Times New Roman"/>
                <w:spacing w:val="8"/>
                <w:highlight w:val="none"/>
              </w:rPr>
              <w:t>.</w:t>
            </w:r>
            <w:r>
              <w:rPr>
                <w:spacing w:val="8"/>
                <w:highlight w:val="none"/>
              </w:rPr>
              <w:t>油类和有毒物品的码头。</w:t>
            </w:r>
          </w:p>
        </w:tc>
        <w:tc>
          <w:tcPr>
            <w:tcW w:w="1340" w:type="pct"/>
            <w:tcBorders>
              <w:tl2br w:val="nil"/>
              <w:tr2bl w:val="nil"/>
            </w:tcBorders>
            <w:vAlign w:val="top"/>
          </w:tcPr>
          <w:p w14:paraId="600B660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本项目不在饮用水水源二级保护区内</w:t>
            </w:r>
          </w:p>
        </w:tc>
        <w:tc>
          <w:tcPr>
            <w:tcW w:w="383" w:type="pct"/>
            <w:tcBorders>
              <w:tl2br w:val="nil"/>
              <w:tr2bl w:val="nil"/>
            </w:tcBorders>
            <w:vAlign w:val="top"/>
          </w:tcPr>
          <w:p w14:paraId="5EFE10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5290DC1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45C3B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275" w:type="pct"/>
            <w:tcBorders>
              <w:tl2br w:val="nil"/>
              <w:tr2bl w:val="nil"/>
            </w:tcBorders>
            <w:vAlign w:val="top"/>
          </w:tcPr>
          <w:p w14:paraId="13F4028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10"/>
                <w:highlight w:val="none"/>
              </w:rPr>
              <w:t>第九条 禁止在水产种质资源保护区内新建排污口、从事围</w:t>
            </w:r>
            <w:r>
              <w:rPr>
                <w:highlight w:val="none"/>
              </w:rPr>
              <w:t xml:space="preserve"> </w:t>
            </w:r>
            <w:r>
              <w:rPr>
                <w:spacing w:val="8"/>
                <w:highlight w:val="none"/>
              </w:rPr>
              <w:t>湖造田造地等投资建设项目。</w:t>
            </w:r>
          </w:p>
        </w:tc>
        <w:tc>
          <w:tcPr>
            <w:tcW w:w="1340" w:type="pct"/>
            <w:tcBorders>
              <w:tl2br w:val="nil"/>
              <w:tr2bl w:val="nil"/>
            </w:tcBorders>
            <w:vAlign w:val="top"/>
          </w:tcPr>
          <w:p w14:paraId="524169E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本项目不在水产种质</w:t>
            </w:r>
            <w:r>
              <w:rPr>
                <w:spacing w:val="6"/>
                <w:highlight w:val="none"/>
              </w:rPr>
              <w:t>资源保护区内</w:t>
            </w:r>
          </w:p>
        </w:tc>
        <w:tc>
          <w:tcPr>
            <w:tcW w:w="383" w:type="pct"/>
            <w:tcBorders>
              <w:tl2br w:val="nil"/>
              <w:tr2bl w:val="nil"/>
            </w:tcBorders>
            <w:vAlign w:val="top"/>
          </w:tcPr>
          <w:p w14:paraId="50F138F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6AA3C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541C623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7"/>
                <w:highlight w:val="none"/>
              </w:rPr>
              <w:t>第十条 禁止在国家湿地公园范围</w:t>
            </w:r>
            <w:r>
              <w:rPr>
                <w:spacing w:val="-8"/>
                <w:highlight w:val="none"/>
              </w:rPr>
              <w:t xml:space="preserve"> </w:t>
            </w:r>
            <w:r>
              <w:rPr>
                <w:spacing w:val="7"/>
                <w:highlight w:val="none"/>
              </w:rPr>
              <w:t>内开</w:t>
            </w:r>
            <w:r>
              <w:rPr>
                <w:rFonts w:ascii="Times New Roman" w:hAnsi="Times New Roman" w:eastAsia="Times New Roman" w:cs="Times New Roman"/>
                <w:spacing w:val="7"/>
                <w:highlight w:val="none"/>
              </w:rPr>
              <w:t>(</w:t>
            </w:r>
            <w:r>
              <w:rPr>
                <w:spacing w:val="7"/>
                <w:highlight w:val="none"/>
              </w:rPr>
              <w:t>围</w:t>
            </w:r>
            <w:r>
              <w:rPr>
                <w:rFonts w:ascii="Times New Roman" w:hAnsi="Times New Roman" w:eastAsia="Times New Roman" w:cs="Times New Roman"/>
                <w:spacing w:val="7"/>
                <w:highlight w:val="none"/>
              </w:rPr>
              <w:t>)</w:t>
            </w:r>
            <w:r>
              <w:rPr>
                <w:spacing w:val="7"/>
                <w:highlight w:val="none"/>
              </w:rPr>
              <w:t>垦湿地、挖沙、</w:t>
            </w:r>
            <w:r>
              <w:rPr>
                <w:spacing w:val="6"/>
                <w:highlight w:val="none"/>
              </w:rPr>
              <w:t>采矿等，《中华人民共和国防洪法》规定的紧急防汛期采取</w:t>
            </w:r>
            <w:r>
              <w:rPr>
                <w:spacing w:val="2"/>
                <w:highlight w:val="none"/>
              </w:rPr>
              <w:t xml:space="preserve"> </w:t>
            </w:r>
            <w:r>
              <w:rPr>
                <w:spacing w:val="5"/>
                <w:highlight w:val="none"/>
              </w:rPr>
              <w:t>的紧急措施除外。</w:t>
            </w:r>
          </w:p>
        </w:tc>
        <w:tc>
          <w:tcPr>
            <w:tcW w:w="1340" w:type="pct"/>
            <w:tcBorders>
              <w:tl2br w:val="nil"/>
              <w:tr2bl w:val="nil"/>
            </w:tcBorders>
            <w:vAlign w:val="top"/>
          </w:tcPr>
          <w:p w14:paraId="4D8DF80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本项目不在国家湿地</w:t>
            </w:r>
            <w:r>
              <w:rPr>
                <w:spacing w:val="6"/>
                <w:highlight w:val="none"/>
              </w:rPr>
              <w:t>公园范围内</w:t>
            </w:r>
          </w:p>
        </w:tc>
        <w:tc>
          <w:tcPr>
            <w:tcW w:w="383" w:type="pct"/>
            <w:tcBorders>
              <w:tl2br w:val="nil"/>
              <w:tr2bl w:val="nil"/>
            </w:tcBorders>
            <w:vAlign w:val="top"/>
          </w:tcPr>
          <w:p w14:paraId="766C3DC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highlight w:val="none"/>
              </w:rPr>
              <w:t>是</w:t>
            </w:r>
          </w:p>
        </w:tc>
      </w:tr>
      <w:tr w14:paraId="41410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3275" w:type="pct"/>
            <w:tcBorders>
              <w:tl2br w:val="nil"/>
              <w:tr2bl w:val="nil"/>
            </w:tcBorders>
            <w:vAlign w:val="top"/>
          </w:tcPr>
          <w:p w14:paraId="3C30051C">
            <w:pPr>
              <w:pStyle w:val="36"/>
              <w:keepNext w:val="0"/>
              <w:keepLines w:val="0"/>
              <w:pageBreakBefore w:val="0"/>
              <w:widowControl w:val="0"/>
              <w:kinsoku/>
              <w:wordWrap/>
              <w:overflowPunct/>
              <w:topLinePunct w:val="0"/>
              <w:autoSpaceDE/>
              <w:autoSpaceDN/>
              <w:bidi w:val="0"/>
              <w:adjustRightInd/>
              <w:snapToGrid/>
              <w:spacing w:before="30" w:line="240" w:lineRule="auto"/>
              <w:ind w:left="0" w:leftChars="0" w:right="0" w:rightChars="0" w:firstLine="0" w:firstLineChars="0"/>
              <w:jc w:val="both"/>
              <w:textAlignment w:val="auto"/>
              <w:rPr>
                <w:spacing w:val="7"/>
                <w:highlight w:val="none"/>
              </w:rPr>
            </w:pPr>
            <w:r>
              <w:rPr>
                <w:spacing w:val="8"/>
                <w:highlight w:val="none"/>
              </w:rPr>
              <w:t>第十一条 禁止在国家湿地公园范围内从事房地产、</w:t>
            </w:r>
            <w:r>
              <w:rPr>
                <w:spacing w:val="-16"/>
                <w:highlight w:val="none"/>
              </w:rPr>
              <w:t xml:space="preserve"> </w:t>
            </w:r>
            <w:r>
              <w:rPr>
                <w:spacing w:val="8"/>
                <w:highlight w:val="none"/>
              </w:rPr>
              <w:t>度假</w:t>
            </w:r>
            <w:r>
              <w:rPr>
                <w:highlight w:val="none"/>
              </w:rPr>
              <w:t xml:space="preserve">  </w:t>
            </w:r>
            <w:r>
              <w:rPr>
                <w:spacing w:val="6"/>
                <w:highlight w:val="none"/>
              </w:rPr>
              <w:t>村、高尔夫球场、风力发电、光伏发电等任何不符合主体功</w:t>
            </w:r>
            <w:r>
              <w:rPr>
                <w:spacing w:val="2"/>
                <w:highlight w:val="none"/>
              </w:rPr>
              <w:t xml:space="preserve"> </w:t>
            </w:r>
            <w:r>
              <w:rPr>
                <w:spacing w:val="8"/>
                <w:highlight w:val="none"/>
              </w:rPr>
              <w:t>能定位的投资建设项目。</w:t>
            </w:r>
          </w:p>
        </w:tc>
        <w:tc>
          <w:tcPr>
            <w:tcW w:w="1340" w:type="pct"/>
            <w:tcBorders>
              <w:tl2br w:val="nil"/>
              <w:tr2bl w:val="nil"/>
            </w:tcBorders>
            <w:vAlign w:val="top"/>
          </w:tcPr>
          <w:p w14:paraId="3789389C">
            <w:pPr>
              <w:pStyle w:val="36"/>
              <w:keepNext w:val="0"/>
              <w:keepLines w:val="0"/>
              <w:pageBreakBefore w:val="0"/>
              <w:widowControl w:val="0"/>
              <w:kinsoku/>
              <w:wordWrap/>
              <w:overflowPunct/>
              <w:topLinePunct w:val="0"/>
              <w:autoSpaceDE/>
              <w:autoSpaceDN/>
              <w:bidi w:val="0"/>
              <w:adjustRightInd/>
              <w:snapToGrid/>
              <w:spacing w:before="167" w:line="240" w:lineRule="auto"/>
              <w:ind w:left="0" w:leftChars="0" w:right="0" w:rightChars="0" w:firstLine="0" w:firstLineChars="0"/>
              <w:jc w:val="both"/>
              <w:textAlignment w:val="auto"/>
              <w:rPr>
                <w:spacing w:val="8"/>
                <w:highlight w:val="none"/>
              </w:rPr>
            </w:pPr>
            <w:r>
              <w:rPr>
                <w:spacing w:val="8"/>
                <w:highlight w:val="none"/>
              </w:rPr>
              <w:t>本项目不在国家湿地</w:t>
            </w:r>
            <w:r>
              <w:rPr>
                <w:spacing w:val="6"/>
                <w:highlight w:val="none"/>
              </w:rPr>
              <w:t xml:space="preserve"> 公园范围内</w:t>
            </w:r>
          </w:p>
        </w:tc>
        <w:tc>
          <w:tcPr>
            <w:tcW w:w="383" w:type="pct"/>
            <w:tcBorders>
              <w:tl2br w:val="nil"/>
              <w:tr2bl w:val="nil"/>
            </w:tcBorders>
            <w:vAlign w:val="top"/>
          </w:tcPr>
          <w:p w14:paraId="59CB90A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08CCC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5318ABFE">
            <w:pPr>
              <w:pStyle w:val="36"/>
              <w:keepNext w:val="0"/>
              <w:keepLines w:val="0"/>
              <w:pageBreakBefore w:val="0"/>
              <w:widowControl w:val="0"/>
              <w:kinsoku/>
              <w:wordWrap/>
              <w:overflowPunct/>
              <w:topLinePunct w:val="0"/>
              <w:autoSpaceDE/>
              <w:autoSpaceDN/>
              <w:bidi w:val="0"/>
              <w:adjustRightInd/>
              <w:snapToGrid/>
              <w:spacing w:before="36" w:line="240" w:lineRule="auto"/>
              <w:ind w:left="0" w:leftChars="0" w:right="0" w:rightChars="0" w:firstLine="0" w:firstLineChars="0"/>
              <w:jc w:val="both"/>
              <w:textAlignment w:val="auto"/>
              <w:rPr>
                <w:spacing w:val="7"/>
                <w:highlight w:val="none"/>
              </w:rPr>
            </w:pPr>
            <w:r>
              <w:rPr>
                <w:spacing w:val="10"/>
                <w:highlight w:val="none"/>
              </w:rPr>
              <w:t>第十三条 禁止在岸线保护区内投资建设除保障防洪</w:t>
            </w:r>
            <w:r>
              <w:rPr>
                <w:spacing w:val="9"/>
                <w:highlight w:val="none"/>
              </w:rPr>
              <w:t>安全、</w:t>
            </w:r>
            <w:r>
              <w:rPr>
                <w:spacing w:val="6"/>
                <w:highlight w:val="none"/>
              </w:rPr>
              <w:t>河势稳定、供水安全以及保护生态环境、已建重要枢纽工程</w:t>
            </w:r>
            <w:r>
              <w:rPr>
                <w:spacing w:val="9"/>
                <w:highlight w:val="none"/>
              </w:rPr>
              <w:t>以外的项目。禁止在岸线保留区内投资建设除保障防洪安</w:t>
            </w:r>
            <w:r>
              <w:rPr>
                <w:spacing w:val="6"/>
                <w:highlight w:val="none"/>
              </w:rPr>
              <w:t>全、河势稳定、供水安全，航道稳定以及保护生态环境以外</w:t>
            </w:r>
            <w:r>
              <w:rPr>
                <w:spacing w:val="5"/>
                <w:highlight w:val="none"/>
              </w:rPr>
              <w:t>的项目。</w:t>
            </w:r>
          </w:p>
        </w:tc>
        <w:tc>
          <w:tcPr>
            <w:tcW w:w="1340" w:type="pct"/>
            <w:tcBorders>
              <w:tl2br w:val="nil"/>
              <w:tr2bl w:val="nil"/>
            </w:tcBorders>
            <w:vAlign w:val="top"/>
          </w:tcPr>
          <w:p w14:paraId="0FBB8C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Arial"/>
                <w:sz w:val="21"/>
                <w:highlight w:val="none"/>
              </w:rPr>
            </w:pPr>
          </w:p>
          <w:p w14:paraId="5A2DCCC2">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本项目不在岸线保护</w:t>
            </w:r>
            <w:r>
              <w:rPr>
                <w:spacing w:val="-3"/>
                <w:highlight w:val="none"/>
              </w:rPr>
              <w:t>区内</w:t>
            </w:r>
          </w:p>
        </w:tc>
        <w:tc>
          <w:tcPr>
            <w:tcW w:w="383" w:type="pct"/>
            <w:tcBorders>
              <w:tl2br w:val="nil"/>
              <w:tr2bl w:val="nil"/>
            </w:tcBorders>
            <w:vAlign w:val="top"/>
          </w:tcPr>
          <w:p w14:paraId="07FD7E7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5657F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639F1778">
            <w:pPr>
              <w:pStyle w:val="36"/>
              <w:keepNext w:val="0"/>
              <w:keepLines w:val="0"/>
              <w:pageBreakBefore w:val="0"/>
              <w:widowControl w:val="0"/>
              <w:kinsoku/>
              <w:wordWrap/>
              <w:overflowPunct/>
              <w:topLinePunct w:val="0"/>
              <w:autoSpaceDE/>
              <w:autoSpaceDN/>
              <w:bidi w:val="0"/>
              <w:adjustRightInd/>
              <w:snapToGrid/>
              <w:spacing w:before="37" w:line="240" w:lineRule="auto"/>
              <w:ind w:left="0" w:leftChars="0" w:right="0" w:rightChars="0" w:firstLine="0" w:firstLineChars="0"/>
              <w:jc w:val="both"/>
              <w:textAlignment w:val="auto"/>
              <w:rPr>
                <w:spacing w:val="7"/>
                <w:highlight w:val="none"/>
              </w:rPr>
            </w:pPr>
            <w:r>
              <w:rPr>
                <w:spacing w:val="10"/>
                <w:highlight w:val="none"/>
              </w:rPr>
              <w:t>第十四条 禁止在《全国重要江河湖泊水功能区划》划定的</w:t>
            </w:r>
            <w:r>
              <w:rPr>
                <w:spacing w:val="6"/>
                <w:highlight w:val="none"/>
              </w:rPr>
              <w:t>河段保护区、保留区内投资建设不利于水资源及自然生态保</w:t>
            </w:r>
            <w:r>
              <w:rPr>
                <w:spacing w:val="2"/>
                <w:highlight w:val="none"/>
              </w:rPr>
              <w:t xml:space="preserve"> </w:t>
            </w:r>
            <w:r>
              <w:rPr>
                <w:spacing w:val="6"/>
                <w:highlight w:val="none"/>
              </w:rPr>
              <w:t>护的项目。</w:t>
            </w:r>
          </w:p>
        </w:tc>
        <w:tc>
          <w:tcPr>
            <w:tcW w:w="1340" w:type="pct"/>
            <w:tcBorders>
              <w:tl2br w:val="nil"/>
              <w:tr2bl w:val="nil"/>
            </w:tcBorders>
            <w:vAlign w:val="top"/>
          </w:tcPr>
          <w:p w14:paraId="5880FF42">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本项目不在《全国重要</w:t>
            </w:r>
          </w:p>
          <w:p w14:paraId="1B3928FF">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江河湖泊水功能区划》</w:t>
            </w:r>
          </w:p>
          <w:p w14:paraId="67077BA5">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划定的河段保护区、保</w:t>
            </w:r>
          </w:p>
          <w:p w14:paraId="6EC33F9B">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留区内</w:t>
            </w:r>
          </w:p>
        </w:tc>
        <w:tc>
          <w:tcPr>
            <w:tcW w:w="383" w:type="pct"/>
            <w:tcBorders>
              <w:tl2br w:val="nil"/>
              <w:tr2bl w:val="nil"/>
            </w:tcBorders>
            <w:vAlign w:val="top"/>
          </w:tcPr>
          <w:p w14:paraId="74399ED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0FB22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45A29798">
            <w:pPr>
              <w:pStyle w:val="36"/>
              <w:keepNext w:val="0"/>
              <w:keepLines w:val="0"/>
              <w:pageBreakBefore w:val="0"/>
              <w:widowControl w:val="0"/>
              <w:kinsoku/>
              <w:wordWrap/>
              <w:overflowPunct/>
              <w:topLinePunct w:val="0"/>
              <w:autoSpaceDE/>
              <w:autoSpaceDN/>
              <w:bidi w:val="0"/>
              <w:adjustRightInd/>
              <w:snapToGrid/>
              <w:spacing w:before="41" w:line="240" w:lineRule="auto"/>
              <w:ind w:left="0" w:leftChars="0" w:right="0" w:rightChars="0" w:firstLine="0" w:firstLineChars="0"/>
              <w:jc w:val="both"/>
              <w:textAlignment w:val="auto"/>
              <w:rPr>
                <w:spacing w:val="7"/>
                <w:highlight w:val="none"/>
              </w:rPr>
            </w:pPr>
            <w:r>
              <w:rPr>
                <w:spacing w:val="9"/>
                <w:highlight w:val="none"/>
              </w:rPr>
              <w:t>第十五条 禁止在生态保护红线和永久基本农田范围内投资</w:t>
            </w:r>
            <w:r>
              <w:rPr>
                <w:spacing w:val="6"/>
                <w:highlight w:val="none"/>
              </w:rPr>
              <w:t>建设除国家重大战略资源勘查项目、生态保护修复和环境治理项目、重大基础设施项目、军事国防项目以及农牧民基本</w:t>
            </w:r>
            <w:r>
              <w:rPr>
                <w:spacing w:val="8"/>
                <w:highlight w:val="none"/>
              </w:rPr>
              <w:t>生产生活等必要的</w:t>
            </w:r>
            <w:r>
              <w:rPr>
                <w:highlight w:val="none"/>
              </w:rPr>
              <w:fldChar w:fldCharType="begin"/>
            </w:r>
            <w:r>
              <w:rPr>
                <w:highlight w:val="none"/>
              </w:rPr>
              <w:instrText xml:space="preserve"> HYPERLINK "http://mq.xtol.cn/" </w:instrText>
            </w:r>
            <w:r>
              <w:rPr>
                <w:highlight w:val="none"/>
              </w:rPr>
              <w:fldChar w:fldCharType="separate"/>
            </w:r>
            <w:r>
              <w:rPr>
                <w:spacing w:val="8"/>
                <w:highlight w:val="none"/>
              </w:rPr>
              <w:t>民生</w:t>
            </w:r>
            <w:r>
              <w:rPr>
                <w:spacing w:val="8"/>
                <w:highlight w:val="none"/>
              </w:rPr>
              <w:fldChar w:fldCharType="end"/>
            </w:r>
            <w:r>
              <w:rPr>
                <w:spacing w:val="8"/>
                <w:highlight w:val="none"/>
              </w:rPr>
              <w:t>项目以外的项目。</w:t>
            </w:r>
          </w:p>
        </w:tc>
        <w:tc>
          <w:tcPr>
            <w:tcW w:w="1340" w:type="pct"/>
            <w:tcBorders>
              <w:tl2br w:val="nil"/>
              <w:tr2bl w:val="nil"/>
            </w:tcBorders>
            <w:vAlign w:val="top"/>
          </w:tcPr>
          <w:p w14:paraId="59096D6C">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本项目不在生态保护红线和永久基本农田范围内</w:t>
            </w:r>
          </w:p>
        </w:tc>
        <w:tc>
          <w:tcPr>
            <w:tcW w:w="383" w:type="pct"/>
            <w:tcBorders>
              <w:tl2br w:val="nil"/>
              <w:tr2bl w:val="nil"/>
            </w:tcBorders>
            <w:vAlign w:val="top"/>
          </w:tcPr>
          <w:p w14:paraId="51B8AD6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03884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01826B92">
            <w:pPr>
              <w:pStyle w:val="36"/>
              <w:keepNext w:val="0"/>
              <w:keepLines w:val="0"/>
              <w:pageBreakBefore w:val="0"/>
              <w:widowControl w:val="0"/>
              <w:kinsoku/>
              <w:wordWrap/>
              <w:overflowPunct/>
              <w:topLinePunct w:val="0"/>
              <w:autoSpaceDE/>
              <w:autoSpaceDN/>
              <w:bidi w:val="0"/>
              <w:adjustRightInd/>
              <w:snapToGrid/>
              <w:spacing w:before="39" w:line="240" w:lineRule="auto"/>
              <w:ind w:left="0" w:leftChars="0" w:right="0" w:rightChars="0" w:firstLine="0" w:firstLineChars="0"/>
              <w:jc w:val="both"/>
              <w:textAlignment w:val="auto"/>
              <w:rPr>
                <w:spacing w:val="7"/>
                <w:highlight w:val="none"/>
              </w:rPr>
            </w:pPr>
            <w:r>
              <w:rPr>
                <w:spacing w:val="9"/>
                <w:highlight w:val="none"/>
              </w:rPr>
              <w:t>第十八条 禁止在长江干支流</w:t>
            </w:r>
            <w:r>
              <w:rPr>
                <w:spacing w:val="-39"/>
                <w:highlight w:val="none"/>
              </w:rPr>
              <w:t xml:space="preserve"> </w:t>
            </w:r>
            <w:r>
              <w:rPr>
                <w:rFonts w:ascii="Times New Roman" w:hAnsi="Times New Roman" w:eastAsia="Times New Roman" w:cs="Times New Roman"/>
                <w:spacing w:val="9"/>
                <w:highlight w:val="none"/>
              </w:rPr>
              <w:t>(</w:t>
            </w:r>
            <w:r>
              <w:rPr>
                <w:spacing w:val="9"/>
                <w:highlight w:val="none"/>
              </w:rPr>
              <w:t>长江千流湖南</w:t>
            </w:r>
            <w:r>
              <w:rPr>
                <w:spacing w:val="8"/>
                <w:highlight w:val="none"/>
              </w:rPr>
              <w:t>段、湘江沅江</w:t>
            </w:r>
            <w:r>
              <w:rPr>
                <w:highlight w:val="none"/>
              </w:rPr>
              <w:t xml:space="preserve">  </w:t>
            </w:r>
            <w:r>
              <w:rPr>
                <w:spacing w:val="7"/>
                <w:highlight w:val="none"/>
              </w:rPr>
              <w:t>干流及洞庭湖</w:t>
            </w:r>
            <w:r>
              <w:rPr>
                <w:rFonts w:ascii="Times New Roman" w:hAnsi="Times New Roman" w:eastAsia="Times New Roman" w:cs="Times New Roman"/>
                <w:spacing w:val="7"/>
                <w:highlight w:val="none"/>
              </w:rPr>
              <w:t>)</w:t>
            </w:r>
            <w:r>
              <w:rPr>
                <w:spacing w:val="7"/>
                <w:highlight w:val="none"/>
              </w:rPr>
              <w:t>岸线</w:t>
            </w:r>
            <w:r>
              <w:rPr>
                <w:spacing w:val="-21"/>
                <w:highlight w:val="none"/>
              </w:rPr>
              <w:t xml:space="preserve"> </w:t>
            </w:r>
            <w:r>
              <w:rPr>
                <w:rFonts w:ascii="Times New Roman" w:hAnsi="Times New Roman" w:eastAsia="Times New Roman" w:cs="Times New Roman"/>
                <w:spacing w:val="7"/>
                <w:highlight w:val="none"/>
              </w:rPr>
              <w:t xml:space="preserve">1 </w:t>
            </w:r>
            <w:r>
              <w:rPr>
                <w:spacing w:val="7"/>
                <w:highlight w:val="none"/>
              </w:rPr>
              <w:t>公里范围</w:t>
            </w:r>
            <w:r>
              <w:rPr>
                <w:rFonts w:ascii="Times New Roman" w:hAnsi="Times New Roman" w:eastAsia="Times New Roman" w:cs="Times New Roman"/>
                <w:spacing w:val="7"/>
                <w:highlight w:val="none"/>
              </w:rPr>
              <w:t>(</w:t>
            </w:r>
            <w:r>
              <w:rPr>
                <w:spacing w:val="7"/>
                <w:highlight w:val="none"/>
              </w:rPr>
              <w:t>指长江干支流岸线边界向陆</w:t>
            </w:r>
            <w:r>
              <w:rPr>
                <w:spacing w:val="4"/>
                <w:highlight w:val="none"/>
              </w:rPr>
              <w:t>域纵深</w:t>
            </w:r>
            <w:r>
              <w:rPr>
                <w:spacing w:val="-11"/>
                <w:highlight w:val="none"/>
              </w:rPr>
              <w:t xml:space="preserve"> </w:t>
            </w:r>
            <w:r>
              <w:rPr>
                <w:rFonts w:ascii="Times New Roman" w:hAnsi="Times New Roman" w:eastAsia="Times New Roman" w:cs="Times New Roman"/>
                <w:spacing w:val="4"/>
                <w:highlight w:val="none"/>
              </w:rPr>
              <w:t>1</w:t>
            </w:r>
            <w:r>
              <w:rPr>
                <w:rFonts w:ascii="Times New Roman" w:hAnsi="Times New Roman" w:eastAsia="Times New Roman" w:cs="Times New Roman"/>
                <w:spacing w:val="18"/>
                <w:w w:val="101"/>
                <w:highlight w:val="none"/>
              </w:rPr>
              <w:t xml:space="preserve"> </w:t>
            </w:r>
            <w:r>
              <w:rPr>
                <w:spacing w:val="4"/>
                <w:highlight w:val="none"/>
              </w:rPr>
              <w:t>公里，边界指水利部门河道管理范围边界</w:t>
            </w:r>
            <w:r>
              <w:rPr>
                <w:rFonts w:ascii="Times New Roman" w:hAnsi="Times New Roman" w:eastAsia="Times New Roman" w:cs="Times New Roman"/>
                <w:spacing w:val="4"/>
                <w:highlight w:val="none"/>
              </w:rPr>
              <w:t>)</w:t>
            </w:r>
            <w:r>
              <w:rPr>
                <w:spacing w:val="4"/>
                <w:highlight w:val="none"/>
              </w:rPr>
              <w:t>内新建、</w:t>
            </w:r>
            <w:r>
              <w:rPr>
                <w:spacing w:val="6"/>
                <w:highlight w:val="none"/>
              </w:rPr>
              <w:t>扩建化工园区和化工项目。禁止在《中国开发区审核公告目录》公布的园区或省人民政府批准设立的园区外新建，扩建</w:t>
            </w:r>
            <w:r>
              <w:rPr>
                <w:spacing w:val="9"/>
                <w:highlight w:val="none"/>
              </w:rPr>
              <w:t>钢铁、石化、化工、焦化、建材、有色等高污染项目。</w:t>
            </w:r>
          </w:p>
        </w:tc>
        <w:tc>
          <w:tcPr>
            <w:tcW w:w="1340" w:type="pct"/>
            <w:tcBorders>
              <w:tl2br w:val="nil"/>
              <w:tr2bl w:val="nil"/>
            </w:tcBorders>
            <w:vAlign w:val="top"/>
          </w:tcPr>
          <w:p w14:paraId="4DB513C1">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p>
          <w:p w14:paraId="7B33D6C3">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本项目不属于钢铁、石</w:t>
            </w:r>
          </w:p>
          <w:p w14:paraId="104F4804">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化、化工、焦化、建材、</w:t>
            </w:r>
          </w:p>
          <w:p w14:paraId="2CC75723">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有色等高污染项目</w:t>
            </w:r>
          </w:p>
        </w:tc>
        <w:tc>
          <w:tcPr>
            <w:tcW w:w="383" w:type="pct"/>
            <w:tcBorders>
              <w:tl2br w:val="nil"/>
              <w:tr2bl w:val="nil"/>
            </w:tcBorders>
            <w:vAlign w:val="top"/>
          </w:tcPr>
          <w:p w14:paraId="72B9F16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5BE66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1A5A8D03">
            <w:pPr>
              <w:pStyle w:val="36"/>
              <w:keepNext w:val="0"/>
              <w:keepLines w:val="0"/>
              <w:pageBreakBefore w:val="0"/>
              <w:widowControl w:val="0"/>
              <w:kinsoku/>
              <w:wordWrap/>
              <w:overflowPunct/>
              <w:topLinePunct w:val="0"/>
              <w:autoSpaceDE/>
              <w:autoSpaceDN/>
              <w:bidi w:val="0"/>
              <w:adjustRightInd/>
              <w:snapToGrid/>
              <w:spacing w:before="45" w:line="240" w:lineRule="auto"/>
              <w:ind w:left="0" w:leftChars="0" w:right="0" w:rightChars="0" w:firstLine="0" w:firstLineChars="0"/>
              <w:jc w:val="both"/>
              <w:textAlignment w:val="auto"/>
              <w:rPr>
                <w:spacing w:val="7"/>
                <w:highlight w:val="none"/>
              </w:rPr>
            </w:pPr>
            <w:r>
              <w:rPr>
                <w:spacing w:val="8"/>
                <w:highlight w:val="none"/>
              </w:rPr>
              <w:t>第十九条 禁止新建、</w:t>
            </w:r>
            <w:r>
              <w:rPr>
                <w:spacing w:val="-51"/>
                <w:highlight w:val="none"/>
              </w:rPr>
              <w:t xml:space="preserve"> </w:t>
            </w:r>
            <w:r>
              <w:rPr>
                <w:spacing w:val="8"/>
                <w:highlight w:val="none"/>
              </w:rPr>
              <w:t>扩建不符合国家石化、现代煤化工等</w:t>
            </w:r>
            <w:r>
              <w:rPr>
                <w:highlight w:val="none"/>
              </w:rPr>
              <w:t xml:space="preserve"> </w:t>
            </w:r>
            <w:r>
              <w:rPr>
                <w:spacing w:val="8"/>
                <w:highlight w:val="none"/>
              </w:rPr>
              <w:t>产业布局规划的项目。</w:t>
            </w:r>
          </w:p>
        </w:tc>
        <w:tc>
          <w:tcPr>
            <w:tcW w:w="1340" w:type="pct"/>
            <w:tcBorders>
              <w:tl2br w:val="nil"/>
              <w:tr2bl w:val="nil"/>
            </w:tcBorders>
            <w:vAlign w:val="top"/>
          </w:tcPr>
          <w:p w14:paraId="760B0496">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本项目不属于石化、现 代煤化工等</w:t>
            </w:r>
          </w:p>
        </w:tc>
        <w:tc>
          <w:tcPr>
            <w:tcW w:w="383" w:type="pct"/>
            <w:tcBorders>
              <w:tl2br w:val="nil"/>
              <w:tr2bl w:val="nil"/>
            </w:tcBorders>
            <w:vAlign w:val="top"/>
          </w:tcPr>
          <w:p w14:paraId="7C67567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4E152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71A27AE1">
            <w:pPr>
              <w:pStyle w:val="36"/>
              <w:keepNext w:val="0"/>
              <w:keepLines w:val="0"/>
              <w:pageBreakBefore w:val="0"/>
              <w:widowControl w:val="0"/>
              <w:kinsoku/>
              <w:wordWrap/>
              <w:overflowPunct/>
              <w:topLinePunct w:val="0"/>
              <w:autoSpaceDE/>
              <w:autoSpaceDN/>
              <w:bidi w:val="0"/>
              <w:adjustRightInd/>
              <w:snapToGrid/>
              <w:spacing w:before="46" w:line="240" w:lineRule="auto"/>
              <w:ind w:left="0" w:right="0" w:firstLine="0" w:firstLineChars="0"/>
              <w:jc w:val="both"/>
              <w:textAlignment w:val="auto"/>
              <w:rPr>
                <w:highlight w:val="none"/>
              </w:rPr>
            </w:pPr>
            <w:r>
              <w:rPr>
                <w:spacing w:val="7"/>
                <w:highlight w:val="none"/>
              </w:rPr>
              <w:t>第二十条 新建乙烯、</w:t>
            </w:r>
            <w:r>
              <w:rPr>
                <w:spacing w:val="-37"/>
                <w:highlight w:val="none"/>
              </w:rPr>
              <w:t xml:space="preserve"> </w:t>
            </w:r>
            <w:r>
              <w:rPr>
                <w:spacing w:val="7"/>
                <w:highlight w:val="none"/>
              </w:rPr>
              <w:t>对二甲苯</w:t>
            </w:r>
            <w:r>
              <w:rPr>
                <w:rFonts w:ascii="Times New Roman" w:hAnsi="Times New Roman" w:eastAsia="Times New Roman" w:cs="Times New Roman"/>
                <w:spacing w:val="7"/>
                <w:highlight w:val="none"/>
              </w:rPr>
              <w:t>(</w:t>
            </w:r>
            <w:r>
              <w:rPr>
                <w:rFonts w:ascii="Times New Roman" w:hAnsi="Times New Roman" w:eastAsia="Times New Roman" w:cs="Times New Roman"/>
                <w:highlight w:val="none"/>
              </w:rPr>
              <w:t>PX</w:t>
            </w:r>
            <w:r>
              <w:rPr>
                <w:rFonts w:ascii="Times New Roman" w:hAnsi="Times New Roman" w:eastAsia="Times New Roman" w:cs="Times New Roman"/>
                <w:spacing w:val="7"/>
                <w:highlight w:val="none"/>
              </w:rPr>
              <w:t>)</w:t>
            </w:r>
            <w:r>
              <w:rPr>
                <w:rFonts w:ascii="Times New Roman" w:hAnsi="Times New Roman" w:eastAsia="Times New Roman" w:cs="Times New Roman"/>
                <w:spacing w:val="-25"/>
                <w:highlight w:val="none"/>
              </w:rPr>
              <w:t xml:space="preserve"> </w:t>
            </w:r>
            <w:r>
              <w:rPr>
                <w:spacing w:val="7"/>
                <w:highlight w:val="none"/>
              </w:rPr>
              <w:t>、二苯基甲烷二异氰酸</w:t>
            </w:r>
            <w:r>
              <w:rPr>
                <w:highlight w:val="none"/>
              </w:rPr>
              <w:t xml:space="preserve"> </w:t>
            </w:r>
            <w:r>
              <w:rPr>
                <w:spacing w:val="9"/>
                <w:highlight w:val="none"/>
              </w:rPr>
              <w:t>酯</w:t>
            </w:r>
            <w:r>
              <w:rPr>
                <w:rFonts w:ascii="Times New Roman" w:hAnsi="Times New Roman" w:eastAsia="Times New Roman" w:cs="Times New Roman"/>
                <w:spacing w:val="9"/>
                <w:highlight w:val="none"/>
              </w:rPr>
              <w:t>(</w:t>
            </w:r>
            <w:r>
              <w:rPr>
                <w:rFonts w:ascii="Times New Roman" w:hAnsi="Times New Roman" w:eastAsia="Times New Roman" w:cs="Times New Roman"/>
                <w:highlight w:val="none"/>
              </w:rPr>
              <w:t>MDI</w:t>
            </w:r>
            <w:r>
              <w:rPr>
                <w:rFonts w:ascii="Times New Roman" w:hAnsi="Times New Roman" w:eastAsia="Times New Roman" w:cs="Times New Roman"/>
                <w:spacing w:val="9"/>
                <w:highlight w:val="none"/>
              </w:rPr>
              <w:t>)</w:t>
            </w:r>
            <w:r>
              <w:rPr>
                <w:spacing w:val="9"/>
                <w:highlight w:val="none"/>
              </w:rPr>
              <w:t>等石化项目由省人民政府投资主管部门按照国家</w:t>
            </w:r>
          </w:p>
          <w:p w14:paraId="3CCC74C1">
            <w:pPr>
              <w:pStyle w:val="36"/>
              <w:keepNext w:val="0"/>
              <w:keepLines w:val="0"/>
              <w:pageBreakBefore w:val="0"/>
              <w:widowControl w:val="0"/>
              <w:kinsoku/>
              <w:wordWrap/>
              <w:overflowPunct/>
              <w:topLinePunct w:val="0"/>
              <w:autoSpaceDE/>
              <w:autoSpaceDN/>
              <w:bidi w:val="0"/>
              <w:adjustRightInd/>
              <w:snapToGrid/>
              <w:spacing w:before="22" w:line="240" w:lineRule="auto"/>
              <w:ind w:left="0" w:right="0" w:firstLine="0" w:firstLineChars="0"/>
              <w:jc w:val="both"/>
              <w:textAlignment w:val="auto"/>
              <w:rPr>
                <w:highlight w:val="none"/>
              </w:rPr>
            </w:pPr>
            <w:r>
              <w:rPr>
                <w:spacing w:val="6"/>
                <w:highlight w:val="none"/>
              </w:rPr>
              <w:t>批准的石化产业规划布局方案核准。未列入国家批准的相关</w:t>
            </w:r>
            <w:r>
              <w:rPr>
                <w:spacing w:val="2"/>
                <w:highlight w:val="none"/>
              </w:rPr>
              <w:t xml:space="preserve"> </w:t>
            </w:r>
            <w:r>
              <w:rPr>
                <w:spacing w:val="9"/>
                <w:highlight w:val="none"/>
              </w:rPr>
              <w:t>规划的新建乙烯、对二甲苯</w:t>
            </w:r>
            <w:r>
              <w:rPr>
                <w:rFonts w:ascii="Times New Roman" w:hAnsi="Times New Roman" w:eastAsia="Times New Roman" w:cs="Times New Roman"/>
                <w:spacing w:val="9"/>
                <w:highlight w:val="none"/>
              </w:rPr>
              <w:t>(</w:t>
            </w:r>
            <w:r>
              <w:rPr>
                <w:rFonts w:ascii="Times New Roman" w:hAnsi="Times New Roman" w:eastAsia="Times New Roman" w:cs="Times New Roman"/>
                <w:highlight w:val="none"/>
              </w:rPr>
              <w:t>PX</w:t>
            </w:r>
            <w:r>
              <w:rPr>
                <w:rFonts w:ascii="Times New Roman" w:hAnsi="Times New Roman" w:eastAsia="Times New Roman" w:cs="Times New Roman"/>
                <w:spacing w:val="9"/>
                <w:highlight w:val="none"/>
              </w:rPr>
              <w:t>).</w:t>
            </w:r>
            <w:r>
              <w:rPr>
                <w:spacing w:val="9"/>
                <w:highlight w:val="none"/>
              </w:rPr>
              <w:t>二苯基甲烷二异氰酸酯</w:t>
            </w:r>
          </w:p>
          <w:p w14:paraId="6EFB338E">
            <w:pPr>
              <w:pStyle w:val="36"/>
              <w:keepNext w:val="0"/>
              <w:keepLines w:val="0"/>
              <w:pageBreakBefore w:val="0"/>
              <w:widowControl w:val="0"/>
              <w:kinsoku/>
              <w:wordWrap/>
              <w:overflowPunct/>
              <w:topLinePunct w:val="0"/>
              <w:autoSpaceDE/>
              <w:autoSpaceDN/>
              <w:bidi w:val="0"/>
              <w:adjustRightInd/>
              <w:snapToGrid/>
              <w:spacing w:before="7" w:line="240" w:lineRule="auto"/>
              <w:ind w:left="0" w:leftChars="0" w:right="0" w:firstLine="0" w:firstLineChars="0"/>
              <w:jc w:val="both"/>
              <w:textAlignment w:val="auto"/>
              <w:rPr>
                <w:spacing w:val="7"/>
                <w:highlight w:val="none"/>
              </w:rPr>
            </w:pPr>
            <w:r>
              <w:rPr>
                <w:rFonts w:ascii="Times New Roman" w:hAnsi="Times New Roman" w:eastAsia="Times New Roman" w:cs="Times New Roman"/>
                <w:spacing w:val="8"/>
                <w:highlight w:val="none"/>
              </w:rPr>
              <w:t>(</w:t>
            </w:r>
            <w:r>
              <w:rPr>
                <w:rFonts w:ascii="Times New Roman" w:hAnsi="Times New Roman" w:eastAsia="Times New Roman" w:cs="Times New Roman"/>
                <w:highlight w:val="none"/>
              </w:rPr>
              <w:t>MDI</w:t>
            </w:r>
            <w:r>
              <w:rPr>
                <w:rFonts w:ascii="Times New Roman" w:hAnsi="Times New Roman" w:eastAsia="Times New Roman" w:cs="Times New Roman"/>
                <w:spacing w:val="8"/>
                <w:highlight w:val="none"/>
              </w:rPr>
              <w:t>)</w:t>
            </w:r>
            <w:r>
              <w:rPr>
                <w:spacing w:val="8"/>
                <w:highlight w:val="none"/>
              </w:rPr>
              <w:t>项目，禁止建设。</w:t>
            </w:r>
          </w:p>
        </w:tc>
        <w:tc>
          <w:tcPr>
            <w:tcW w:w="1340" w:type="pct"/>
            <w:tcBorders>
              <w:tl2br w:val="nil"/>
              <w:tr2bl w:val="nil"/>
            </w:tcBorders>
            <w:vAlign w:val="top"/>
          </w:tcPr>
          <w:p w14:paraId="32036EF4">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本项目不属于乙烯、对 二甲苯(PX) 、二苯基甲 烷二异氰酸酯(MDI)等石化项目</w:t>
            </w:r>
          </w:p>
        </w:tc>
        <w:tc>
          <w:tcPr>
            <w:tcW w:w="383" w:type="pct"/>
            <w:tcBorders>
              <w:tl2br w:val="nil"/>
              <w:tr2bl w:val="nil"/>
            </w:tcBorders>
            <w:vAlign w:val="top"/>
          </w:tcPr>
          <w:p w14:paraId="57E0423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0C294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7BF7F471">
            <w:pPr>
              <w:pStyle w:val="36"/>
              <w:keepNext w:val="0"/>
              <w:keepLines w:val="0"/>
              <w:pageBreakBefore w:val="0"/>
              <w:widowControl w:val="0"/>
              <w:kinsoku/>
              <w:wordWrap/>
              <w:overflowPunct/>
              <w:topLinePunct w:val="0"/>
              <w:autoSpaceDE/>
              <w:autoSpaceDN/>
              <w:bidi w:val="0"/>
              <w:adjustRightInd/>
              <w:snapToGrid/>
              <w:spacing w:before="53" w:line="240" w:lineRule="auto"/>
              <w:ind w:left="0" w:leftChars="0" w:right="0" w:rightChars="0" w:firstLine="0" w:firstLineChars="0"/>
              <w:jc w:val="both"/>
              <w:textAlignment w:val="auto"/>
              <w:rPr>
                <w:spacing w:val="7"/>
                <w:highlight w:val="none"/>
              </w:rPr>
            </w:pPr>
            <w:r>
              <w:rPr>
                <w:spacing w:val="10"/>
                <w:highlight w:val="none"/>
              </w:rPr>
              <w:t>第二十二条 禁止新建、扩建法律法规和相关政策明令禁止</w:t>
            </w:r>
            <w:r>
              <w:rPr>
                <w:highlight w:val="none"/>
              </w:rPr>
              <w:t xml:space="preserve"> </w:t>
            </w:r>
            <w:r>
              <w:rPr>
                <w:spacing w:val="6"/>
                <w:highlight w:val="none"/>
              </w:rPr>
              <w:t>的落后产能项目；对不符合要求的落后产能项目，依法依规</w:t>
            </w:r>
            <w:r>
              <w:rPr>
                <w:highlight w:val="none"/>
              </w:rPr>
              <w:t xml:space="preserve"> </w:t>
            </w:r>
            <w:r>
              <w:rPr>
                <w:spacing w:val="2"/>
                <w:highlight w:val="none"/>
              </w:rPr>
              <w:t>退出。</w:t>
            </w:r>
          </w:p>
        </w:tc>
        <w:tc>
          <w:tcPr>
            <w:tcW w:w="1340" w:type="pct"/>
            <w:tcBorders>
              <w:tl2br w:val="nil"/>
              <w:tr2bl w:val="nil"/>
            </w:tcBorders>
            <w:vAlign w:val="top"/>
          </w:tcPr>
          <w:p w14:paraId="769F022C">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本项目不属于法律法规和相关政策明令禁止的落后产能项目，不属于落后产能项目</w:t>
            </w:r>
          </w:p>
        </w:tc>
        <w:tc>
          <w:tcPr>
            <w:tcW w:w="383" w:type="pct"/>
            <w:tcBorders>
              <w:tl2br w:val="nil"/>
              <w:tr2bl w:val="nil"/>
            </w:tcBorders>
            <w:vAlign w:val="top"/>
          </w:tcPr>
          <w:p w14:paraId="7490ADB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6FF8C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0E25CD92">
            <w:pPr>
              <w:pStyle w:val="36"/>
              <w:keepNext w:val="0"/>
              <w:keepLines w:val="0"/>
              <w:pageBreakBefore w:val="0"/>
              <w:widowControl w:val="0"/>
              <w:kinsoku/>
              <w:wordWrap/>
              <w:overflowPunct/>
              <w:topLinePunct w:val="0"/>
              <w:autoSpaceDE/>
              <w:autoSpaceDN/>
              <w:bidi w:val="0"/>
              <w:adjustRightInd/>
              <w:snapToGrid/>
              <w:spacing w:before="55" w:line="240" w:lineRule="auto"/>
              <w:ind w:left="0" w:leftChars="0" w:right="0" w:rightChars="0" w:firstLine="0" w:firstLineChars="0"/>
              <w:jc w:val="both"/>
              <w:textAlignment w:val="auto"/>
              <w:rPr>
                <w:spacing w:val="7"/>
                <w:highlight w:val="none"/>
              </w:rPr>
            </w:pPr>
            <w:r>
              <w:rPr>
                <w:spacing w:val="8"/>
                <w:highlight w:val="none"/>
              </w:rPr>
              <w:t>第二十三条 对最新版</w:t>
            </w:r>
            <w:r>
              <w:rPr>
                <w:spacing w:val="-51"/>
                <w:highlight w:val="none"/>
              </w:rPr>
              <w:t xml:space="preserve"> </w:t>
            </w:r>
            <w:r>
              <w:rPr>
                <w:spacing w:val="8"/>
                <w:highlight w:val="none"/>
              </w:rPr>
              <w:t>《产业结构调整指导目录》中限制类</w:t>
            </w:r>
            <w:r>
              <w:rPr>
                <w:highlight w:val="none"/>
              </w:rPr>
              <w:t xml:space="preserve"> </w:t>
            </w:r>
            <w:r>
              <w:rPr>
                <w:spacing w:val="6"/>
                <w:highlight w:val="none"/>
              </w:rPr>
              <w:t>的新建项目，禁止投资；对淘汰类项目，禁止投资。国家级</w:t>
            </w:r>
            <w:r>
              <w:rPr>
                <w:spacing w:val="2"/>
                <w:highlight w:val="none"/>
              </w:rPr>
              <w:t xml:space="preserve"> </w:t>
            </w:r>
            <w:r>
              <w:rPr>
                <w:spacing w:val="6"/>
                <w:highlight w:val="none"/>
              </w:rPr>
              <w:t>重点生态功能区，要严格执行国家重点生态功能区产业准入</w:t>
            </w:r>
            <w:r>
              <w:rPr>
                <w:highlight w:val="none"/>
              </w:rPr>
              <w:t xml:space="preserve"> </w:t>
            </w:r>
            <w:r>
              <w:rPr>
                <w:spacing w:val="5"/>
                <w:highlight w:val="none"/>
              </w:rPr>
              <w:t>负面清单。</w:t>
            </w:r>
          </w:p>
        </w:tc>
        <w:tc>
          <w:tcPr>
            <w:tcW w:w="1340" w:type="pct"/>
            <w:tcBorders>
              <w:tl2br w:val="nil"/>
              <w:tr2bl w:val="nil"/>
            </w:tcBorders>
            <w:vAlign w:val="top"/>
          </w:tcPr>
          <w:p w14:paraId="0807B522">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p>
          <w:p w14:paraId="7D816192">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本项目不属于限制类、淘汰类项目</w:t>
            </w:r>
          </w:p>
        </w:tc>
        <w:tc>
          <w:tcPr>
            <w:tcW w:w="383" w:type="pct"/>
            <w:tcBorders>
              <w:tl2br w:val="nil"/>
              <w:tr2bl w:val="nil"/>
            </w:tcBorders>
            <w:vAlign w:val="top"/>
          </w:tcPr>
          <w:p w14:paraId="57D737A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r w14:paraId="5DD68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3275" w:type="pct"/>
            <w:tcBorders>
              <w:tl2br w:val="nil"/>
              <w:tr2bl w:val="nil"/>
            </w:tcBorders>
            <w:vAlign w:val="top"/>
          </w:tcPr>
          <w:p w14:paraId="5957CD90">
            <w:pPr>
              <w:pStyle w:val="36"/>
              <w:keepNext w:val="0"/>
              <w:keepLines w:val="0"/>
              <w:pageBreakBefore w:val="0"/>
              <w:widowControl w:val="0"/>
              <w:kinsoku/>
              <w:wordWrap/>
              <w:overflowPunct/>
              <w:topLinePunct w:val="0"/>
              <w:autoSpaceDE/>
              <w:autoSpaceDN/>
              <w:bidi w:val="0"/>
              <w:adjustRightInd/>
              <w:snapToGrid/>
              <w:spacing w:before="56" w:line="240" w:lineRule="auto"/>
              <w:ind w:left="0" w:leftChars="0" w:right="0" w:rightChars="0" w:firstLine="0" w:firstLineChars="0"/>
              <w:jc w:val="both"/>
              <w:textAlignment w:val="auto"/>
              <w:rPr>
                <w:spacing w:val="7"/>
                <w:highlight w:val="none"/>
              </w:rPr>
            </w:pPr>
            <w:r>
              <w:rPr>
                <w:spacing w:val="10"/>
                <w:highlight w:val="none"/>
              </w:rPr>
              <w:t>第二十四条 禁止新建、扩建不符合国家产能置换要求的严</w:t>
            </w:r>
            <w:r>
              <w:rPr>
                <w:highlight w:val="none"/>
              </w:rPr>
              <w:t xml:space="preserve"> </w:t>
            </w:r>
            <w:r>
              <w:rPr>
                <w:spacing w:val="7"/>
                <w:highlight w:val="none"/>
              </w:rPr>
              <w:t>重过剩产能行业</w:t>
            </w:r>
            <w:r>
              <w:rPr>
                <w:rFonts w:ascii="Times New Roman" w:hAnsi="Times New Roman" w:eastAsia="Times New Roman" w:cs="Times New Roman"/>
                <w:spacing w:val="7"/>
                <w:highlight w:val="none"/>
              </w:rPr>
              <w:t>(</w:t>
            </w:r>
            <w:r>
              <w:rPr>
                <w:spacing w:val="7"/>
                <w:highlight w:val="none"/>
              </w:rPr>
              <w:t>钢铁、水泥、</w:t>
            </w:r>
            <w:r>
              <w:rPr>
                <w:spacing w:val="-43"/>
                <w:highlight w:val="none"/>
              </w:rPr>
              <w:t xml:space="preserve"> </w:t>
            </w:r>
            <w:r>
              <w:rPr>
                <w:spacing w:val="7"/>
                <w:highlight w:val="none"/>
              </w:rPr>
              <w:t>电解铝、平板玻璃、船舶等</w:t>
            </w:r>
            <w:r>
              <w:rPr>
                <w:highlight w:val="none"/>
              </w:rPr>
              <w:t xml:space="preserve"> </w:t>
            </w:r>
            <w:r>
              <w:rPr>
                <w:spacing w:val="6"/>
                <w:highlight w:val="none"/>
              </w:rPr>
              <w:t>行业</w:t>
            </w:r>
            <w:r>
              <w:rPr>
                <w:rFonts w:ascii="Times New Roman" w:hAnsi="Times New Roman" w:eastAsia="Times New Roman" w:cs="Times New Roman"/>
                <w:spacing w:val="6"/>
                <w:highlight w:val="none"/>
              </w:rPr>
              <w:t>)</w:t>
            </w:r>
            <w:r>
              <w:rPr>
                <w:spacing w:val="6"/>
                <w:highlight w:val="none"/>
              </w:rPr>
              <w:t>的项目。</w:t>
            </w:r>
          </w:p>
        </w:tc>
        <w:tc>
          <w:tcPr>
            <w:tcW w:w="1340" w:type="pct"/>
            <w:tcBorders>
              <w:tl2br w:val="nil"/>
              <w:tr2bl w:val="nil"/>
            </w:tcBorders>
            <w:vAlign w:val="top"/>
          </w:tcPr>
          <w:p w14:paraId="593DF387">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本项目不属于严重过</w:t>
            </w:r>
          </w:p>
          <w:p w14:paraId="608EDAE0">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剩产能行业(钢铁、水</w:t>
            </w:r>
          </w:p>
          <w:p w14:paraId="19BE4092">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泥、电解铝、平板玻璃、</w:t>
            </w:r>
          </w:p>
          <w:p w14:paraId="11110072">
            <w:pPr>
              <w:pStyle w:val="36"/>
              <w:keepNext w:val="0"/>
              <w:keepLines w:val="0"/>
              <w:pageBreakBefore w:val="0"/>
              <w:widowControl w:val="0"/>
              <w:kinsoku/>
              <w:wordWrap/>
              <w:overflowPunct/>
              <w:topLinePunct w:val="0"/>
              <w:autoSpaceDE/>
              <w:autoSpaceDN/>
              <w:bidi w:val="0"/>
              <w:adjustRightInd/>
              <w:snapToGrid/>
              <w:spacing w:before="65" w:line="240" w:lineRule="auto"/>
              <w:ind w:left="0" w:leftChars="0" w:right="0" w:firstLine="0" w:firstLineChars="0"/>
              <w:jc w:val="both"/>
              <w:textAlignment w:val="auto"/>
              <w:rPr>
                <w:spacing w:val="8"/>
                <w:highlight w:val="none"/>
              </w:rPr>
            </w:pPr>
            <w:r>
              <w:rPr>
                <w:spacing w:val="8"/>
                <w:highlight w:val="none"/>
              </w:rPr>
              <w:t>船舶等行业)的项目</w:t>
            </w:r>
          </w:p>
        </w:tc>
        <w:tc>
          <w:tcPr>
            <w:tcW w:w="383" w:type="pct"/>
            <w:tcBorders>
              <w:tl2br w:val="nil"/>
              <w:tr2bl w:val="nil"/>
            </w:tcBorders>
            <w:vAlign w:val="top"/>
          </w:tcPr>
          <w:p w14:paraId="25C86BB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p>
        </w:tc>
      </w:tr>
    </w:tbl>
    <w:p w14:paraId="137FC106">
      <w:pPr>
        <w:tabs>
          <w:tab w:val="left" w:pos="607"/>
        </w:tabs>
        <w:bidi w:val="0"/>
        <w:jc w:val="left"/>
        <w:rPr>
          <w:rFonts w:ascii="宋体" w:hAnsi="宋体" w:eastAsia="宋体" w:cs="宋体"/>
          <w:spacing w:val="-2"/>
          <w:sz w:val="24"/>
          <w:szCs w:val="24"/>
          <w:highlight w:val="none"/>
        </w:rPr>
      </w:pPr>
      <w:r>
        <w:rPr>
          <w:rFonts w:hint="eastAsia"/>
          <w:highlight w:val="none"/>
          <w:lang w:val="en-US" w:eastAsia="zh-CN"/>
        </w:rPr>
        <w:tab/>
      </w:r>
      <w:r>
        <w:rPr>
          <w:rFonts w:ascii="宋体" w:hAnsi="宋体" w:eastAsia="宋体" w:cs="宋体"/>
          <w:spacing w:val="-7"/>
          <w:sz w:val="24"/>
          <w:szCs w:val="24"/>
          <w:highlight w:val="none"/>
        </w:rPr>
        <w:t>综上分析，本项目符合《湖南省长江经济带发展负面清单实施细则（试行）》</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相关要求。</w:t>
      </w:r>
    </w:p>
    <w:p w14:paraId="7B465688">
      <w:pPr>
        <w:pStyle w:val="2"/>
        <w:numPr>
          <w:ilvl w:val="0"/>
          <w:numId w:val="3"/>
        </w:numPr>
        <w:spacing w:before="104" w:line="219" w:lineRule="auto"/>
        <w:ind w:left="0" w:leftChars="0" w:firstLine="0" w:firstLineChars="0"/>
        <w:rPr>
          <w:b/>
          <w:bCs/>
          <w:spacing w:val="-1"/>
          <w:highlight w:val="none"/>
        </w:rPr>
      </w:pPr>
      <w:r>
        <w:rPr>
          <w:b/>
          <w:bCs/>
          <w:spacing w:val="-1"/>
          <w:highlight w:val="none"/>
        </w:rPr>
        <w:t>与《长江经济带生态环境保护规划》的相符性分析</w:t>
      </w:r>
    </w:p>
    <w:p w14:paraId="71B85296">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leftChars="0" w:right="0" w:firstLine="468" w:firstLineChars="200"/>
        <w:jc w:val="left"/>
        <w:textAlignment w:val="auto"/>
        <w:rPr>
          <w:rFonts w:ascii="Times New Roman" w:hAnsi="Times New Roman" w:eastAsia="宋体"/>
          <w:spacing w:val="-1"/>
          <w:highlight w:val="none"/>
        </w:rPr>
      </w:pPr>
      <w:r>
        <w:rPr>
          <w:spacing w:val="-3"/>
          <w:highlight w:val="none"/>
        </w:rPr>
        <w:t>根据《长江经济带生态环境保护规划》（环规财〔</w:t>
      </w:r>
      <w:r>
        <w:rPr>
          <w:rFonts w:ascii="Times New Roman" w:hAnsi="Times New Roman" w:eastAsia="Times New Roman" w:cs="Times New Roman"/>
          <w:spacing w:val="-4"/>
          <w:highlight w:val="none"/>
        </w:rPr>
        <w:t>2017</w:t>
      </w:r>
      <w:r>
        <w:rPr>
          <w:spacing w:val="-4"/>
          <w:highlight w:val="none"/>
        </w:rPr>
        <w:t>〕</w:t>
      </w:r>
      <w:r>
        <w:rPr>
          <w:rFonts w:ascii="Times New Roman" w:hAnsi="Times New Roman" w:eastAsia="Times New Roman" w:cs="Times New Roman"/>
          <w:spacing w:val="-4"/>
          <w:highlight w:val="none"/>
        </w:rPr>
        <w:t>88</w:t>
      </w:r>
      <w:r>
        <w:rPr>
          <w:rFonts w:ascii="Times New Roman" w:hAnsi="Times New Roman" w:eastAsia="Times New Roman" w:cs="Times New Roman"/>
          <w:spacing w:val="15"/>
          <w:w w:val="101"/>
          <w:highlight w:val="none"/>
        </w:rPr>
        <w:t xml:space="preserve"> </w:t>
      </w:r>
      <w:r>
        <w:rPr>
          <w:spacing w:val="-4"/>
          <w:highlight w:val="none"/>
        </w:rPr>
        <w:t>号）中</w:t>
      </w:r>
      <w:r>
        <w:rPr>
          <w:rFonts w:ascii="Times New Roman" w:hAnsi="Times New Roman" w:eastAsia="Times New Roman" w:cs="Times New Roman"/>
          <w:spacing w:val="-4"/>
          <w:highlight w:val="none"/>
        </w:rPr>
        <w:t>―</w:t>
      </w:r>
      <w:r>
        <w:rPr>
          <w:spacing w:val="-4"/>
          <w:highlight w:val="none"/>
        </w:rPr>
        <w:t>严守生态保护</w:t>
      </w:r>
      <w:r>
        <w:rPr>
          <w:spacing w:val="-2"/>
          <w:highlight w:val="none"/>
        </w:rPr>
        <w:t>红线内容，要将生态保护红线作为空间规划编制的重要基础，相关规划要符合生态保护</w:t>
      </w:r>
      <w:r>
        <w:rPr>
          <w:spacing w:val="9"/>
          <w:highlight w:val="none"/>
        </w:rPr>
        <w:t xml:space="preserve"> </w:t>
      </w:r>
      <w:r>
        <w:rPr>
          <w:spacing w:val="-1"/>
          <w:highlight w:val="none"/>
        </w:rPr>
        <w:t>红线空间管控要求；根据优化沿江企业和码头布局内容：立</w:t>
      </w:r>
      <w:r>
        <w:rPr>
          <w:spacing w:val="-2"/>
          <w:highlight w:val="none"/>
        </w:rPr>
        <w:t>足当地资源环境承载能力，</w:t>
      </w:r>
      <w:r>
        <w:rPr>
          <w:highlight w:val="none"/>
        </w:rPr>
        <w:t xml:space="preserve"> </w:t>
      </w:r>
      <w:r>
        <w:rPr>
          <w:spacing w:val="-2"/>
          <w:highlight w:val="none"/>
        </w:rPr>
        <w:t>优化产业布局和规模，严格禁止污染型产业、企业向中上游地区转移，切实防止环境风</w:t>
      </w:r>
      <w:r>
        <w:rPr>
          <w:spacing w:val="16"/>
          <w:highlight w:val="none"/>
        </w:rPr>
        <w:t xml:space="preserve"> </w:t>
      </w:r>
      <w:r>
        <w:rPr>
          <w:spacing w:val="-2"/>
          <w:highlight w:val="none"/>
        </w:rPr>
        <w:t>险聚集。禁止在长江干流自然保护区、风景名胜区、四大家鱼产卵场等管控重点区域新</w:t>
      </w:r>
      <w:r>
        <w:rPr>
          <w:spacing w:val="16"/>
          <w:highlight w:val="none"/>
        </w:rPr>
        <w:t xml:space="preserve"> </w:t>
      </w:r>
      <w:r>
        <w:rPr>
          <w:spacing w:val="-1"/>
          <w:highlight w:val="none"/>
        </w:rPr>
        <w:t>建工业类和污染类项目，现有高风险企业实施限期治理。除</w:t>
      </w:r>
      <w:r>
        <w:rPr>
          <w:spacing w:val="-2"/>
          <w:highlight w:val="none"/>
        </w:rPr>
        <w:t>武汉、岳阳、九江、安庆、</w:t>
      </w:r>
      <w:r>
        <w:rPr>
          <w:highlight w:val="none"/>
        </w:rPr>
        <w:t xml:space="preserve"> </w:t>
      </w:r>
      <w:r>
        <w:rPr>
          <w:spacing w:val="1"/>
          <w:highlight w:val="none"/>
        </w:rPr>
        <w:t>舟山</w:t>
      </w:r>
      <w:r>
        <w:rPr>
          <w:rFonts w:ascii="Times New Roman" w:hAnsi="Times New Roman" w:eastAsia="宋体"/>
          <w:spacing w:val="-1"/>
          <w:highlight w:val="none"/>
        </w:rPr>
        <w:t>5 个千万吨级石化产业基地外，其他城市原则上不再新布局石化项目。</w:t>
      </w:r>
    </w:p>
    <w:p w14:paraId="3D26FB95">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ascii="Times New Roman" w:hAnsi="Times New Roman" w:eastAsia="宋体"/>
          <w:spacing w:val="-1"/>
          <w:highlight w:val="none"/>
        </w:rPr>
      </w:pPr>
      <w:r>
        <w:rPr>
          <w:rFonts w:ascii="Times New Roman" w:hAnsi="Times New Roman" w:eastAsia="宋体"/>
          <w:spacing w:val="-1"/>
          <w:highlight w:val="none"/>
        </w:rPr>
        <w:t>本项目位岳阳高新技术产业园内，距离长江的直线距离约为 3</w:t>
      </w:r>
      <w:r>
        <w:rPr>
          <w:rFonts w:hint="eastAsia" w:ascii="Times New Roman" w:hAnsi="Times New Roman" w:eastAsia="宋体"/>
          <w:spacing w:val="-1"/>
          <w:highlight w:val="none"/>
          <w:lang w:val="en-US" w:eastAsia="zh-CN"/>
        </w:rPr>
        <w:t>6</w:t>
      </w:r>
      <w:r>
        <w:rPr>
          <w:rFonts w:ascii="Times New Roman" w:hAnsi="Times New Roman" w:eastAsia="宋体"/>
          <w:spacing w:val="-1"/>
          <w:highlight w:val="none"/>
        </w:rPr>
        <w:t>km ，符合《长江经 济带生态环境保护规划》内容。</w:t>
      </w:r>
    </w:p>
    <w:p w14:paraId="33E583B4">
      <w:pPr>
        <w:pStyle w:val="2"/>
        <w:spacing w:line="219" w:lineRule="auto"/>
        <w:ind w:left="0" w:leftChars="0" w:firstLine="0" w:firstLineChars="0"/>
        <w:rPr>
          <w:b/>
          <w:bCs/>
          <w:highlight w:val="none"/>
        </w:rPr>
      </w:pPr>
      <w:r>
        <w:rPr>
          <w:rFonts w:hint="eastAsia" w:ascii="Times New Roman" w:hAnsi="Times New Roman" w:cs="Times New Roman"/>
          <w:b/>
          <w:bCs/>
          <w:spacing w:val="-1"/>
          <w:highlight w:val="none"/>
          <w:lang w:val="en-US" w:eastAsia="zh-CN"/>
        </w:rPr>
        <w:t>9、</w:t>
      </w:r>
      <w:r>
        <w:rPr>
          <w:b/>
          <w:bCs/>
          <w:spacing w:val="-1"/>
          <w:highlight w:val="none"/>
        </w:rPr>
        <w:t>与《长江经济带发展负面清单指南（试行</w:t>
      </w:r>
      <w:r>
        <w:rPr>
          <w:b/>
          <w:bCs/>
          <w:spacing w:val="-44"/>
          <w:highlight w:val="none"/>
        </w:rPr>
        <w:t xml:space="preserve"> </w:t>
      </w:r>
      <w:r>
        <w:rPr>
          <w:rFonts w:ascii="Times New Roman" w:hAnsi="Times New Roman" w:eastAsia="Times New Roman" w:cs="Times New Roman"/>
          <w:b/>
          <w:bCs/>
          <w:spacing w:val="-1"/>
          <w:highlight w:val="none"/>
        </w:rPr>
        <w:t xml:space="preserve">2022 </w:t>
      </w:r>
      <w:r>
        <w:rPr>
          <w:b/>
          <w:bCs/>
          <w:spacing w:val="-1"/>
          <w:highlight w:val="none"/>
        </w:rPr>
        <w:t>年版）》的符合性分析</w:t>
      </w:r>
    </w:p>
    <w:p w14:paraId="1CA671A3">
      <w:pPr>
        <w:pStyle w:val="2"/>
        <w:keepNext w:val="0"/>
        <w:keepLines w:val="0"/>
        <w:pageBreakBefore w:val="0"/>
        <w:kinsoku/>
        <w:wordWrap/>
        <w:overflowPunct/>
        <w:topLinePunct w:val="0"/>
        <w:autoSpaceDE/>
        <w:autoSpaceDN/>
        <w:bidi w:val="0"/>
        <w:adjustRightInd/>
        <w:spacing w:before="0" w:after="0" w:line="360" w:lineRule="auto"/>
        <w:ind w:left="70" w:right="58" w:firstLine="478"/>
        <w:textAlignment w:val="auto"/>
        <w:rPr>
          <w:highlight w:val="none"/>
        </w:rPr>
      </w:pPr>
      <w:r>
        <w:rPr>
          <w:spacing w:val="-2"/>
          <w:highlight w:val="none"/>
        </w:rPr>
        <w:t>根据《长江经济带发展负面清单指南（试行）》，对照分析与本项目有关的政策要</w:t>
      </w:r>
      <w:r>
        <w:rPr>
          <w:spacing w:val="11"/>
          <w:highlight w:val="none"/>
        </w:rPr>
        <w:t xml:space="preserve"> </w:t>
      </w:r>
      <w:r>
        <w:rPr>
          <w:spacing w:val="-2"/>
          <w:highlight w:val="none"/>
        </w:rPr>
        <w:t>求相符性分析：</w:t>
      </w:r>
    </w:p>
    <w:p w14:paraId="7811B125">
      <w:pPr>
        <w:keepNext w:val="0"/>
        <w:keepLines w:val="0"/>
        <w:pageBreakBefore w:val="0"/>
        <w:kinsoku/>
        <w:wordWrap/>
        <w:overflowPunct/>
        <w:topLinePunct w:val="0"/>
        <w:autoSpaceDE/>
        <w:autoSpaceDN/>
        <w:bidi w:val="0"/>
        <w:adjustRightInd/>
        <w:spacing w:line="359" w:lineRule="auto"/>
        <w:ind w:left="3036" w:leftChars="224" w:right="286" w:hanging="2409" w:hangingChars="10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 xml:space="preserve">表 </w:t>
      </w:r>
      <w:r>
        <w:rPr>
          <w:rFonts w:hint="eastAsia" w:ascii="Times New Roman" w:hAnsi="Times New Roman" w:eastAsia="宋体" w:cs="Times New Roman"/>
          <w:b/>
          <w:bCs/>
          <w:sz w:val="24"/>
          <w:szCs w:val="24"/>
          <w:highlight w:val="none"/>
          <w:lang w:val="en-US" w:eastAsia="zh-CN"/>
        </w:rPr>
        <w:t>1.5-6</w:t>
      </w:r>
      <w:r>
        <w:rPr>
          <w:rFonts w:hint="default" w:ascii="Times New Roman" w:hAnsi="Times New Roman" w:eastAsia="宋体" w:cs="Times New Roman"/>
          <w:b/>
          <w:bCs/>
          <w:sz w:val="24"/>
          <w:szCs w:val="24"/>
          <w:highlight w:val="none"/>
        </w:rPr>
        <w:t xml:space="preserve"> 与《长江经济带发展负面清单指南（试行）》相符性分析</w:t>
      </w:r>
    </w:p>
    <w:p w14:paraId="3FC6B062">
      <w:pPr>
        <w:spacing w:line="68" w:lineRule="exact"/>
        <w:rPr>
          <w:highlight w:val="none"/>
        </w:rPr>
      </w:pP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93"/>
        <w:gridCol w:w="2211"/>
        <w:gridCol w:w="1098"/>
      </w:tblGrid>
      <w:tr w14:paraId="5C252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007" w:type="pct"/>
            <w:tcBorders>
              <w:tl2br w:val="nil"/>
              <w:tr2bl w:val="nil"/>
            </w:tcBorders>
            <w:vAlign w:val="top"/>
          </w:tcPr>
          <w:p w14:paraId="12233FC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8"/>
                <w:highlight w:val="none"/>
              </w:rPr>
              <w:t>与本项目有关的政策要求</w:t>
            </w:r>
          </w:p>
        </w:tc>
        <w:tc>
          <w:tcPr>
            <w:tcW w:w="1331" w:type="pct"/>
            <w:tcBorders>
              <w:tl2br w:val="nil"/>
              <w:tr2bl w:val="nil"/>
            </w:tcBorders>
            <w:vAlign w:val="top"/>
          </w:tcPr>
          <w:p w14:paraId="774FC2D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6"/>
                <w:highlight w:val="none"/>
              </w:rPr>
              <w:t>项目情况</w:t>
            </w:r>
          </w:p>
        </w:tc>
        <w:tc>
          <w:tcPr>
            <w:tcW w:w="661" w:type="pct"/>
            <w:tcBorders>
              <w:tl2br w:val="nil"/>
              <w:tr2bl w:val="nil"/>
            </w:tcBorders>
            <w:vAlign w:val="top"/>
          </w:tcPr>
          <w:p w14:paraId="3FBD899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6"/>
                <w:highlight w:val="none"/>
              </w:rPr>
              <w:t>相符性</w:t>
            </w:r>
          </w:p>
        </w:tc>
      </w:tr>
      <w:tr w14:paraId="7CE8F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3007" w:type="pct"/>
            <w:tcBorders>
              <w:tl2br w:val="nil"/>
              <w:tr2bl w:val="nil"/>
            </w:tcBorders>
            <w:vAlign w:val="top"/>
          </w:tcPr>
          <w:p w14:paraId="2D9045A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9"/>
                <w:highlight w:val="none"/>
              </w:rPr>
              <w:t>禁止在自然保护区核心区、缓冲区的岸线和河段范围内投资</w:t>
            </w:r>
            <w:r>
              <w:rPr>
                <w:spacing w:val="14"/>
                <w:highlight w:val="none"/>
              </w:rPr>
              <w:t xml:space="preserve"> </w:t>
            </w:r>
            <w:r>
              <w:rPr>
                <w:spacing w:val="9"/>
                <w:highlight w:val="none"/>
              </w:rPr>
              <w:t>建设旅游和生产经营项目。禁止在风景名胜区核心景区的岸</w:t>
            </w:r>
            <w:r>
              <w:rPr>
                <w:spacing w:val="11"/>
                <w:highlight w:val="none"/>
              </w:rPr>
              <w:t xml:space="preserve"> </w:t>
            </w:r>
            <w:r>
              <w:rPr>
                <w:spacing w:val="9"/>
                <w:highlight w:val="none"/>
              </w:rPr>
              <w:t>线和河段范围内投资建设与风景名胜资源保护无关的项目。</w:t>
            </w:r>
          </w:p>
        </w:tc>
        <w:tc>
          <w:tcPr>
            <w:tcW w:w="1331" w:type="pct"/>
            <w:tcBorders>
              <w:tl2br w:val="nil"/>
              <w:tr2bl w:val="nil"/>
            </w:tcBorders>
            <w:vAlign w:val="top"/>
          </w:tcPr>
          <w:p w14:paraId="4C79E38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
                <w:highlight w:val="none"/>
              </w:rPr>
              <w:t>不涉及自然保护区、风景名</w:t>
            </w:r>
            <w:r>
              <w:rPr>
                <w:spacing w:val="4"/>
                <w:highlight w:val="none"/>
              </w:rPr>
              <w:t>胜区</w:t>
            </w:r>
          </w:p>
        </w:tc>
        <w:tc>
          <w:tcPr>
            <w:tcW w:w="661" w:type="pct"/>
            <w:tcBorders>
              <w:tl2br w:val="nil"/>
              <w:tr2bl w:val="nil"/>
            </w:tcBorders>
            <w:vAlign w:val="top"/>
          </w:tcPr>
          <w:p w14:paraId="7E972D0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7BA58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3007" w:type="pct"/>
            <w:tcBorders>
              <w:tl2br w:val="nil"/>
              <w:tr2bl w:val="nil"/>
            </w:tcBorders>
            <w:vAlign w:val="top"/>
          </w:tcPr>
          <w:p w14:paraId="23BC12C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highlight w:val="none"/>
              </w:rPr>
            </w:pPr>
            <w:r>
              <w:rPr>
                <w:spacing w:val="10"/>
                <w:highlight w:val="none"/>
              </w:rPr>
              <w:t>禁止在饮用水水源一级保护区的岸线和河段范</w:t>
            </w:r>
            <w:r>
              <w:rPr>
                <w:spacing w:val="9"/>
                <w:highlight w:val="none"/>
              </w:rPr>
              <w:t>围内新建、改</w:t>
            </w:r>
            <w:r>
              <w:rPr>
                <w:spacing w:val="3"/>
                <w:highlight w:val="none"/>
              </w:rPr>
              <w:t>建、扩建与供水设施和保护水源无关的项目，以及网</w:t>
            </w:r>
            <w:r>
              <w:rPr>
                <w:spacing w:val="2"/>
                <w:highlight w:val="none"/>
              </w:rPr>
              <w:t>箱养殖、</w:t>
            </w:r>
            <w:r>
              <w:rPr>
                <w:spacing w:val="9"/>
                <w:highlight w:val="none"/>
              </w:rPr>
              <w:t>畜禽养殖、旅游等可能污染饮用水水体的投资建设项目。禁</w:t>
            </w:r>
            <w:r>
              <w:rPr>
                <w:spacing w:val="3"/>
                <w:highlight w:val="none"/>
              </w:rPr>
              <w:t>止在饮用水水源二级保护区的岸线和河段范围内新建、改</w:t>
            </w:r>
            <w:r>
              <w:rPr>
                <w:spacing w:val="2"/>
                <w:highlight w:val="none"/>
              </w:rPr>
              <w:t>建、</w:t>
            </w:r>
            <w:r>
              <w:rPr>
                <w:spacing w:val="8"/>
                <w:highlight w:val="none"/>
              </w:rPr>
              <w:t>扩建排放污染物的投资建设项目。</w:t>
            </w:r>
          </w:p>
        </w:tc>
        <w:tc>
          <w:tcPr>
            <w:tcW w:w="1331" w:type="pct"/>
            <w:tcBorders>
              <w:tl2br w:val="nil"/>
              <w:tr2bl w:val="nil"/>
            </w:tcBorders>
            <w:vAlign w:val="top"/>
          </w:tcPr>
          <w:p w14:paraId="6BF332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7D54E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99832E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5"/>
                <w:highlight w:val="none"/>
              </w:rPr>
              <w:t>不涉及</w:t>
            </w:r>
          </w:p>
        </w:tc>
        <w:tc>
          <w:tcPr>
            <w:tcW w:w="661" w:type="pct"/>
            <w:tcBorders>
              <w:tl2br w:val="nil"/>
              <w:tr2bl w:val="nil"/>
            </w:tcBorders>
            <w:vAlign w:val="top"/>
          </w:tcPr>
          <w:p w14:paraId="46A2E6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5E9B6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DD7E70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77C65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3007" w:type="pct"/>
            <w:tcBorders>
              <w:tl2br w:val="nil"/>
              <w:tr2bl w:val="nil"/>
            </w:tcBorders>
            <w:vAlign w:val="top"/>
          </w:tcPr>
          <w:p w14:paraId="51B45B1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宋体" w:hAnsi="宋体" w:eastAsia="宋体" w:cs="宋体"/>
                <w:spacing w:val="9"/>
                <w:kern w:val="2"/>
                <w:sz w:val="20"/>
                <w:szCs w:val="20"/>
                <w:highlight w:val="none"/>
                <w:lang w:val="en-US" w:eastAsia="en-US" w:bidi="ar-SA"/>
              </w:rPr>
            </w:pPr>
            <w:r>
              <w:rPr>
                <w:rFonts w:ascii="宋体" w:hAnsi="宋体" w:eastAsia="宋体" w:cs="宋体"/>
                <w:spacing w:val="9"/>
                <w:kern w:val="2"/>
                <w:sz w:val="20"/>
                <w:szCs w:val="20"/>
                <w:highlight w:val="none"/>
                <w:lang w:val="en-US" w:eastAsia="en-US" w:bidi="ar-SA"/>
              </w:rPr>
              <w:t>禁止在水产种质资源保护区的岸线和河段范围内新建围湖造田、围海造地或围填海等投资建设项目。禁止在国家湿地公园的岸线和河段范围内挖沙、采矿， 以及任何不符合主体功能定位的投资建设项目。</w:t>
            </w:r>
          </w:p>
        </w:tc>
        <w:tc>
          <w:tcPr>
            <w:tcW w:w="1331" w:type="pct"/>
            <w:tcBorders>
              <w:tl2br w:val="nil"/>
              <w:tr2bl w:val="nil"/>
            </w:tcBorders>
            <w:vAlign w:val="top"/>
          </w:tcPr>
          <w:p w14:paraId="51404A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6ACAC9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5"/>
                <w:highlight w:val="none"/>
              </w:rPr>
              <w:t>不涉及</w:t>
            </w:r>
          </w:p>
        </w:tc>
        <w:tc>
          <w:tcPr>
            <w:tcW w:w="661" w:type="pct"/>
            <w:tcBorders>
              <w:tl2br w:val="nil"/>
              <w:tr2bl w:val="nil"/>
            </w:tcBorders>
            <w:vAlign w:val="top"/>
          </w:tcPr>
          <w:p w14:paraId="094EDE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5DBD9BF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4A5BD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3007" w:type="pct"/>
            <w:tcBorders>
              <w:tl2br w:val="nil"/>
              <w:tr2bl w:val="nil"/>
            </w:tcBorders>
            <w:vAlign w:val="top"/>
          </w:tcPr>
          <w:p w14:paraId="4477A09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宋体" w:hAnsi="宋体" w:eastAsia="宋体" w:cs="宋体"/>
                <w:spacing w:val="9"/>
                <w:kern w:val="2"/>
                <w:sz w:val="20"/>
                <w:szCs w:val="20"/>
                <w:highlight w:val="none"/>
                <w:lang w:val="en-US" w:eastAsia="en-US" w:bidi="ar-SA"/>
              </w:rPr>
            </w:pPr>
            <w:r>
              <w:rPr>
                <w:rFonts w:ascii="宋体" w:hAnsi="宋体" w:eastAsia="宋体" w:cs="宋体"/>
                <w:spacing w:val="9"/>
                <w:kern w:val="2"/>
                <w:sz w:val="20"/>
                <w:szCs w:val="20"/>
                <w:highlight w:val="none"/>
                <w:lang w:val="en-US" w:eastAsia="en-US" w:bidi="ar-SA"/>
              </w:rPr>
              <w:t>禁止违法利用、 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31" w:type="pct"/>
            <w:tcBorders>
              <w:tl2br w:val="nil"/>
              <w:tr2bl w:val="nil"/>
            </w:tcBorders>
            <w:vAlign w:val="top"/>
          </w:tcPr>
          <w:p w14:paraId="072FA90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本项目边界距离长江岸线</w:t>
            </w:r>
            <w:r>
              <w:rPr>
                <w:spacing w:val="4"/>
                <w:highlight w:val="none"/>
              </w:rPr>
              <w:t xml:space="preserve"> </w:t>
            </w:r>
            <w:r>
              <w:rPr>
                <w:spacing w:val="6"/>
                <w:highlight w:val="none"/>
              </w:rPr>
              <w:t>直线距离约</w:t>
            </w:r>
            <w:r>
              <w:rPr>
                <w:spacing w:val="-36"/>
                <w:highlight w:val="none"/>
              </w:rPr>
              <w:t xml:space="preserve"> </w:t>
            </w:r>
            <w:r>
              <w:rPr>
                <w:rFonts w:ascii="Times New Roman" w:hAnsi="Times New Roman" w:eastAsia="Times New Roman" w:cs="Times New Roman"/>
                <w:spacing w:val="6"/>
                <w:highlight w:val="none"/>
              </w:rPr>
              <w:t>33</w:t>
            </w:r>
            <w:r>
              <w:rPr>
                <w:rFonts w:ascii="Times New Roman" w:hAnsi="Times New Roman" w:eastAsia="Times New Roman" w:cs="Times New Roman"/>
                <w:highlight w:val="none"/>
              </w:rPr>
              <w:t>km</w:t>
            </w:r>
            <w:r>
              <w:rPr>
                <w:rFonts w:ascii="Times New Roman" w:hAnsi="Times New Roman" w:eastAsia="Times New Roman" w:cs="Times New Roman"/>
                <w:spacing w:val="-24"/>
                <w:highlight w:val="none"/>
              </w:rPr>
              <w:t xml:space="preserve"> </w:t>
            </w:r>
            <w:r>
              <w:rPr>
                <w:spacing w:val="6"/>
                <w:highlight w:val="none"/>
              </w:rPr>
              <w:t>，不涉及</w:t>
            </w:r>
            <w:r>
              <w:rPr>
                <w:highlight w:val="none"/>
              </w:rPr>
              <w:t xml:space="preserve"> </w:t>
            </w:r>
            <w:r>
              <w:rPr>
                <w:spacing w:val="14"/>
                <w:highlight w:val="none"/>
              </w:rPr>
              <w:t>《长江岸线保护和开发利</w:t>
            </w:r>
            <w:r>
              <w:rPr>
                <w:spacing w:val="5"/>
                <w:highlight w:val="none"/>
              </w:rPr>
              <w:t xml:space="preserve"> </w:t>
            </w:r>
            <w:r>
              <w:rPr>
                <w:spacing w:val="1"/>
                <w:highlight w:val="none"/>
              </w:rPr>
              <w:t>用总体规划》划定的岸线保护区。不涉及《全囯重要江河湖泊水功能区划》划定的河段保护区，并符合岳阳市</w:t>
            </w:r>
            <w:r>
              <w:rPr>
                <w:spacing w:val="13"/>
                <w:highlight w:val="none"/>
              </w:rPr>
              <w:t>划定的蓝线、绿线要求。</w:t>
            </w:r>
          </w:p>
        </w:tc>
        <w:tc>
          <w:tcPr>
            <w:tcW w:w="661" w:type="pct"/>
            <w:tcBorders>
              <w:tl2br w:val="nil"/>
              <w:tr2bl w:val="nil"/>
            </w:tcBorders>
            <w:vAlign w:val="top"/>
          </w:tcPr>
          <w:p w14:paraId="667C94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3358CF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24CAB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0230A3A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07BBA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3007" w:type="pct"/>
            <w:tcBorders>
              <w:tl2br w:val="nil"/>
              <w:tr2bl w:val="nil"/>
            </w:tcBorders>
            <w:vAlign w:val="top"/>
          </w:tcPr>
          <w:p w14:paraId="39D679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宋体" w:hAnsi="宋体" w:eastAsia="宋体" w:cs="宋体"/>
                <w:spacing w:val="9"/>
                <w:kern w:val="2"/>
                <w:sz w:val="20"/>
                <w:szCs w:val="20"/>
                <w:highlight w:val="none"/>
                <w:lang w:val="en-US" w:eastAsia="en-US" w:bidi="ar-SA"/>
              </w:rPr>
            </w:pPr>
          </w:p>
          <w:p w14:paraId="2244717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ascii="宋体" w:hAnsi="宋体" w:eastAsia="宋体" w:cs="宋体"/>
                <w:spacing w:val="9"/>
                <w:kern w:val="2"/>
                <w:sz w:val="20"/>
                <w:szCs w:val="20"/>
                <w:highlight w:val="none"/>
                <w:lang w:val="en-US" w:eastAsia="en-US" w:bidi="ar-SA"/>
              </w:rPr>
            </w:pPr>
            <w:r>
              <w:rPr>
                <w:rFonts w:ascii="宋体" w:hAnsi="宋体" w:eastAsia="宋体" w:cs="宋体"/>
                <w:spacing w:val="9"/>
                <w:kern w:val="2"/>
                <w:sz w:val="20"/>
                <w:szCs w:val="20"/>
                <w:highlight w:val="none"/>
                <w:lang w:val="en-US" w:eastAsia="en-US" w:bidi="ar-SA"/>
              </w:rPr>
              <w:t>禁止未经许可在长江干支流及湖泊新设、改设或扩大排污口。</w:t>
            </w:r>
          </w:p>
        </w:tc>
        <w:tc>
          <w:tcPr>
            <w:tcW w:w="1331" w:type="pct"/>
            <w:tcBorders>
              <w:tl2br w:val="nil"/>
              <w:tr2bl w:val="nil"/>
            </w:tcBorders>
            <w:vAlign w:val="top"/>
          </w:tcPr>
          <w:p w14:paraId="0440103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9"/>
                <w:highlight w:val="none"/>
              </w:rPr>
              <w:t>本项目废水进入园区污水</w:t>
            </w:r>
            <w:r>
              <w:rPr>
                <w:spacing w:val="1"/>
                <w:highlight w:val="none"/>
              </w:rPr>
              <w:t>处理厂，未新设、改设或扩</w:t>
            </w:r>
            <w:r>
              <w:rPr>
                <w:spacing w:val="6"/>
                <w:highlight w:val="none"/>
              </w:rPr>
              <w:t>大排污口</w:t>
            </w:r>
          </w:p>
        </w:tc>
        <w:tc>
          <w:tcPr>
            <w:tcW w:w="661" w:type="pct"/>
            <w:tcBorders>
              <w:tl2br w:val="nil"/>
              <w:tr2bl w:val="nil"/>
            </w:tcBorders>
            <w:vAlign w:val="top"/>
          </w:tcPr>
          <w:p w14:paraId="24614E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298F593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2ADC7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3007" w:type="pct"/>
            <w:tcBorders>
              <w:tl2br w:val="nil"/>
              <w:tr2bl w:val="nil"/>
            </w:tcBorders>
            <w:vAlign w:val="top"/>
          </w:tcPr>
          <w:p w14:paraId="228C5A2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pacing w:val="9"/>
                <w:highlight w:val="none"/>
              </w:rPr>
            </w:pPr>
            <w:r>
              <w:rPr>
                <w:spacing w:val="9"/>
                <w:highlight w:val="none"/>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331" w:type="pct"/>
            <w:tcBorders>
              <w:tl2br w:val="nil"/>
              <w:tr2bl w:val="nil"/>
            </w:tcBorders>
            <w:vAlign w:val="top"/>
          </w:tcPr>
          <w:p w14:paraId="7336412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9"/>
                <w:highlight w:val="none"/>
              </w:rPr>
              <w:t>本项目不涉及岳阳市划定</w:t>
            </w:r>
            <w:r>
              <w:rPr>
                <w:highlight w:val="none"/>
              </w:rPr>
              <w:t>的生态红线、不涉及基本农</w:t>
            </w:r>
            <w:r>
              <w:rPr>
                <w:spacing w:val="-13"/>
                <w:highlight w:val="none"/>
              </w:rPr>
              <w:t>田。</w:t>
            </w:r>
          </w:p>
        </w:tc>
        <w:tc>
          <w:tcPr>
            <w:tcW w:w="661" w:type="pct"/>
            <w:tcBorders>
              <w:tl2br w:val="nil"/>
              <w:tr2bl w:val="nil"/>
            </w:tcBorders>
            <w:vAlign w:val="top"/>
          </w:tcPr>
          <w:p w14:paraId="4B3C1A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766F9ED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4"/>
                <w:highlight w:val="none"/>
              </w:rPr>
              <w:t>相符</w:t>
            </w:r>
          </w:p>
        </w:tc>
      </w:tr>
      <w:tr w14:paraId="1348C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3007" w:type="pct"/>
            <w:tcBorders>
              <w:tl2br w:val="nil"/>
              <w:tr2bl w:val="nil"/>
            </w:tcBorders>
            <w:vAlign w:val="top"/>
          </w:tcPr>
          <w:p w14:paraId="5A504F2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pacing w:val="9"/>
                <w:highlight w:val="none"/>
              </w:rPr>
            </w:pPr>
            <w:r>
              <w:rPr>
                <w:spacing w:val="9"/>
                <w:highlight w:val="none"/>
              </w:rPr>
              <w:t>禁止在长江千支流、重要湖泊岸线一公里范围内新建、扩建化工园区和化工项目。禁止在长江干流岸线三公里范围内和重要支流岸线一公里范围内新建、改建、扩建尾矿库、冶炼渣库和磷石膏库， 以提升安全、生态环境保护水平为目的的改建除外。</w:t>
            </w:r>
          </w:p>
        </w:tc>
        <w:tc>
          <w:tcPr>
            <w:tcW w:w="1331" w:type="pct"/>
            <w:tcBorders>
              <w:tl2br w:val="nil"/>
              <w:tr2bl w:val="nil"/>
            </w:tcBorders>
            <w:vAlign w:val="top"/>
          </w:tcPr>
          <w:p w14:paraId="62219B5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p>
          <w:p w14:paraId="656E47B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r>
              <w:rPr>
                <w:spacing w:val="9"/>
                <w:highlight w:val="none"/>
              </w:rPr>
              <w:t>本项目边</w:t>
            </w:r>
            <w:r>
              <w:rPr>
                <w:rFonts w:hint="default" w:ascii="Times New Roman" w:hAnsi="Times New Roman" w:cs="Times New Roman"/>
                <w:spacing w:val="9"/>
                <w:highlight w:val="none"/>
              </w:rPr>
              <w:t>界距离长江岸线 直线距离约 3</w:t>
            </w:r>
            <w:r>
              <w:rPr>
                <w:rFonts w:hint="eastAsia" w:ascii="Times New Roman" w:hAnsi="Times New Roman" w:cs="Times New Roman"/>
                <w:spacing w:val="9"/>
                <w:highlight w:val="none"/>
                <w:lang w:val="en-US" w:eastAsia="zh-CN"/>
              </w:rPr>
              <w:t>6</w:t>
            </w:r>
            <w:r>
              <w:rPr>
                <w:rFonts w:hint="default" w:ascii="Times New Roman" w:hAnsi="Times New Roman" w:cs="Times New Roman"/>
                <w:spacing w:val="9"/>
                <w:highlight w:val="none"/>
              </w:rPr>
              <w:t>km</w:t>
            </w:r>
          </w:p>
        </w:tc>
        <w:tc>
          <w:tcPr>
            <w:tcW w:w="661" w:type="pct"/>
            <w:tcBorders>
              <w:tl2br w:val="nil"/>
              <w:tr2bl w:val="nil"/>
            </w:tcBorders>
            <w:vAlign w:val="top"/>
          </w:tcPr>
          <w:p w14:paraId="7B5F9A1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p>
          <w:p w14:paraId="4ACFBEF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p>
          <w:p w14:paraId="4F32F21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r>
              <w:rPr>
                <w:spacing w:val="9"/>
                <w:highlight w:val="none"/>
              </w:rPr>
              <w:t>相符</w:t>
            </w:r>
          </w:p>
        </w:tc>
      </w:tr>
      <w:tr w14:paraId="01867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3007" w:type="pct"/>
            <w:tcBorders>
              <w:tl2br w:val="nil"/>
              <w:tr2bl w:val="nil"/>
            </w:tcBorders>
            <w:vAlign w:val="top"/>
          </w:tcPr>
          <w:p w14:paraId="2E35113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pacing w:val="9"/>
                <w:highlight w:val="none"/>
              </w:rPr>
            </w:pPr>
            <w:r>
              <w:rPr>
                <w:spacing w:val="9"/>
                <w:highlight w:val="none"/>
              </w:rPr>
              <w:t>禁止在合规园区外新建、扩建钢铁、石化、化工、焦化、建材、有色、制浆造纸等高污染项目</w:t>
            </w:r>
          </w:p>
        </w:tc>
        <w:tc>
          <w:tcPr>
            <w:tcW w:w="1331" w:type="pct"/>
            <w:tcBorders>
              <w:tl2br w:val="nil"/>
              <w:tr2bl w:val="nil"/>
            </w:tcBorders>
            <w:vAlign w:val="center"/>
          </w:tcPr>
          <w:p w14:paraId="16D5E42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r>
              <w:rPr>
                <w:spacing w:val="9"/>
                <w:highlight w:val="none"/>
              </w:rPr>
              <w:t>不涉及</w:t>
            </w:r>
          </w:p>
        </w:tc>
        <w:tc>
          <w:tcPr>
            <w:tcW w:w="661" w:type="pct"/>
            <w:tcBorders>
              <w:tl2br w:val="nil"/>
              <w:tr2bl w:val="nil"/>
            </w:tcBorders>
            <w:vAlign w:val="center"/>
          </w:tcPr>
          <w:p w14:paraId="5E1F84D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r>
              <w:rPr>
                <w:spacing w:val="9"/>
                <w:highlight w:val="none"/>
              </w:rPr>
              <w:t>相符</w:t>
            </w:r>
          </w:p>
        </w:tc>
      </w:tr>
      <w:tr w14:paraId="75103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3007" w:type="pct"/>
            <w:tcBorders>
              <w:tl2br w:val="nil"/>
              <w:tr2bl w:val="nil"/>
            </w:tcBorders>
            <w:vAlign w:val="top"/>
          </w:tcPr>
          <w:p w14:paraId="3C65FB5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spacing w:val="9"/>
                <w:highlight w:val="none"/>
              </w:rPr>
            </w:pPr>
            <w:r>
              <w:rPr>
                <w:spacing w:val="9"/>
                <w:highlight w:val="none"/>
              </w:rPr>
              <w:t>禁止新建、扩建不符合国家石化、现代煤化工等产业布局规划的项目。</w:t>
            </w:r>
          </w:p>
        </w:tc>
        <w:tc>
          <w:tcPr>
            <w:tcW w:w="1331" w:type="pct"/>
            <w:tcBorders>
              <w:tl2br w:val="nil"/>
              <w:tr2bl w:val="nil"/>
            </w:tcBorders>
            <w:vAlign w:val="center"/>
          </w:tcPr>
          <w:p w14:paraId="2C57BD2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r>
              <w:rPr>
                <w:spacing w:val="9"/>
                <w:highlight w:val="none"/>
              </w:rPr>
              <w:t>不涉及</w:t>
            </w:r>
          </w:p>
        </w:tc>
        <w:tc>
          <w:tcPr>
            <w:tcW w:w="661" w:type="pct"/>
            <w:tcBorders>
              <w:tl2br w:val="nil"/>
              <w:tr2bl w:val="nil"/>
            </w:tcBorders>
            <w:vAlign w:val="center"/>
          </w:tcPr>
          <w:p w14:paraId="7A40788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9"/>
                <w:highlight w:val="none"/>
              </w:rPr>
            </w:pPr>
            <w:r>
              <w:rPr>
                <w:spacing w:val="9"/>
                <w:highlight w:val="none"/>
              </w:rPr>
              <w:t>相符</w:t>
            </w:r>
          </w:p>
        </w:tc>
      </w:tr>
    </w:tbl>
    <w:p w14:paraId="606881D4">
      <w:pPr>
        <w:pStyle w:val="7"/>
        <w:bidi w:val="0"/>
        <w:rPr>
          <w:rFonts w:hint="default"/>
          <w:highlight w:val="none"/>
        </w:rPr>
      </w:pPr>
      <w:bookmarkStart w:id="26" w:name="_Toc29627"/>
      <w:r>
        <w:rPr>
          <w:rFonts w:hint="eastAsia"/>
          <w:highlight w:val="none"/>
          <w:lang w:val="en-US" w:eastAsia="zh-CN"/>
        </w:rPr>
        <w:t>1.4.3</w:t>
      </w:r>
      <w:r>
        <w:rPr>
          <w:rFonts w:hint="default"/>
          <w:highlight w:val="none"/>
        </w:rPr>
        <w:t>项目选址的合理性分析</w:t>
      </w:r>
      <w:bookmarkEnd w:id="26"/>
    </w:p>
    <w:p w14:paraId="7FDD9C3B">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本项目位于岳阳县荣家湾镇岳阳高新技术产业园区武广路3号创新创业基地C栋</w:t>
      </w:r>
      <w:r>
        <w:rPr>
          <w:rFonts w:hint="eastAsia" w:eastAsia="宋体" w:cs="Times New Roman"/>
          <w:color w:val="000000"/>
          <w:kern w:val="0"/>
          <w:sz w:val="24"/>
          <w:szCs w:val="24"/>
          <w:highlight w:val="none"/>
          <w:lang w:val="en-US" w:eastAsia="zh-CN" w:bidi="ar"/>
        </w:rPr>
        <w:t>（2F）</w:t>
      </w:r>
      <w:r>
        <w:rPr>
          <w:rFonts w:hint="eastAsia" w:ascii="Times New Roman" w:hAnsi="Times New Roman" w:eastAsia="宋体" w:cs="Times New Roman"/>
          <w:color w:val="000000"/>
          <w:kern w:val="0"/>
          <w:sz w:val="24"/>
          <w:szCs w:val="24"/>
          <w:highlight w:val="none"/>
          <w:lang w:val="en-US" w:eastAsia="zh-CN" w:bidi="ar"/>
        </w:rPr>
        <w:t>，北侧为恒源晟达新材料科技有限公司，西厂界靠武广路（距离为30米）和京广高速铁路（距离为60米），南侧为宝易通科技园，东侧为湖南全红湘芯科技有限公司。</w:t>
      </w:r>
      <w:r>
        <w:rPr>
          <w:rFonts w:hint="default" w:ascii="Times New Roman" w:hAnsi="Times New Roman" w:eastAsia="宋体" w:cs="Times New Roman"/>
          <w:color w:val="000000"/>
          <w:kern w:val="0"/>
          <w:sz w:val="24"/>
          <w:szCs w:val="24"/>
          <w:highlight w:val="none"/>
          <w:lang w:val="en-US" w:eastAsia="zh-CN" w:bidi="ar"/>
        </w:rPr>
        <w:t>本项目租赁</w:t>
      </w:r>
      <w:r>
        <w:rPr>
          <w:rFonts w:hint="eastAsia" w:eastAsia="宋体" w:cs="Times New Roman"/>
          <w:color w:val="000000"/>
          <w:kern w:val="0"/>
          <w:sz w:val="24"/>
          <w:szCs w:val="24"/>
          <w:highlight w:val="none"/>
          <w:lang w:val="en-US" w:eastAsia="zh-CN" w:bidi="ar"/>
        </w:rPr>
        <w:t>闲置的标准化</w:t>
      </w:r>
      <w:r>
        <w:rPr>
          <w:rFonts w:hint="default" w:ascii="Times New Roman" w:hAnsi="Times New Roman" w:eastAsia="宋体" w:cs="Times New Roman"/>
          <w:color w:val="000000"/>
          <w:kern w:val="0"/>
          <w:sz w:val="24"/>
          <w:szCs w:val="24"/>
          <w:highlight w:val="none"/>
          <w:lang w:val="en-US" w:eastAsia="zh-CN" w:bidi="ar"/>
        </w:rPr>
        <w:t>厂房，项目用地性质为</w:t>
      </w:r>
      <w:r>
        <w:rPr>
          <w:rFonts w:hint="eastAsia" w:ascii="Times New Roman" w:hAnsi="Times New Roman" w:eastAsia="宋体" w:cs="Times New Roman"/>
          <w:color w:val="000000"/>
          <w:kern w:val="0"/>
          <w:sz w:val="24"/>
          <w:szCs w:val="24"/>
          <w:highlight w:val="none"/>
          <w:lang w:val="en-US" w:eastAsia="zh-CN" w:bidi="ar"/>
        </w:rPr>
        <w:t>二类</w:t>
      </w:r>
      <w:r>
        <w:rPr>
          <w:rFonts w:hint="default" w:ascii="Times New Roman" w:hAnsi="Times New Roman" w:eastAsia="宋体" w:cs="Times New Roman"/>
          <w:color w:val="000000"/>
          <w:kern w:val="0"/>
          <w:sz w:val="24"/>
          <w:szCs w:val="24"/>
          <w:highlight w:val="none"/>
          <w:lang w:val="en-US" w:eastAsia="zh-CN" w:bidi="ar"/>
        </w:rPr>
        <w:t>工业用地</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且本项目厂区四周均为二类工业用地</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符合《湖南岳阳高新技术产业园区土地利用规划》要求且占地范围较小。</w:t>
      </w:r>
    </w:p>
    <w:p w14:paraId="2978E8B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本项目</w:t>
      </w:r>
      <w:r>
        <w:rPr>
          <w:rFonts w:hint="eastAsia" w:eastAsia="宋体" w:cs="Times New Roman"/>
          <w:color w:val="000000"/>
          <w:kern w:val="0"/>
          <w:sz w:val="24"/>
          <w:szCs w:val="24"/>
          <w:highlight w:val="none"/>
          <w:lang w:val="en-US" w:eastAsia="zh-CN" w:bidi="ar"/>
        </w:rPr>
        <w:t>于2025年3月</w:t>
      </w:r>
      <w:r>
        <w:rPr>
          <w:rFonts w:hint="eastAsia" w:ascii="Times New Roman" w:hAnsi="Times New Roman" w:eastAsia="宋体" w:cs="Times New Roman"/>
          <w:color w:val="000000"/>
          <w:kern w:val="0"/>
          <w:sz w:val="24"/>
          <w:szCs w:val="24"/>
          <w:highlight w:val="none"/>
          <w:lang w:val="en-US" w:eastAsia="zh-CN" w:bidi="ar"/>
        </w:rPr>
        <w:t>已经获得了入园审批手续备案表，符合园区入园条件（项目备案编号为</w:t>
      </w:r>
      <w:r>
        <w:rPr>
          <w:rFonts w:hint="default" w:ascii="Times New Roman" w:hAnsi="Times New Roman" w:eastAsia="宋体" w:cs="Times New Roman"/>
          <w:color w:val="000000"/>
          <w:kern w:val="0"/>
          <w:sz w:val="24"/>
          <w:szCs w:val="24"/>
          <w:highlight w:val="none"/>
          <w:lang w:val="en-US" w:eastAsia="zh-CN" w:bidi="ar"/>
        </w:rPr>
        <w:t>2503-430621-04-01-916967</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。本项目位于岳阳高新技术产业园内，不占用划定的生态红线区域，因此与湖南省生态保护红线区域保护规划相符</w:t>
      </w:r>
      <w:r>
        <w:rPr>
          <w:rFonts w:hint="eastAsia" w:ascii="Times New Roman" w:hAnsi="Times New Roman" w:eastAsia="宋体" w:cs="Times New Roman"/>
          <w:color w:val="000000"/>
          <w:kern w:val="0"/>
          <w:sz w:val="24"/>
          <w:szCs w:val="24"/>
          <w:highlight w:val="none"/>
          <w:lang w:val="en-US" w:eastAsia="zh-CN" w:bidi="ar"/>
        </w:rPr>
        <w:t>。</w:t>
      </w:r>
    </w:p>
    <w:p w14:paraId="6B87EC5F">
      <w:pPr>
        <w:ind w:firstLine="480" w:firstLineChars="200"/>
        <w:rPr>
          <w:rFonts w:hint="eastAsia"/>
          <w:spacing w:val="-2"/>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综上所述，本项目拟选厂址基本建设条件较好，符合城市总体规划、工业发展规划；建设及运行期均采取相应有效的环保措施，确保达标排放，对外环境（含敏感目标）影响较小。从环境保护角度分析，本项目选址基本可行。</w:t>
      </w:r>
    </w:p>
    <w:p w14:paraId="349C9D05">
      <w:pPr>
        <w:pStyle w:val="7"/>
        <w:bidi w:val="0"/>
        <w:rPr>
          <w:rFonts w:hint="default"/>
          <w:highlight w:val="none"/>
        </w:rPr>
      </w:pPr>
      <w:bookmarkStart w:id="27" w:name="_Toc13314"/>
      <w:r>
        <w:rPr>
          <w:rFonts w:hint="eastAsia"/>
          <w:highlight w:val="none"/>
          <w:lang w:val="en-US" w:eastAsia="zh-CN"/>
        </w:rPr>
        <w:t>1.4.4</w:t>
      </w:r>
      <w:r>
        <w:rPr>
          <w:rFonts w:hint="default"/>
          <w:highlight w:val="none"/>
        </w:rPr>
        <w:t>平面布置合理性分析</w:t>
      </w:r>
      <w:bookmarkEnd w:id="27"/>
    </w:p>
    <w:p w14:paraId="0B997C12">
      <w:pPr>
        <w:spacing w:before="1" w:line="360" w:lineRule="auto"/>
        <w:ind w:left="4" w:firstLine="481"/>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val="en-US" w:eastAsia="zh-CN"/>
        </w:rPr>
        <w:t>由平面布置图看，</w:t>
      </w:r>
      <w:r>
        <w:rPr>
          <w:rFonts w:ascii="宋体" w:hAnsi="宋体" w:eastAsia="宋体" w:cs="宋体"/>
          <w:spacing w:val="-2"/>
          <w:sz w:val="24"/>
          <w:szCs w:val="24"/>
          <w:highlight w:val="none"/>
        </w:rPr>
        <w:t>本项目</w:t>
      </w:r>
      <w:r>
        <w:rPr>
          <w:rFonts w:hint="eastAsia" w:ascii="宋体" w:hAnsi="宋体" w:eastAsia="宋体" w:cs="宋体"/>
          <w:spacing w:val="-2"/>
          <w:sz w:val="24"/>
          <w:szCs w:val="24"/>
          <w:highlight w:val="none"/>
          <w:lang w:val="en-US" w:eastAsia="zh-CN"/>
        </w:rPr>
        <w:t>租赁厂房为2层，1层</w:t>
      </w:r>
      <w:r>
        <w:rPr>
          <w:rFonts w:ascii="宋体" w:hAnsi="宋体" w:eastAsia="宋体" w:cs="宋体"/>
          <w:spacing w:val="-2"/>
          <w:sz w:val="24"/>
          <w:szCs w:val="24"/>
          <w:highlight w:val="none"/>
        </w:rPr>
        <w:t>主要</w:t>
      </w:r>
      <w:r>
        <w:rPr>
          <w:rFonts w:hint="eastAsia" w:ascii="宋体" w:hAnsi="宋体" w:eastAsia="宋体" w:cs="宋体"/>
          <w:spacing w:val="-2"/>
          <w:sz w:val="24"/>
          <w:szCs w:val="24"/>
          <w:highlight w:val="none"/>
        </w:rPr>
        <w:t>分为原料</w:t>
      </w:r>
      <w:r>
        <w:rPr>
          <w:rFonts w:hint="eastAsia" w:ascii="宋体" w:hAnsi="宋体" w:eastAsia="宋体" w:cs="宋体"/>
          <w:spacing w:val="-2"/>
          <w:sz w:val="24"/>
          <w:szCs w:val="24"/>
          <w:highlight w:val="none"/>
          <w:lang w:val="en-US" w:eastAsia="zh-CN"/>
        </w:rPr>
        <w:t>存放</w:t>
      </w:r>
      <w:r>
        <w:rPr>
          <w:rFonts w:hint="eastAsia" w:ascii="宋体" w:hAnsi="宋体" w:eastAsia="宋体" w:cs="宋体"/>
          <w:spacing w:val="-2"/>
          <w:sz w:val="24"/>
          <w:szCs w:val="24"/>
          <w:highlight w:val="none"/>
        </w:rPr>
        <w:t>区、成品</w:t>
      </w:r>
      <w:r>
        <w:rPr>
          <w:rFonts w:hint="eastAsia" w:ascii="宋体" w:hAnsi="宋体" w:eastAsia="宋体" w:cs="宋体"/>
          <w:spacing w:val="-2"/>
          <w:sz w:val="24"/>
          <w:szCs w:val="24"/>
          <w:highlight w:val="none"/>
          <w:lang w:val="en-US" w:eastAsia="zh-CN"/>
        </w:rPr>
        <w:t>存放</w:t>
      </w:r>
      <w:r>
        <w:rPr>
          <w:rFonts w:hint="eastAsia" w:ascii="宋体" w:hAnsi="宋体" w:eastAsia="宋体" w:cs="宋体"/>
          <w:spacing w:val="-2"/>
          <w:sz w:val="24"/>
          <w:szCs w:val="24"/>
          <w:highlight w:val="none"/>
        </w:rPr>
        <w:t>区、生活办公区及生产线</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冷库、热料盘存放区、一般固废暂存间、危险废物暂存间。</w:t>
      </w:r>
    </w:p>
    <w:p w14:paraId="2765459B">
      <w:pPr>
        <w:ind w:firstLine="480" w:firstLineChars="200"/>
        <w:rPr>
          <w:rFonts w:hint="eastAsia" w:ascii="Times New Roman" w:hAnsi="Times New Roman" w:eastAsia="宋体" w:cs="Times New Roman"/>
          <w:color w:val="000000"/>
          <w:kern w:val="0"/>
          <w:sz w:val="24"/>
          <w:szCs w:val="24"/>
          <w:highlight w:val="none"/>
          <w:lang w:val="en-US" w:eastAsia="zh-CN" w:bidi="ar"/>
        </w:rPr>
      </w:pPr>
      <w:r>
        <w:rPr>
          <w:rFonts w:hint="eastAsia" w:eastAsia="宋体" w:cs="Times New Roman"/>
          <w:color w:val="000000"/>
          <w:kern w:val="0"/>
          <w:sz w:val="24"/>
          <w:szCs w:val="24"/>
          <w:highlight w:val="none"/>
          <w:lang w:val="en-US" w:eastAsia="zh-CN" w:bidi="ar"/>
        </w:rPr>
        <w:t>1层</w:t>
      </w:r>
      <w:r>
        <w:rPr>
          <w:rFonts w:hint="eastAsia" w:ascii="Times New Roman" w:hAnsi="Times New Roman" w:eastAsia="宋体" w:cs="Times New Roman"/>
          <w:color w:val="000000"/>
          <w:kern w:val="0"/>
          <w:sz w:val="24"/>
          <w:szCs w:val="24"/>
          <w:highlight w:val="none"/>
          <w:lang w:val="en-US" w:eastAsia="zh-CN" w:bidi="ar"/>
        </w:rPr>
        <w:t>项目北侧西边为办公区，靠近平坡出入口；</w:t>
      </w:r>
      <w:r>
        <w:rPr>
          <w:rFonts w:hint="eastAsia" w:eastAsia="宋体" w:cs="Times New Roman"/>
          <w:color w:val="000000"/>
          <w:kern w:val="0"/>
          <w:sz w:val="24"/>
          <w:szCs w:val="24"/>
          <w:highlight w:val="none"/>
          <w:lang w:val="en-US" w:eastAsia="zh-CN" w:bidi="ar"/>
        </w:rPr>
        <w:t>1层</w:t>
      </w:r>
      <w:r>
        <w:rPr>
          <w:rFonts w:hint="eastAsia" w:ascii="Times New Roman" w:hAnsi="Times New Roman" w:eastAsia="宋体" w:cs="Times New Roman"/>
          <w:color w:val="000000"/>
          <w:kern w:val="0"/>
          <w:sz w:val="24"/>
          <w:szCs w:val="24"/>
          <w:highlight w:val="none"/>
          <w:lang w:val="en-US" w:eastAsia="zh-CN" w:bidi="ar"/>
        </w:rPr>
        <w:t>项目北侧东边为冷库1（存放间）、冷库2打粉间、热料盘存放区（靠近固体助剂生产车间），方便生产管理；原料存放区和成品存放区位于</w:t>
      </w:r>
      <w:r>
        <w:rPr>
          <w:rFonts w:hint="eastAsia" w:eastAsia="宋体" w:cs="Times New Roman"/>
          <w:color w:val="000000"/>
          <w:kern w:val="0"/>
          <w:sz w:val="24"/>
          <w:szCs w:val="24"/>
          <w:highlight w:val="none"/>
          <w:lang w:val="en-US" w:eastAsia="zh-CN" w:bidi="ar"/>
        </w:rPr>
        <w:t>1层</w:t>
      </w:r>
      <w:r>
        <w:rPr>
          <w:rFonts w:hint="eastAsia" w:ascii="Times New Roman" w:hAnsi="Times New Roman" w:eastAsia="宋体" w:cs="Times New Roman"/>
          <w:color w:val="000000"/>
          <w:kern w:val="0"/>
          <w:sz w:val="24"/>
          <w:szCs w:val="24"/>
          <w:highlight w:val="none"/>
          <w:lang w:val="en-US" w:eastAsia="zh-CN" w:bidi="ar"/>
        </w:rPr>
        <w:t>厂房中部。厨房设置在</w:t>
      </w:r>
      <w:r>
        <w:rPr>
          <w:rFonts w:hint="eastAsia" w:eastAsia="宋体" w:cs="Times New Roman"/>
          <w:color w:val="000000"/>
          <w:kern w:val="0"/>
          <w:sz w:val="24"/>
          <w:szCs w:val="24"/>
          <w:highlight w:val="none"/>
          <w:lang w:val="en-US" w:eastAsia="zh-CN" w:bidi="ar"/>
        </w:rPr>
        <w:t>1层</w:t>
      </w:r>
      <w:r>
        <w:rPr>
          <w:rFonts w:hint="eastAsia" w:ascii="Times New Roman" w:hAnsi="Times New Roman" w:eastAsia="宋体" w:cs="Times New Roman"/>
          <w:color w:val="000000"/>
          <w:kern w:val="0"/>
          <w:sz w:val="24"/>
          <w:szCs w:val="24"/>
          <w:highlight w:val="none"/>
          <w:lang w:val="en-US" w:eastAsia="zh-CN" w:bidi="ar"/>
        </w:rPr>
        <w:t>厂房南侧，与生产区相互独立，食堂开门朝南，靠近厂区南出入口。</w:t>
      </w:r>
      <w:r>
        <w:rPr>
          <w:rFonts w:hint="eastAsia" w:eastAsia="宋体" w:cs="Times New Roman"/>
          <w:color w:val="000000"/>
          <w:kern w:val="0"/>
          <w:sz w:val="24"/>
          <w:szCs w:val="24"/>
          <w:highlight w:val="none"/>
          <w:lang w:val="en-US" w:eastAsia="zh-CN" w:bidi="ar"/>
        </w:rPr>
        <w:t>各</w:t>
      </w:r>
      <w:r>
        <w:rPr>
          <w:rFonts w:hint="eastAsia" w:ascii="Times New Roman" w:hAnsi="Times New Roman" w:eastAsia="宋体" w:cs="Times New Roman"/>
          <w:color w:val="000000"/>
          <w:kern w:val="0"/>
          <w:sz w:val="24"/>
          <w:szCs w:val="24"/>
          <w:highlight w:val="none"/>
          <w:lang w:val="en-US" w:eastAsia="zh-CN" w:bidi="ar"/>
        </w:rPr>
        <w:t>生产线的生产车间相互独立布置，减少了相互干扰。</w:t>
      </w:r>
    </w:p>
    <w:p w14:paraId="7D30AB84">
      <w:pPr>
        <w:ind w:firstLine="480" w:firstLineChars="200"/>
        <w:rPr>
          <w:rFonts w:hint="default" w:ascii="Times New Roman" w:hAnsi="Times New Roman" w:eastAsia="宋体" w:cs="Times New Roman"/>
          <w:color w:val="000000"/>
          <w:kern w:val="0"/>
          <w:sz w:val="24"/>
          <w:szCs w:val="24"/>
          <w:highlight w:val="none"/>
          <w:lang w:val="en-US" w:eastAsia="zh-CN" w:bidi="ar"/>
        </w:rPr>
      </w:pPr>
      <w:r>
        <w:rPr>
          <w:rFonts w:hint="eastAsia" w:eastAsia="宋体" w:cs="Times New Roman"/>
          <w:color w:val="000000"/>
          <w:kern w:val="0"/>
          <w:sz w:val="24"/>
          <w:szCs w:val="24"/>
          <w:highlight w:val="none"/>
          <w:lang w:val="en-US" w:eastAsia="zh-CN" w:bidi="ar"/>
        </w:rPr>
        <w:t>实验室位于厂房2层。</w:t>
      </w:r>
    </w:p>
    <w:p w14:paraId="061FB7EA">
      <w:pPr>
        <w:ind w:firstLine="480" w:firstLineChars="200"/>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从厂区平面布置来看，平面布置考虑了</w:t>
      </w:r>
      <w:r>
        <w:rPr>
          <w:rFonts w:hint="eastAsia" w:ascii="Times New Roman" w:hAnsi="Times New Roman" w:eastAsia="宋体" w:cs="Times New Roman"/>
          <w:color w:val="000000"/>
          <w:kern w:val="0"/>
          <w:sz w:val="24"/>
          <w:szCs w:val="24"/>
          <w:highlight w:val="none"/>
          <w:lang w:val="en-US" w:eastAsia="zh-CN" w:bidi="ar"/>
        </w:rPr>
        <w:t>项目</w:t>
      </w:r>
      <w:r>
        <w:rPr>
          <w:rFonts w:hint="default" w:ascii="Times New Roman" w:hAnsi="Times New Roman" w:eastAsia="宋体" w:cs="Times New Roman"/>
          <w:color w:val="000000"/>
          <w:kern w:val="0"/>
          <w:sz w:val="24"/>
          <w:szCs w:val="24"/>
          <w:highlight w:val="none"/>
          <w:lang w:val="en-US" w:eastAsia="zh-CN" w:bidi="ar"/>
        </w:rPr>
        <w:t>生产的特点，总平面布局按生产性质、规模、产品工艺流程、交通运输及防火、防爆、卫生、环保等要求进行，工艺顺畅，各工序衔接紧凑，利于生产活动，而且将其活动对外界环境的影响降低到最低程度。从平面布局上看功能分区明确，人流货流通畅短捷</w:t>
      </w:r>
      <w:r>
        <w:rPr>
          <w:rFonts w:hint="eastAsia" w:ascii="Times New Roman" w:hAnsi="Times New Roman" w:eastAsia="宋体" w:cs="Times New Roman"/>
          <w:color w:val="000000"/>
          <w:kern w:val="0"/>
          <w:sz w:val="24"/>
          <w:szCs w:val="24"/>
          <w:highlight w:val="none"/>
          <w:lang w:val="en-US" w:eastAsia="zh-CN" w:bidi="ar"/>
        </w:rPr>
        <w:t>，材料产品运距短</w:t>
      </w:r>
      <w:r>
        <w:rPr>
          <w:rFonts w:hint="default" w:ascii="Times New Roman" w:hAnsi="Times New Roman" w:eastAsia="宋体" w:cs="Times New Roman"/>
          <w:color w:val="000000"/>
          <w:kern w:val="0"/>
          <w:sz w:val="24"/>
          <w:szCs w:val="24"/>
          <w:highlight w:val="none"/>
          <w:lang w:val="en-US" w:eastAsia="zh-CN" w:bidi="ar"/>
        </w:rPr>
        <w:t>；从环境影响上看，尽量减小了对外环境的影响，项目总平面布局比较合理。</w:t>
      </w:r>
    </w:p>
    <w:p w14:paraId="730CF04F">
      <w:pPr>
        <w:pStyle w:val="6"/>
        <w:bidi w:val="0"/>
        <w:rPr>
          <w:highlight w:val="none"/>
        </w:rPr>
      </w:pPr>
      <w:bookmarkStart w:id="28" w:name="_Toc11450"/>
      <w:r>
        <w:rPr>
          <w:highlight w:val="none"/>
        </w:rPr>
        <w:t>1.</w:t>
      </w:r>
      <w:r>
        <w:rPr>
          <w:rFonts w:hint="eastAsia"/>
          <w:highlight w:val="none"/>
          <w:lang w:val="en-US" w:eastAsia="zh-CN"/>
        </w:rPr>
        <w:t>5</w:t>
      </w:r>
      <w:r>
        <w:rPr>
          <w:highlight w:val="none"/>
        </w:rPr>
        <w:t xml:space="preserve"> 本项目主要关注的环境问题</w:t>
      </w:r>
      <w:bookmarkEnd w:id="28"/>
    </w:p>
    <w:p w14:paraId="5D7A278E">
      <w:pPr>
        <w:pStyle w:val="39"/>
        <w:spacing w:line="360" w:lineRule="auto"/>
        <w:rPr>
          <w:rStyle w:val="40"/>
          <w:rFonts w:hint="default" w:ascii="Times New Roman" w:hAnsi="Times New Roman" w:eastAsia="宋体" w:cs="Times New Roman"/>
          <w:color w:val="auto"/>
          <w:highlight w:val="none"/>
          <w:u w:val="none" w:color="auto"/>
          <w:lang w:eastAsia="zh-CN"/>
        </w:rPr>
      </w:pPr>
      <w:r>
        <w:rPr>
          <w:rStyle w:val="40"/>
          <w:rFonts w:hint="default" w:ascii="Times New Roman" w:hAnsi="Times New Roman" w:eastAsia="宋体" w:cs="Times New Roman"/>
          <w:color w:val="auto"/>
          <w:highlight w:val="none"/>
          <w:u w:val="none" w:color="auto"/>
        </w:rPr>
        <w:t>本次评价根据建设项目的特点，关注的主要环境问题及环境影响为</w:t>
      </w:r>
      <w:r>
        <w:rPr>
          <w:rStyle w:val="40"/>
          <w:rFonts w:hint="default" w:ascii="Times New Roman" w:hAnsi="Times New Roman" w:eastAsia="宋体" w:cs="Times New Roman"/>
          <w:color w:val="auto"/>
          <w:highlight w:val="none"/>
          <w:u w:val="none" w:color="auto"/>
          <w:lang w:eastAsia="zh-CN"/>
        </w:rPr>
        <w:t>：</w:t>
      </w:r>
    </w:p>
    <w:p w14:paraId="23B8BF62">
      <w:pPr>
        <w:pStyle w:val="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b/>
          <w:bCs/>
          <w:highlight w:val="none"/>
        </w:rPr>
      </w:pPr>
      <w:bookmarkStart w:id="29" w:name="_Toc4650"/>
      <w:bookmarkStart w:id="30" w:name="_Toc18024"/>
      <w:bookmarkStart w:id="31" w:name="_Toc25483"/>
      <w:bookmarkStart w:id="32" w:name="_Toc12146"/>
      <w:bookmarkStart w:id="33" w:name="_Toc4810"/>
      <w:bookmarkStart w:id="34" w:name="_Toc16361"/>
      <w:bookmarkStart w:id="35" w:name="_Toc22018"/>
      <w:r>
        <w:rPr>
          <w:rFonts w:hint="default"/>
          <w:b/>
          <w:bCs/>
          <w:highlight w:val="none"/>
        </w:rPr>
        <w:t>1．施工期</w:t>
      </w:r>
      <w:bookmarkEnd w:id="29"/>
      <w:bookmarkEnd w:id="30"/>
      <w:bookmarkEnd w:id="31"/>
      <w:bookmarkEnd w:id="32"/>
      <w:bookmarkEnd w:id="33"/>
      <w:bookmarkEnd w:id="34"/>
      <w:bookmarkEnd w:id="35"/>
    </w:p>
    <w:p w14:paraId="0590D12B">
      <w:pPr>
        <w:pStyle w:val="39"/>
        <w:spacing w:line="360" w:lineRule="auto"/>
        <w:rPr>
          <w:rStyle w:val="40"/>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t>项目实施在</w:t>
      </w:r>
      <w:r>
        <w:rPr>
          <w:rFonts w:hint="eastAsia" w:ascii="Times New Roman" w:hAnsi="Times New Roman" w:eastAsia="宋体" w:cs="Times New Roman"/>
          <w:color w:val="auto"/>
          <w:sz w:val="24"/>
          <w:szCs w:val="24"/>
          <w:highlight w:val="none"/>
          <w:u w:val="none" w:color="auto"/>
          <w:lang w:val="en-US" w:eastAsia="zh-CN"/>
        </w:rPr>
        <w:t>岳阳高新技术产业园现有标准厂房内</w:t>
      </w:r>
      <w:r>
        <w:rPr>
          <w:rFonts w:hint="default" w:ascii="Times New Roman" w:hAnsi="Times New Roman" w:eastAsia="宋体" w:cs="Times New Roman"/>
          <w:color w:val="auto"/>
          <w:sz w:val="24"/>
          <w:szCs w:val="24"/>
          <w:highlight w:val="none"/>
          <w:u w:val="none" w:color="auto"/>
        </w:rPr>
        <w:t>内实施建设、无新增用地</w:t>
      </w:r>
      <w:r>
        <w:rPr>
          <w:rFonts w:hint="default" w:ascii="Times New Roman" w:hAnsi="Times New Roman" w:eastAsia="宋体" w:cs="Times New Roman"/>
          <w:color w:val="auto"/>
          <w:sz w:val="24"/>
          <w:szCs w:val="24"/>
          <w:highlight w:val="none"/>
          <w:u w:val="none" w:color="auto"/>
          <w:lang w:eastAsia="zh-CN"/>
        </w:rPr>
        <w:t>、不新增厂房</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eastAsia="宋体" w:cs="Times New Roman"/>
          <w:color w:val="auto"/>
          <w:sz w:val="24"/>
          <w:szCs w:val="24"/>
          <w:highlight w:val="none"/>
          <w:u w:val="none" w:color="auto"/>
          <w:lang w:eastAsia="zh-CN"/>
        </w:rPr>
        <w:t>主要为新增</w:t>
      </w:r>
      <w:r>
        <w:rPr>
          <w:rFonts w:hint="default" w:ascii="Times New Roman" w:hAnsi="Times New Roman" w:eastAsia="宋体" w:cs="Times New Roman"/>
          <w:color w:val="auto"/>
          <w:sz w:val="24"/>
          <w:szCs w:val="24"/>
          <w:highlight w:val="none"/>
          <w:u w:val="none" w:color="auto"/>
        </w:rPr>
        <w:t>设备安装等产生施工扬尘、施工噪声、施工废水、固废对周边环境的影响，施工期带来的影响短暂，随着施工期结束而消失</w:t>
      </w:r>
      <w:r>
        <w:rPr>
          <w:rStyle w:val="40"/>
          <w:rFonts w:hint="default" w:ascii="Times New Roman" w:hAnsi="Times New Roman" w:eastAsia="宋体" w:cs="Times New Roman"/>
          <w:color w:val="auto"/>
          <w:highlight w:val="none"/>
          <w:u w:val="none" w:color="auto"/>
        </w:rPr>
        <w:t>。</w:t>
      </w:r>
    </w:p>
    <w:p w14:paraId="67852EB7">
      <w:pPr>
        <w:pStyle w:val="2"/>
        <w:keepNext w:val="0"/>
        <w:keepLines w:val="0"/>
        <w:pageBreakBefore w:val="0"/>
        <w:widowControl/>
        <w:kinsoku/>
        <w:wordWrap/>
        <w:overflowPunct/>
        <w:topLinePunct w:val="0"/>
        <w:autoSpaceDE/>
        <w:autoSpaceDN/>
        <w:bidi w:val="0"/>
        <w:adjustRightInd/>
        <w:snapToGrid w:val="0"/>
        <w:spacing w:before="0" w:after="0" w:line="360" w:lineRule="auto"/>
        <w:ind w:right="0"/>
        <w:textAlignment w:val="auto"/>
        <w:rPr>
          <w:rFonts w:hint="default" w:ascii="Times New Roman" w:hAnsi="Times New Roman" w:eastAsia="宋体" w:cs="Times New Roman"/>
          <w:b/>
          <w:bCs/>
          <w:highlight w:val="none"/>
        </w:rPr>
      </w:pPr>
      <w:bookmarkStart w:id="36" w:name="_Toc29865"/>
      <w:bookmarkStart w:id="37" w:name="_Toc31554"/>
      <w:bookmarkStart w:id="38" w:name="_Toc32471"/>
      <w:bookmarkStart w:id="39" w:name="_Toc27848"/>
      <w:bookmarkStart w:id="40" w:name="_Toc17012"/>
      <w:bookmarkStart w:id="41" w:name="_Toc11081"/>
      <w:bookmarkStart w:id="42" w:name="_Toc16606"/>
      <w:r>
        <w:rPr>
          <w:rFonts w:hint="default" w:ascii="Times New Roman" w:hAnsi="Times New Roman" w:eastAsia="宋体" w:cs="Times New Roman"/>
          <w:b/>
          <w:bCs/>
          <w:highlight w:val="none"/>
        </w:rPr>
        <w:t>2．运营期</w:t>
      </w:r>
      <w:bookmarkEnd w:id="36"/>
      <w:bookmarkEnd w:id="37"/>
      <w:bookmarkEnd w:id="38"/>
      <w:bookmarkEnd w:id="39"/>
      <w:bookmarkEnd w:id="40"/>
      <w:bookmarkEnd w:id="41"/>
      <w:bookmarkEnd w:id="42"/>
    </w:p>
    <w:p w14:paraId="78D64C07">
      <w:pPr>
        <w:pStyle w:val="39"/>
        <w:spacing w:line="360" w:lineRule="auto"/>
        <w:rPr>
          <w:rStyle w:val="40"/>
          <w:rFonts w:hint="default" w:ascii="Times New Roman" w:hAnsi="Times New Roman" w:eastAsia="宋体" w:cs="Times New Roman"/>
          <w:color w:val="auto"/>
          <w:highlight w:val="none"/>
          <w:u w:val="none" w:color="auto"/>
        </w:rPr>
      </w:pPr>
      <w:r>
        <w:rPr>
          <w:rStyle w:val="40"/>
          <w:rFonts w:hint="default" w:ascii="Times New Roman" w:hAnsi="Times New Roman" w:eastAsia="宋体" w:cs="Times New Roman"/>
          <w:color w:val="auto"/>
          <w:highlight w:val="none"/>
          <w:u w:val="none" w:color="auto"/>
        </w:rPr>
        <w:t>（1）</w:t>
      </w:r>
      <w:r>
        <w:rPr>
          <w:rFonts w:hint="default" w:ascii="Times New Roman" w:hAnsi="Times New Roman" w:eastAsia="宋体" w:cs="Times New Roman"/>
          <w:color w:val="auto"/>
          <w:sz w:val="24"/>
          <w:szCs w:val="24"/>
          <w:highlight w:val="none"/>
          <w:u w:val="none" w:color="auto"/>
        </w:rPr>
        <w:t>项目运行过程</w:t>
      </w:r>
      <w:r>
        <w:rPr>
          <w:rFonts w:hint="default" w:ascii="Times New Roman" w:hAnsi="Times New Roman" w:eastAsia="宋体" w:cs="Times New Roman"/>
          <w:color w:val="auto"/>
          <w:sz w:val="24"/>
          <w:szCs w:val="24"/>
          <w:highlight w:val="none"/>
          <w:u w:val="none" w:color="auto"/>
          <w:lang w:eastAsia="zh-CN"/>
        </w:rPr>
        <w:t>涉及</w:t>
      </w:r>
      <w:r>
        <w:rPr>
          <w:rFonts w:hint="default" w:ascii="Times New Roman" w:hAnsi="Times New Roman" w:eastAsia="宋体" w:cs="Times New Roman"/>
          <w:color w:val="auto"/>
          <w:sz w:val="24"/>
          <w:szCs w:val="24"/>
          <w:highlight w:val="none"/>
          <w:u w:val="none" w:color="auto"/>
        </w:rPr>
        <w:t>危险废物、工业固废产生及处置情况，危废暂存间、一般工业固废暂存间建设管理要求；重点关注项目的环境风险防范措施，事故状态下对区域地下水和土壤环境影响，以及项目环境风险水平是否可接受</w:t>
      </w:r>
      <w:r>
        <w:rPr>
          <w:rStyle w:val="40"/>
          <w:rFonts w:hint="default" w:ascii="Times New Roman" w:hAnsi="Times New Roman" w:eastAsia="宋体" w:cs="Times New Roman"/>
          <w:color w:val="auto"/>
          <w:highlight w:val="none"/>
          <w:u w:val="none" w:color="auto"/>
        </w:rPr>
        <w:t>；</w:t>
      </w:r>
    </w:p>
    <w:p w14:paraId="60F6B572">
      <w:pPr>
        <w:pStyle w:val="39"/>
        <w:spacing w:line="360" w:lineRule="auto"/>
        <w:rPr>
          <w:rStyle w:val="40"/>
          <w:rFonts w:hint="default" w:ascii="Times New Roman" w:hAnsi="Times New Roman" w:eastAsia="宋体" w:cs="Times New Roman"/>
          <w:color w:val="auto"/>
          <w:highlight w:val="none"/>
          <w:u w:val="none" w:color="auto"/>
        </w:rPr>
      </w:pPr>
      <w:r>
        <w:rPr>
          <w:rStyle w:val="40"/>
          <w:rFonts w:hint="default" w:ascii="Times New Roman" w:hAnsi="Times New Roman" w:eastAsia="宋体" w:cs="Times New Roman"/>
          <w:color w:val="auto"/>
          <w:highlight w:val="none"/>
          <w:u w:val="none" w:color="auto"/>
        </w:rPr>
        <w:t>（2）</w:t>
      </w:r>
      <w:r>
        <w:rPr>
          <w:rFonts w:hint="default" w:ascii="Times New Roman" w:hAnsi="Times New Roman" w:eastAsia="宋体" w:cs="Times New Roman"/>
          <w:color w:val="auto"/>
          <w:sz w:val="24"/>
          <w:szCs w:val="24"/>
          <w:highlight w:val="none"/>
          <w:u w:val="none" w:color="auto"/>
        </w:rPr>
        <w:t>本项目为环境污染型项目，本次评价主要针对项目营运期的大气环境影响、地表水环境影响</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地下水环境影响、噪声环境影响、土壤环境以及固体废物的环境影响，潜在环境风险等方面进行分析评价</w:t>
      </w:r>
      <w:r>
        <w:rPr>
          <w:rStyle w:val="40"/>
          <w:rFonts w:hint="default" w:ascii="Times New Roman" w:hAnsi="Times New Roman" w:eastAsia="宋体" w:cs="Times New Roman"/>
          <w:color w:val="auto"/>
          <w:highlight w:val="none"/>
          <w:u w:val="none" w:color="auto"/>
        </w:rPr>
        <w:t>；</w:t>
      </w:r>
    </w:p>
    <w:p w14:paraId="43021608">
      <w:pPr>
        <w:pStyle w:val="39"/>
        <w:spacing w:line="360" w:lineRule="auto"/>
        <w:rPr>
          <w:rFonts w:hint="default" w:ascii="宋体" w:hAnsi="宋体" w:eastAsia="宋体" w:cs="宋体"/>
          <w:sz w:val="24"/>
          <w:szCs w:val="24"/>
          <w:highlight w:val="none"/>
          <w:lang w:val="en-US" w:eastAsia="zh-CN"/>
        </w:rPr>
      </w:pPr>
      <w:r>
        <w:rPr>
          <w:rStyle w:val="40"/>
          <w:rFonts w:hint="default" w:ascii="Times New Roman" w:hAnsi="Times New Roman" w:eastAsia="宋体" w:cs="Times New Roman"/>
          <w:color w:val="auto"/>
          <w:highlight w:val="none"/>
          <w:u w:val="none" w:color="auto"/>
        </w:rPr>
        <w:t>（3）项目在运营期间排放的废水可能对污水处理厂的影响，本次评价将重点对项目产生的废水预处理达标的可行性及依托污水处理厂的可行性进行分析。</w:t>
      </w:r>
    </w:p>
    <w:p w14:paraId="028B9679">
      <w:pPr>
        <w:pStyle w:val="6"/>
        <w:bidi w:val="0"/>
        <w:rPr>
          <w:rFonts w:hint="default" w:ascii="宋体" w:hAnsi="宋体" w:eastAsia="宋体" w:cs="宋体"/>
          <w:sz w:val="24"/>
          <w:szCs w:val="24"/>
          <w:highlight w:val="none"/>
          <w:lang w:val="en-US" w:eastAsia="zh-CN"/>
        </w:rPr>
      </w:pPr>
      <w:bookmarkStart w:id="43" w:name="_Toc25304"/>
      <w:r>
        <w:rPr>
          <w:rFonts w:ascii="Times New Roman" w:hAnsi="Times New Roman" w:eastAsia="宋体" w:cs="Times New Roman"/>
          <w:highlight w:val="none"/>
        </w:rPr>
        <w:t>1.</w:t>
      </w:r>
      <w:r>
        <w:rPr>
          <w:rFonts w:hint="eastAsia" w:cs="Times New Roman"/>
          <w:highlight w:val="none"/>
          <w:lang w:val="en-US" w:eastAsia="zh-CN"/>
        </w:rPr>
        <w:t>6</w:t>
      </w:r>
      <w:r>
        <w:rPr>
          <w:rFonts w:ascii="Times New Roman" w:hAnsi="Times New Roman" w:eastAsia="宋体" w:cs="Times New Roman"/>
          <w:highlight w:val="none"/>
        </w:rPr>
        <w:t xml:space="preserve">   环境影响评价</w:t>
      </w:r>
      <w:r>
        <w:rPr>
          <w:rFonts w:hint="eastAsia" w:ascii="Times New Roman" w:hAnsi="Times New Roman" w:eastAsia="宋体" w:cs="Times New Roman"/>
          <w:highlight w:val="none"/>
          <w:lang w:val="en-US" w:eastAsia="zh-CN"/>
        </w:rPr>
        <w:t>的主要</w:t>
      </w:r>
      <w:r>
        <w:rPr>
          <w:rFonts w:ascii="Times New Roman" w:hAnsi="Times New Roman" w:eastAsia="宋体" w:cs="Times New Roman"/>
          <w:highlight w:val="none"/>
        </w:rPr>
        <w:t>结论</w:t>
      </w:r>
      <w:bookmarkEnd w:id="43"/>
    </w:p>
    <w:p w14:paraId="6B67ED30">
      <w:pPr>
        <w:pStyle w:val="39"/>
        <w:spacing w:line="360" w:lineRule="auto"/>
        <w:rPr>
          <w:rFonts w:hint="default" w:ascii="Times New Roman" w:hAnsi="Times New Roman" w:eastAsia="宋体" w:cs="Times New Roman"/>
          <w:color w:val="auto"/>
          <w:sz w:val="24"/>
          <w:szCs w:val="24"/>
          <w:highlight w:val="none"/>
          <w:u w:val="none" w:color="auto"/>
          <w:lang w:val="en-US" w:eastAsia="zh-CN"/>
        </w:rPr>
        <w:sectPr>
          <w:footerReference r:id="rId8" w:type="default"/>
          <w:pgSz w:w="11905" w:h="16838"/>
          <w:pgMar w:top="1440" w:right="1803" w:bottom="1440" w:left="1803" w:header="0" w:footer="1542" w:gutter="0"/>
          <w:pgBorders>
            <w:top w:val="none" w:sz="0" w:space="0"/>
            <w:left w:val="none" w:sz="0" w:space="0"/>
            <w:bottom w:val="none" w:sz="0" w:space="0"/>
            <w:right w:val="none" w:sz="0" w:space="0"/>
          </w:pgBorders>
          <w:pgNumType w:fmt="decimal" w:start="1"/>
          <w:cols w:space="0" w:num="1"/>
          <w:rtlGutter w:val="0"/>
          <w:docGrid w:linePitch="0" w:charSpace="0"/>
        </w:sectPr>
      </w:pPr>
      <w:bookmarkStart w:id="44" w:name="_Toc488833057"/>
      <w:r>
        <w:rPr>
          <w:rFonts w:hint="eastAsia" w:ascii="Times New Roman" w:hAnsi="Times New Roman" w:eastAsia="宋体" w:cs="Times New Roman"/>
          <w:color w:val="auto"/>
          <w:sz w:val="24"/>
          <w:szCs w:val="24"/>
          <w:highlight w:val="none"/>
          <w:u w:val="none" w:color="auto"/>
          <w:lang w:val="en-US" w:eastAsia="zh-CN"/>
        </w:rPr>
        <w:t>本项目位于</w:t>
      </w:r>
      <w:r>
        <w:rPr>
          <w:rFonts w:hint="default" w:ascii="Times New Roman" w:hAnsi="Times New Roman" w:eastAsia="宋体" w:cs="Times New Roman"/>
          <w:color w:val="auto"/>
          <w:sz w:val="24"/>
          <w:szCs w:val="24"/>
          <w:highlight w:val="none"/>
          <w:u w:val="none" w:color="auto"/>
          <w:lang w:val="en-US" w:eastAsia="zh-CN"/>
        </w:rPr>
        <w:t>岳阳县荣家湾镇岳阳高新技术产业园区武广路3号创新创业基地C栋</w:t>
      </w:r>
      <w:r>
        <w:rPr>
          <w:rFonts w:hint="eastAsia" w:ascii="Times New Roman" w:hAnsi="Times New Roman" w:eastAsia="宋体" w:cs="Times New Roman"/>
          <w:color w:val="auto"/>
          <w:sz w:val="24"/>
          <w:szCs w:val="24"/>
          <w:highlight w:val="none"/>
          <w:u w:val="none" w:color="auto"/>
          <w:lang w:val="en-US" w:eastAsia="zh-CN"/>
        </w:rPr>
        <w:t>（2F）。厂址选择可行；项目符合区域规划要求；产品符合国家产业政策；采取的污染治理措施可行可靠，可有效实现污染物达标排放；污染物总量控制符合要求；周围居民支持本项目的建设。因此，从环境角度而言，本项目是可行的。</w:t>
      </w:r>
    </w:p>
    <w:p w14:paraId="01647C5C">
      <w:pPr>
        <w:pStyle w:val="5"/>
        <w:pageBreakBefore w:val="0"/>
        <w:widowControl w:val="0"/>
        <w:kinsoku/>
        <w:wordWrap/>
        <w:overflowPunct/>
        <w:topLinePunct w:val="0"/>
        <w:autoSpaceDE/>
        <w:autoSpaceDN/>
        <w:bidi w:val="0"/>
        <w:adjustRightInd/>
        <w:snapToGrid/>
        <w:spacing w:before="0" w:beforeLines="100" w:after="0" w:afterLines="100" w:afterAutospacing="0"/>
        <w:textAlignment w:val="auto"/>
        <w:rPr>
          <w:rFonts w:ascii="Times New Roman" w:hAnsi="Times New Roman" w:eastAsia="宋体" w:cs="宋体"/>
          <w:highlight w:val="none"/>
        </w:rPr>
      </w:pPr>
      <w:bookmarkStart w:id="45" w:name="_Toc14559"/>
      <w:r>
        <w:rPr>
          <w:rFonts w:ascii="Times New Roman" w:hAnsi="Times New Roman" w:eastAsia="宋体" w:cs="宋体"/>
          <w:highlight w:val="none"/>
        </w:rPr>
        <w:t>2、总则</w:t>
      </w:r>
      <w:bookmarkEnd w:id="44"/>
      <w:bookmarkEnd w:id="45"/>
    </w:p>
    <w:p w14:paraId="0C075C32">
      <w:pPr>
        <w:pStyle w:val="6"/>
        <w:pageBreakBefore w:val="0"/>
        <w:widowControl w:val="0"/>
        <w:kinsoku/>
        <w:wordWrap/>
        <w:overflowPunct/>
        <w:topLinePunct w:val="0"/>
        <w:autoSpaceDE/>
        <w:autoSpaceDN/>
        <w:bidi w:val="0"/>
        <w:adjustRightInd/>
        <w:snapToGrid/>
        <w:spacing w:before="0" w:beforeLines="100" w:after="0" w:afterLines="100" w:afterAutospacing="0"/>
        <w:textAlignment w:val="auto"/>
        <w:rPr>
          <w:rFonts w:ascii="Times New Roman" w:hAnsi="Times New Roman" w:eastAsia="宋体" w:cs="Times New Roman"/>
          <w:highlight w:val="none"/>
        </w:rPr>
      </w:pPr>
      <w:bookmarkStart w:id="46" w:name="_Toc488833058"/>
      <w:bookmarkStart w:id="47" w:name="_Toc532"/>
      <w:r>
        <w:rPr>
          <w:rFonts w:ascii="Times New Roman" w:hAnsi="Times New Roman" w:eastAsia="宋体" w:cs="Times New Roman"/>
          <w:highlight w:val="none"/>
        </w:rPr>
        <w:t>2.</w:t>
      </w:r>
      <w:r>
        <w:rPr>
          <w:rFonts w:hint="eastAsia" w:ascii="Times New Roman" w:hAnsi="Times New Roman" w:eastAsia="宋体" w:cs="Times New Roman"/>
          <w:highlight w:val="none"/>
          <w:lang w:val="en-US" w:eastAsia="zh-CN"/>
        </w:rPr>
        <w:t xml:space="preserve">1 </w:t>
      </w:r>
      <w:r>
        <w:rPr>
          <w:rFonts w:ascii="Times New Roman" w:hAnsi="Times New Roman" w:eastAsia="宋体" w:cs="Times New Roman"/>
          <w:highlight w:val="none"/>
        </w:rPr>
        <w:t>编制依据</w:t>
      </w:r>
      <w:bookmarkEnd w:id="46"/>
      <w:bookmarkEnd w:id="47"/>
    </w:p>
    <w:p w14:paraId="65364B9A">
      <w:pPr>
        <w:pStyle w:val="7"/>
        <w:pageBreakBefore w:val="0"/>
        <w:widowControl w:val="0"/>
        <w:kinsoku/>
        <w:wordWrap/>
        <w:overflowPunct/>
        <w:topLinePunct w:val="0"/>
        <w:autoSpaceDE/>
        <w:autoSpaceDN/>
        <w:bidi w:val="0"/>
        <w:adjustRightInd/>
        <w:snapToGrid/>
        <w:spacing w:before="0" w:beforeLines="100" w:after="0" w:afterLines="100" w:afterAutospacing="0"/>
        <w:textAlignment w:val="auto"/>
        <w:rPr>
          <w:rFonts w:hint="eastAsia"/>
          <w:highlight w:val="none"/>
          <w:lang w:val="en-US" w:eastAsia="zh-CN"/>
        </w:rPr>
      </w:pPr>
      <w:bookmarkStart w:id="48" w:name="_Toc26441"/>
      <w:r>
        <w:rPr>
          <w:highlight w:val="none"/>
          <w:lang w:val="en-US" w:eastAsia="zh-CN"/>
        </w:rPr>
        <w:t>2.1.1</w:t>
      </w:r>
      <w:r>
        <w:rPr>
          <w:rFonts w:hint="eastAsia"/>
          <w:highlight w:val="none"/>
          <w:lang w:val="en-US" w:eastAsia="zh-CN"/>
        </w:rPr>
        <w:t xml:space="preserve"> </w:t>
      </w:r>
      <w:r>
        <w:rPr>
          <w:highlight w:val="none"/>
          <w:lang w:val="en-US" w:eastAsia="zh-CN"/>
        </w:rPr>
        <w:t>相关法律</w:t>
      </w:r>
      <w:r>
        <w:rPr>
          <w:rFonts w:hint="eastAsia"/>
          <w:highlight w:val="none"/>
          <w:lang w:val="en-US" w:eastAsia="zh-CN"/>
        </w:rPr>
        <w:t>和法规</w:t>
      </w:r>
      <w:bookmarkEnd w:id="48"/>
    </w:p>
    <w:p w14:paraId="41DC64C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（1）《中华人民共和国环境保护法》，2014 年 4 月 24 日修订，2015 年 1 月 1 日起实施；</w:t>
      </w:r>
    </w:p>
    <w:p w14:paraId="7A2F7FB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（2）《中华人民共和国环境影响评价法》，2018 年 12 月 29 日修订实施；</w:t>
      </w:r>
    </w:p>
    <w:p w14:paraId="1FBC8ED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（3）《中华人民共和国水污染防治法》，2017 年 6 月 27 日修订，2018 年 1 月 1 日起实施；</w:t>
      </w:r>
    </w:p>
    <w:p w14:paraId="7763BDD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（4）《中华人民共和国大气污染防治法》，2018 年 10 月26 日修订实施；</w:t>
      </w:r>
    </w:p>
    <w:p w14:paraId="0C7046D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（5）《中华人民共和国固体废物污染环境防治法》，2020 年9 月 1 日实施；</w:t>
      </w:r>
    </w:p>
    <w:p w14:paraId="630DE24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（6）《中华人民共和国噪声污染防治法》，2022 年 6 月 5 日起实施；</w:t>
      </w:r>
    </w:p>
    <w:p w14:paraId="095E7B7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（7）《中华人民共和国土壤污染防治法》，2019 年 1 月 1  日起施行；</w:t>
      </w:r>
    </w:p>
    <w:p w14:paraId="35EEB99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（8）《建设项目环境保护管理条例》</w:t>
      </w:r>
      <w:r>
        <w:rPr>
          <w:rFonts w:hint="eastAsia" w:ascii="Times New Roman" w:hAnsi="Times New Roman" w:eastAsia="宋体" w:cs="Times New Roman"/>
          <w:snapToGrid w:val="0"/>
          <w:color w:val="000000"/>
          <w:kern w:val="0"/>
          <w:sz w:val="24"/>
          <w:szCs w:val="24"/>
          <w:highlight w:val="none"/>
          <w:lang w:eastAsia="zh-CN"/>
        </w:rPr>
        <w:t>，</w:t>
      </w:r>
      <w:r>
        <w:rPr>
          <w:rFonts w:hint="default" w:ascii="Times New Roman" w:hAnsi="Times New Roman" w:eastAsia="宋体" w:cs="Times New Roman"/>
          <w:snapToGrid w:val="0"/>
          <w:color w:val="000000"/>
          <w:kern w:val="0"/>
          <w:sz w:val="24"/>
          <w:szCs w:val="24"/>
          <w:highlight w:val="none"/>
          <w:lang w:eastAsia="en-US"/>
        </w:rPr>
        <w:t>（国务院令第 682 号），2017 年 8月 1 日修订，2017 年 10 月1日起实施；</w:t>
      </w:r>
    </w:p>
    <w:p w14:paraId="6EA07D3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（9）《建设项目环境影响评价分类管理名录》（2021 年版），2021 年 1 月 1 日起实施；</w:t>
      </w:r>
    </w:p>
    <w:p w14:paraId="0B20432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（10）《环境影响评价公众参与办法》（生态环境部第 4  号令），2019 年 1 月 1 日公布实施；</w:t>
      </w:r>
    </w:p>
    <w:p w14:paraId="78E000B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（11）《关于进一步加强环境影响评价管理防范环境风险的通知》（环发[2012]77 号）；</w:t>
      </w:r>
    </w:p>
    <w:p w14:paraId="6E9FFF6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（12） 《关于切实加强风险防范严格环境影响评价管理的通知》 （环发 [2012]98 号）；</w:t>
      </w:r>
    </w:p>
    <w:p w14:paraId="454FBC5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（13）《产业结构调整指导目录（20</w:t>
      </w:r>
      <w:r>
        <w:rPr>
          <w:rFonts w:hint="eastAsia" w:ascii="Times New Roman" w:hAnsi="Times New Roman" w:eastAsia="宋体" w:cs="Times New Roman"/>
          <w:snapToGrid w:val="0"/>
          <w:color w:val="000000"/>
          <w:kern w:val="0"/>
          <w:sz w:val="24"/>
          <w:szCs w:val="24"/>
          <w:highlight w:val="none"/>
          <w:lang w:val="en-US" w:eastAsia="zh-CN"/>
        </w:rPr>
        <w:t>24</w:t>
      </w:r>
      <w:r>
        <w:rPr>
          <w:rFonts w:hint="default" w:ascii="Times New Roman" w:hAnsi="Times New Roman" w:eastAsia="宋体" w:cs="Times New Roman"/>
          <w:snapToGrid w:val="0"/>
          <w:color w:val="000000"/>
          <w:kern w:val="0"/>
          <w:sz w:val="24"/>
          <w:szCs w:val="24"/>
          <w:highlight w:val="none"/>
          <w:lang w:eastAsia="en-US"/>
        </w:rPr>
        <w:t xml:space="preserve">  年本）》，2024年2月1日起施行；</w:t>
      </w:r>
    </w:p>
    <w:p w14:paraId="6A58BDA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（14）《危险废物污染防治技术政策》（环发[2001]199  号），2001 年 12 月 17  日；</w:t>
      </w:r>
    </w:p>
    <w:p w14:paraId="44AD231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（15）《国家危险废物名录》（202</w:t>
      </w:r>
      <w:r>
        <w:rPr>
          <w:rFonts w:hint="eastAsia" w:ascii="Times New Roman" w:hAnsi="Times New Roman" w:eastAsia="宋体" w:cs="Times New Roman"/>
          <w:snapToGrid w:val="0"/>
          <w:color w:val="000000"/>
          <w:kern w:val="0"/>
          <w:sz w:val="24"/>
          <w:szCs w:val="24"/>
          <w:highlight w:val="none"/>
          <w:lang w:val="en-US" w:eastAsia="zh-CN"/>
        </w:rPr>
        <w:t>5</w:t>
      </w:r>
      <w:r>
        <w:rPr>
          <w:rFonts w:hint="default" w:ascii="Times New Roman" w:hAnsi="Times New Roman" w:eastAsia="宋体" w:cs="Times New Roman"/>
          <w:snapToGrid w:val="0"/>
          <w:color w:val="000000"/>
          <w:kern w:val="0"/>
          <w:sz w:val="24"/>
          <w:szCs w:val="24"/>
          <w:highlight w:val="none"/>
          <w:lang w:eastAsia="en-US"/>
        </w:rPr>
        <w:t xml:space="preserve"> 年版）2025年1月1日起施行</w:t>
      </w:r>
      <w:r>
        <w:rPr>
          <w:rFonts w:hint="eastAsia" w:ascii="Times New Roman" w:hAnsi="Times New Roman" w:eastAsia="宋体" w:cs="Times New Roman"/>
          <w:snapToGrid w:val="0"/>
          <w:color w:val="000000"/>
          <w:kern w:val="0"/>
          <w:sz w:val="24"/>
          <w:szCs w:val="24"/>
          <w:highlight w:val="none"/>
          <w:lang w:eastAsia="zh-CN"/>
        </w:rPr>
        <w:t>，</w:t>
      </w:r>
      <w:r>
        <w:rPr>
          <w:rFonts w:hint="default" w:ascii="Times New Roman" w:hAnsi="Times New Roman" w:eastAsia="宋体" w:cs="Times New Roman"/>
          <w:snapToGrid w:val="0"/>
          <w:color w:val="000000"/>
          <w:kern w:val="0"/>
          <w:sz w:val="24"/>
          <w:szCs w:val="24"/>
          <w:highlight w:val="none"/>
          <w:lang w:eastAsia="en-US"/>
        </w:rPr>
        <w:t>；</w:t>
      </w:r>
    </w:p>
    <w:p w14:paraId="376EF1A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（16）《关于发布&lt;建设项目危险废物环境影响评价指南&gt; 的公告》（环境保护部公告 2017 年第 43 号），2017 年 8 月 29  日；</w:t>
      </w:r>
    </w:p>
    <w:p w14:paraId="6D57A0C7">
      <w:pPr>
        <w:keepNext w:val="0"/>
        <w:keepLines w:val="0"/>
        <w:pageBreakBefore w:val="0"/>
        <w:tabs>
          <w:tab w:val="left" w:pos="2583"/>
        </w:tabs>
        <w:wordWrap/>
        <w:overflowPunct/>
        <w:topLinePunct w:val="0"/>
        <w:bidi w:val="0"/>
        <w:ind w:firstLine="480" w:firstLineChars="200"/>
        <w:jc w:val="left"/>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（17）《危险化学品安全管理条例》（国务院第 591  号令），2011 年 3 月 2 日起施行；</w:t>
      </w:r>
    </w:p>
    <w:p w14:paraId="3CF5F62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（18）《关于发布实施〈限制用地项目目录（2012 年本）〉和〈禁止用地 项目目录（2012 年本）〉的通知》（国土资发[2012]98 号）；</w:t>
      </w:r>
    </w:p>
    <w:p w14:paraId="7594641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（19）《关于加强环境保护重点工作的意见》（国发[2011]35 号）；</w:t>
      </w:r>
    </w:p>
    <w:p w14:paraId="7FCA5B4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（20）《关于进一步加强工业节水工作的意见》（工信部节[2010]218 号）；</w:t>
      </w:r>
    </w:p>
    <w:p w14:paraId="0E02EEE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（21</w:t>
      </w:r>
      <w:r>
        <w:rPr>
          <w:rFonts w:hint="eastAsia" w:ascii="Times New Roman" w:hAnsi="Times New Roman" w:eastAsia="宋体" w:cs="Times New Roman"/>
          <w:snapToGrid w:val="0"/>
          <w:color w:val="000000"/>
          <w:kern w:val="0"/>
          <w:sz w:val="24"/>
          <w:szCs w:val="24"/>
          <w:highlight w:val="none"/>
          <w:lang w:eastAsia="zh-CN"/>
        </w:rPr>
        <w:t>）</w:t>
      </w:r>
      <w:r>
        <w:rPr>
          <w:rFonts w:hint="default" w:ascii="Times New Roman" w:hAnsi="Times New Roman" w:eastAsia="宋体" w:cs="Times New Roman"/>
          <w:snapToGrid w:val="0"/>
          <w:color w:val="000000"/>
          <w:kern w:val="0"/>
          <w:sz w:val="24"/>
          <w:szCs w:val="24"/>
          <w:highlight w:val="none"/>
          <w:lang w:eastAsia="en-US"/>
        </w:rPr>
        <w:t>《关于进一步加强环境保护信息公开工作的通知》（环办[2012]134号</w:t>
      </w:r>
      <w:r>
        <w:rPr>
          <w:rFonts w:hint="eastAsia" w:ascii="Times New Roman" w:hAnsi="Times New Roman" w:eastAsia="宋体" w:cs="Times New Roman"/>
          <w:snapToGrid w:val="0"/>
          <w:color w:val="000000"/>
          <w:kern w:val="0"/>
          <w:sz w:val="24"/>
          <w:szCs w:val="24"/>
          <w:highlight w:val="none"/>
          <w:lang w:eastAsia="zh-CN"/>
        </w:rPr>
        <w:t>）</w:t>
      </w:r>
      <w:r>
        <w:rPr>
          <w:rFonts w:hint="default" w:ascii="Times New Roman" w:hAnsi="Times New Roman" w:eastAsia="宋体" w:cs="Times New Roman"/>
          <w:snapToGrid w:val="0"/>
          <w:color w:val="000000"/>
          <w:kern w:val="0"/>
          <w:sz w:val="24"/>
          <w:szCs w:val="24"/>
          <w:highlight w:val="none"/>
          <w:lang w:eastAsia="en-US"/>
        </w:rPr>
        <w:t>；</w:t>
      </w:r>
    </w:p>
    <w:p w14:paraId="46A2FDD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（22）《关于发布〈危险废物污染防治技术政策〉的通知》（环发[2001]199号）；</w:t>
      </w:r>
    </w:p>
    <w:p w14:paraId="68FB912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（23）《国务院关于印发大气污染防治行动计划的通知》（国发[2013]37 号）；</w:t>
      </w:r>
    </w:p>
    <w:p w14:paraId="1FC9007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（24）《国务院关于印发水污染防治行动计划的通知》（国发[2015]17号）；</w:t>
      </w:r>
    </w:p>
    <w:p w14:paraId="6CB3600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（25）《国务院关于印发土壤污染防治行动计划的通知》（国发[2016]31号</w:t>
      </w:r>
      <w:r>
        <w:rPr>
          <w:rFonts w:hint="eastAsia" w:ascii="Times New Roman" w:hAnsi="Times New Roman" w:eastAsia="宋体" w:cs="Times New Roman"/>
          <w:snapToGrid w:val="0"/>
          <w:color w:val="000000"/>
          <w:kern w:val="0"/>
          <w:sz w:val="24"/>
          <w:szCs w:val="24"/>
          <w:highlight w:val="none"/>
          <w:lang w:eastAsia="zh-CN"/>
        </w:rPr>
        <w:t>）</w:t>
      </w:r>
      <w:r>
        <w:rPr>
          <w:rFonts w:hint="default" w:ascii="Times New Roman" w:hAnsi="Times New Roman" w:eastAsia="宋体" w:cs="Times New Roman"/>
          <w:snapToGrid w:val="0"/>
          <w:color w:val="000000"/>
          <w:kern w:val="0"/>
          <w:sz w:val="24"/>
          <w:szCs w:val="24"/>
          <w:highlight w:val="none"/>
          <w:lang w:eastAsia="en-US"/>
        </w:rPr>
        <w:t>；</w:t>
      </w:r>
    </w:p>
    <w:p w14:paraId="0060D0F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（26） 《国务院关于印发打赢蓝天保卫战三年行动计划的通知》 （国发[2018]22 号）；</w:t>
      </w:r>
    </w:p>
    <w:p w14:paraId="361FEC7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（27）《关于以改善环境质量为核心加强环境影响评价管理的通知》（环环 评[2016]150 号），2016 年 10 月 26  日起施行；</w:t>
      </w:r>
    </w:p>
    <w:p w14:paraId="7F41C55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（28）《国务院办公厅关于印发控制污染物排放许可制实施方案的通知》（国 办发[2016]81 号），2016 年 11 月 10  日起施行；</w:t>
      </w:r>
    </w:p>
    <w:p w14:paraId="04F36CF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（29）《排污许可管理条例》（中华人民共和国国务院令第 736 号），2021 年 3 月 1 日起施行；</w:t>
      </w:r>
    </w:p>
    <w:p w14:paraId="39F8CFA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（30）《长江经济带生态环境保护规划》（环规财[2017]88 号）；</w:t>
      </w:r>
    </w:p>
    <w:p w14:paraId="2C5983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（31）《关于印发&lt;长江保护修复攻坚战行动计划&gt; 的通知》（环水体[2018]181号）；</w:t>
      </w:r>
    </w:p>
    <w:p w14:paraId="376759A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（32）《长江经济带发展负面清单指南（试行）》；</w:t>
      </w:r>
    </w:p>
    <w:p w14:paraId="3D9EA03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（33）《关于做好环境影响评价制度与排污许可制衔接相关工作的通知》（环 办环评[2017]84 号）；</w:t>
      </w:r>
    </w:p>
    <w:p w14:paraId="26DEBEF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（34）《中华人民共和国长江保护法》(2020 年 12 月 26  日第十三届全国人 民代表大会常务委员会第二十四次会议通过， 自 2021 年 3 月 1  日起施行)  ；</w:t>
      </w:r>
    </w:p>
    <w:p w14:paraId="64D6AF8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（35）《关于印发&lt;“十四五”环境影响评价与排污许可工作实施方案&gt; 的通知》（环环评〔2022〕26 号）；</w:t>
      </w:r>
    </w:p>
    <w:p w14:paraId="78DF97A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snapToGrid w:val="0"/>
          <w:color w:val="000000"/>
          <w:kern w:val="0"/>
          <w:sz w:val="24"/>
          <w:szCs w:val="24"/>
          <w:highlight w:val="none"/>
          <w:lang w:eastAsia="en-US"/>
        </w:rPr>
      </w:pPr>
      <w:r>
        <w:rPr>
          <w:rFonts w:hint="default" w:ascii="Times New Roman" w:hAnsi="Times New Roman" w:eastAsia="宋体" w:cs="Times New Roman"/>
          <w:snapToGrid w:val="0"/>
          <w:color w:val="000000"/>
          <w:kern w:val="0"/>
          <w:sz w:val="24"/>
          <w:szCs w:val="24"/>
          <w:highlight w:val="none"/>
          <w:lang w:eastAsia="en-US"/>
        </w:rPr>
        <w:t>（3</w:t>
      </w:r>
      <w:r>
        <w:rPr>
          <w:rFonts w:hint="eastAsia" w:ascii="Times New Roman" w:hAnsi="Times New Roman" w:eastAsia="宋体" w:cs="Times New Roman"/>
          <w:snapToGrid w:val="0"/>
          <w:color w:val="000000"/>
          <w:kern w:val="0"/>
          <w:sz w:val="24"/>
          <w:szCs w:val="24"/>
          <w:highlight w:val="none"/>
          <w:lang w:val="en-US" w:eastAsia="zh-CN"/>
        </w:rPr>
        <w:t>6</w:t>
      </w:r>
      <w:r>
        <w:rPr>
          <w:rFonts w:hint="default" w:ascii="Times New Roman" w:hAnsi="Times New Roman" w:eastAsia="宋体" w:cs="Times New Roman"/>
          <w:snapToGrid w:val="0"/>
          <w:color w:val="000000"/>
          <w:kern w:val="0"/>
          <w:sz w:val="24"/>
          <w:szCs w:val="24"/>
          <w:highlight w:val="none"/>
          <w:lang w:eastAsia="en-US"/>
        </w:rPr>
        <w:t>）《关于印发&lt;深入打好长江保护修复攻坚战行动方案&gt; 的通知》（环水 体〔2022〕55 号；</w:t>
      </w:r>
    </w:p>
    <w:p w14:paraId="3249323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eastAsia" w:ascii="Times New Roman" w:hAnsi="Times New Roman" w:eastAsia="黑体" w:cs="Times New Roman"/>
          <w:color w:val="auto"/>
          <w:sz w:val="28"/>
          <w:szCs w:val="28"/>
          <w:highlight w:val="none"/>
        </w:rPr>
      </w:pPr>
      <w:r>
        <w:rPr>
          <w:rFonts w:hint="default" w:ascii="Times New Roman" w:hAnsi="Times New Roman" w:eastAsia="宋体" w:cs="Times New Roman"/>
          <w:snapToGrid w:val="0"/>
          <w:color w:val="000000"/>
          <w:kern w:val="0"/>
          <w:sz w:val="24"/>
          <w:szCs w:val="24"/>
          <w:highlight w:val="none"/>
          <w:lang w:eastAsia="en-US"/>
        </w:rPr>
        <w:t>（3</w:t>
      </w:r>
      <w:r>
        <w:rPr>
          <w:rFonts w:hint="eastAsia" w:ascii="Times New Roman" w:hAnsi="Times New Roman" w:eastAsia="宋体" w:cs="Times New Roman"/>
          <w:snapToGrid w:val="0"/>
          <w:color w:val="000000"/>
          <w:kern w:val="0"/>
          <w:sz w:val="24"/>
          <w:szCs w:val="24"/>
          <w:highlight w:val="none"/>
          <w:lang w:val="en-US" w:eastAsia="zh-CN"/>
        </w:rPr>
        <w:t>7</w:t>
      </w:r>
      <w:r>
        <w:rPr>
          <w:rFonts w:hint="default" w:ascii="Times New Roman" w:hAnsi="Times New Roman" w:eastAsia="宋体" w:cs="Times New Roman"/>
          <w:snapToGrid w:val="0"/>
          <w:color w:val="000000"/>
          <w:kern w:val="0"/>
          <w:sz w:val="24"/>
          <w:szCs w:val="24"/>
          <w:highlight w:val="none"/>
          <w:lang w:eastAsia="en-US"/>
        </w:rPr>
        <w:t>）《危险废物贮存污染控制标准》GB18597-2023</w:t>
      </w:r>
      <w:r>
        <w:rPr>
          <w:rFonts w:ascii="宋体" w:hAnsi="宋体" w:eastAsia="宋体" w:cs="宋体"/>
          <w:spacing w:val="-1"/>
          <w:sz w:val="24"/>
          <w:szCs w:val="24"/>
          <w:highlight w:val="none"/>
        </w:rPr>
        <w:t>。</w:t>
      </w:r>
    </w:p>
    <w:p w14:paraId="56EE3B6B">
      <w:pPr>
        <w:pStyle w:val="7"/>
        <w:bidi w:val="0"/>
        <w:rPr>
          <w:rFonts w:ascii="Times New Roman" w:hAnsi="Times New Roman" w:eastAsia="宋体" w:cs="Times New Roman"/>
          <w:highlight w:val="none"/>
          <w:lang w:val="en-US" w:eastAsia="zh-CN"/>
        </w:rPr>
      </w:pPr>
      <w:bookmarkStart w:id="49" w:name="_Toc19738"/>
      <w:r>
        <w:rPr>
          <w:rFonts w:ascii="Times New Roman" w:hAnsi="Times New Roman" w:eastAsia="宋体" w:cs="Times New Roman"/>
          <w:highlight w:val="none"/>
          <w:lang w:val="en-US" w:eastAsia="zh-CN"/>
        </w:rPr>
        <w:t>2.1.2 地方性法律法规、政策性文件</w:t>
      </w:r>
      <w:bookmarkEnd w:id="49"/>
    </w:p>
    <w:p w14:paraId="2F625F04">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1</w:t>
      </w:r>
      <w:r>
        <w:rPr>
          <w:rFonts w:ascii="宋体" w:hAnsi="宋体" w:eastAsia="宋体" w:cs="宋体"/>
          <w:spacing w:val="-1"/>
          <w:sz w:val="24"/>
          <w:szCs w:val="24"/>
          <w:highlight w:val="none"/>
        </w:rPr>
        <w:t>）《湖南省主要水系地表水环境功能区划》（</w:t>
      </w:r>
      <w:r>
        <w:rPr>
          <w:rFonts w:ascii="Times New Roman" w:hAnsi="Times New Roman" w:eastAsia="Times New Roman" w:cs="Times New Roman"/>
          <w:spacing w:val="-1"/>
          <w:sz w:val="24"/>
          <w:szCs w:val="24"/>
          <w:highlight w:val="none"/>
        </w:rPr>
        <w:t>DB43/023-2005</w:t>
      </w:r>
      <w:r>
        <w:rPr>
          <w:rFonts w:ascii="宋体" w:hAnsi="宋体" w:eastAsia="宋体" w:cs="宋体"/>
          <w:spacing w:val="5"/>
          <w:sz w:val="24"/>
          <w:szCs w:val="24"/>
          <w:highlight w:val="none"/>
        </w:rPr>
        <w:t>）；</w:t>
      </w:r>
    </w:p>
    <w:p w14:paraId="6B4D1701">
      <w:pPr>
        <w:keepNext w:val="0"/>
        <w:keepLines w:val="0"/>
        <w:pageBreakBefore w:val="0"/>
        <w:widowControl w:val="0"/>
        <w:kinsoku/>
        <w:wordWrap/>
        <w:overflowPunct/>
        <w:topLinePunct w:val="0"/>
        <w:autoSpaceDE/>
        <w:autoSpaceDN/>
        <w:bidi w:val="0"/>
        <w:adjustRightInd/>
        <w:snapToGrid/>
        <w:spacing w:line="360" w:lineRule="auto"/>
        <w:ind w:left="0" w:right="0" w:firstLine="485"/>
        <w:jc w:val="both"/>
        <w:textAlignment w:val="auto"/>
        <w:rPr>
          <w:rFonts w:ascii="宋体" w:hAnsi="宋体" w:eastAsia="宋体" w:cs="宋体"/>
          <w:sz w:val="24"/>
          <w:szCs w:val="24"/>
          <w:highlight w:val="none"/>
        </w:rPr>
      </w:pPr>
      <w:r>
        <w:rPr>
          <w:rFonts w:ascii="宋体" w:hAnsi="宋体" w:eastAsia="宋体" w:cs="宋体"/>
          <w:spacing w:val="2"/>
          <w:sz w:val="24"/>
          <w:szCs w:val="24"/>
          <w:highlight w:val="none"/>
        </w:rPr>
        <w:t>（</w:t>
      </w:r>
      <w:r>
        <w:rPr>
          <w:rFonts w:ascii="Times New Roman" w:hAnsi="Times New Roman" w:eastAsia="Times New Roman" w:cs="Times New Roman"/>
          <w:spacing w:val="2"/>
          <w:sz w:val="24"/>
          <w:szCs w:val="24"/>
          <w:highlight w:val="none"/>
        </w:rPr>
        <w:t>2</w:t>
      </w:r>
      <w:r>
        <w:rPr>
          <w:rFonts w:ascii="宋体" w:hAnsi="宋体" w:eastAsia="宋体" w:cs="宋体"/>
          <w:spacing w:val="2"/>
          <w:sz w:val="24"/>
          <w:szCs w:val="24"/>
          <w:highlight w:val="none"/>
        </w:rPr>
        <w:t>）《湖南省建设项目环境保护管理办法》（湖南省人</w:t>
      </w:r>
      <w:r>
        <w:rPr>
          <w:rFonts w:ascii="宋体" w:hAnsi="宋体" w:eastAsia="宋体" w:cs="宋体"/>
          <w:spacing w:val="1"/>
          <w:sz w:val="24"/>
          <w:szCs w:val="24"/>
          <w:highlight w:val="none"/>
        </w:rPr>
        <w:t>民政府令（第</w:t>
      </w:r>
      <w:r>
        <w:rPr>
          <w:rFonts w:ascii="宋体" w:hAnsi="宋体" w:eastAsia="宋体" w:cs="宋体"/>
          <w:spacing w:val="-50"/>
          <w:sz w:val="24"/>
          <w:szCs w:val="24"/>
          <w:highlight w:val="none"/>
        </w:rPr>
        <w:t xml:space="preserve"> </w:t>
      </w:r>
      <w:r>
        <w:rPr>
          <w:rFonts w:ascii="Times New Roman" w:hAnsi="Times New Roman" w:eastAsia="Times New Roman" w:cs="Times New Roman"/>
          <w:spacing w:val="1"/>
          <w:sz w:val="24"/>
          <w:szCs w:val="24"/>
          <w:highlight w:val="none"/>
        </w:rPr>
        <w:t>215</w:t>
      </w:r>
      <w:r>
        <w:rPr>
          <w:rFonts w:ascii="Times New Roman" w:hAnsi="Times New Roman" w:eastAsia="Times New Roman" w:cs="Times New Roman"/>
          <w:sz w:val="24"/>
          <w:szCs w:val="24"/>
          <w:highlight w:val="none"/>
        </w:rPr>
        <w:t xml:space="preserve"> </w:t>
      </w:r>
      <w:r>
        <w:rPr>
          <w:rFonts w:ascii="宋体" w:hAnsi="宋体" w:eastAsia="宋体" w:cs="宋体"/>
          <w:spacing w:val="-16"/>
          <w:sz w:val="24"/>
          <w:szCs w:val="24"/>
          <w:highlight w:val="none"/>
        </w:rPr>
        <w:t>号</w:t>
      </w:r>
      <w:r>
        <w:rPr>
          <w:rFonts w:ascii="宋体" w:hAnsi="宋体" w:eastAsia="宋体" w:cs="宋体"/>
          <w:sz w:val="24"/>
          <w:szCs w:val="24"/>
          <w:highlight w:val="none"/>
        </w:rPr>
        <w:t>））；</w:t>
      </w:r>
    </w:p>
    <w:p w14:paraId="54518EF6">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3</w:t>
      </w:r>
      <w:r>
        <w:rPr>
          <w:rFonts w:ascii="宋体" w:hAnsi="宋体" w:eastAsia="宋体" w:cs="宋体"/>
          <w:spacing w:val="-1"/>
          <w:sz w:val="24"/>
          <w:szCs w:val="24"/>
          <w:highlight w:val="none"/>
        </w:rPr>
        <w:t>）《湖南省环境保护条例（</w:t>
      </w:r>
      <w:r>
        <w:rPr>
          <w:rFonts w:ascii="Times New Roman" w:hAnsi="Times New Roman" w:eastAsia="Times New Roman" w:cs="Times New Roman"/>
          <w:spacing w:val="-1"/>
          <w:sz w:val="24"/>
          <w:szCs w:val="24"/>
          <w:highlight w:val="none"/>
        </w:rPr>
        <w:t xml:space="preserve">2019 </w:t>
      </w:r>
      <w:r>
        <w:rPr>
          <w:rFonts w:ascii="宋体" w:hAnsi="宋体" w:eastAsia="宋体" w:cs="宋体"/>
          <w:spacing w:val="-1"/>
          <w:sz w:val="24"/>
          <w:szCs w:val="24"/>
          <w:highlight w:val="none"/>
        </w:rPr>
        <w:t>年修正）》湖南省人大常委会；</w:t>
      </w:r>
    </w:p>
    <w:p w14:paraId="7CE60636">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4</w:t>
      </w:r>
      <w:r>
        <w:rPr>
          <w:rFonts w:ascii="宋体" w:hAnsi="宋体" w:eastAsia="宋体" w:cs="宋体"/>
          <w:spacing w:val="-1"/>
          <w:sz w:val="24"/>
          <w:szCs w:val="24"/>
          <w:highlight w:val="none"/>
        </w:rPr>
        <w:t>）《湖南省</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十四五</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生态环境保护规划》，湘政办发〔</w:t>
      </w:r>
      <w:r>
        <w:rPr>
          <w:rFonts w:ascii="Times New Roman" w:hAnsi="Times New Roman" w:eastAsia="Times New Roman" w:cs="Times New Roman"/>
          <w:spacing w:val="-1"/>
          <w:sz w:val="24"/>
          <w:szCs w:val="24"/>
          <w:highlight w:val="none"/>
        </w:rPr>
        <w:t>2021</w:t>
      </w: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61</w:t>
      </w:r>
      <w:r>
        <w:rPr>
          <w:rFonts w:ascii="Times New Roman" w:hAnsi="Times New Roman" w:eastAsia="Times New Roman" w:cs="Times New Roman"/>
          <w:spacing w:val="15"/>
          <w:sz w:val="24"/>
          <w:szCs w:val="24"/>
          <w:highlight w:val="none"/>
        </w:rPr>
        <w:t xml:space="preserve"> </w:t>
      </w:r>
      <w:r>
        <w:rPr>
          <w:rFonts w:ascii="宋体" w:hAnsi="宋体" w:eastAsia="宋体" w:cs="宋体"/>
          <w:spacing w:val="-1"/>
          <w:sz w:val="24"/>
          <w:szCs w:val="24"/>
          <w:highlight w:val="none"/>
        </w:rPr>
        <w:t>号；</w:t>
      </w:r>
    </w:p>
    <w:p w14:paraId="12A8D407">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宋体" w:hAnsi="宋体" w:eastAsia="宋体" w:cs="宋体"/>
          <w:sz w:val="24"/>
          <w:szCs w:val="24"/>
          <w:highlight w:val="none"/>
        </w:rPr>
        <w:t>（</w:t>
      </w:r>
      <w:r>
        <w:rPr>
          <w:rFonts w:ascii="Times New Roman" w:hAnsi="Times New Roman" w:eastAsia="Times New Roman" w:cs="Times New Roman"/>
          <w:sz w:val="24"/>
          <w:szCs w:val="24"/>
          <w:highlight w:val="none"/>
        </w:rPr>
        <w:t>5</w:t>
      </w:r>
      <w:r>
        <w:rPr>
          <w:rFonts w:ascii="宋体" w:hAnsi="宋体" w:eastAsia="宋体" w:cs="宋体"/>
          <w:sz w:val="24"/>
          <w:szCs w:val="24"/>
          <w:highlight w:val="none"/>
        </w:rPr>
        <w:t>）《湖南省人民政府关于印发《湖南省生态保护红线的通知》（湘政发</w:t>
      </w:r>
    </w:p>
    <w:p w14:paraId="1F31B4E1">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Times New Roman" w:hAnsi="Times New Roman" w:eastAsia="Times New Roman" w:cs="Times New Roman"/>
          <w:spacing w:val="-4"/>
          <w:sz w:val="24"/>
          <w:szCs w:val="24"/>
          <w:highlight w:val="none"/>
        </w:rPr>
        <w:t>[2018]20</w:t>
      </w:r>
      <w:r>
        <w:rPr>
          <w:rFonts w:ascii="Times New Roman" w:hAnsi="Times New Roman" w:eastAsia="Times New Roman" w:cs="Times New Roman"/>
          <w:spacing w:val="6"/>
          <w:sz w:val="24"/>
          <w:szCs w:val="24"/>
          <w:highlight w:val="none"/>
        </w:rPr>
        <w:t xml:space="preserve">  </w:t>
      </w:r>
      <w:r>
        <w:rPr>
          <w:rFonts w:ascii="宋体" w:hAnsi="宋体" w:eastAsia="宋体" w:cs="宋体"/>
          <w:spacing w:val="-4"/>
          <w:sz w:val="24"/>
          <w:szCs w:val="24"/>
          <w:highlight w:val="none"/>
        </w:rPr>
        <w:t>号</w:t>
      </w:r>
      <w:r>
        <w:rPr>
          <w:rFonts w:ascii="宋体" w:hAnsi="宋体" w:eastAsia="宋体" w:cs="宋体"/>
          <w:sz w:val="24"/>
          <w:szCs w:val="24"/>
          <w:highlight w:val="none"/>
        </w:rPr>
        <w:t>）；</w:t>
      </w:r>
    </w:p>
    <w:p w14:paraId="003B4472">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宋体" w:hAnsi="宋体" w:eastAsia="宋体" w:cs="宋体"/>
          <w:spacing w:val="-3"/>
          <w:sz w:val="24"/>
          <w:szCs w:val="24"/>
          <w:highlight w:val="none"/>
        </w:rPr>
        <w:t>（</w:t>
      </w:r>
      <w:r>
        <w:rPr>
          <w:rFonts w:ascii="Times New Roman" w:hAnsi="Times New Roman" w:eastAsia="Times New Roman" w:cs="Times New Roman"/>
          <w:spacing w:val="-3"/>
          <w:sz w:val="24"/>
          <w:szCs w:val="24"/>
          <w:highlight w:val="none"/>
        </w:rPr>
        <w:t>6</w:t>
      </w:r>
      <w:r>
        <w:rPr>
          <w:rFonts w:ascii="宋体" w:hAnsi="宋体" w:eastAsia="宋体" w:cs="宋体"/>
          <w:spacing w:val="-3"/>
          <w:sz w:val="24"/>
          <w:szCs w:val="24"/>
          <w:highlight w:val="none"/>
        </w:rPr>
        <w:t>）《湖南省用水定额》（</w:t>
      </w:r>
      <w:r>
        <w:rPr>
          <w:rFonts w:ascii="Times New Roman" w:hAnsi="Times New Roman" w:eastAsia="Times New Roman" w:cs="Times New Roman"/>
          <w:spacing w:val="-3"/>
          <w:sz w:val="24"/>
          <w:szCs w:val="24"/>
          <w:highlight w:val="none"/>
        </w:rPr>
        <w:t>DB43/T388-2020</w:t>
      </w:r>
      <w:r>
        <w:rPr>
          <w:rFonts w:ascii="Times New Roman" w:hAnsi="Times New Roman" w:eastAsia="Times New Roman" w:cs="Times New Roman"/>
          <w:spacing w:val="-31"/>
          <w:sz w:val="24"/>
          <w:szCs w:val="24"/>
          <w:highlight w:val="none"/>
        </w:rPr>
        <w:t xml:space="preserve"> </w:t>
      </w:r>
      <w:r>
        <w:rPr>
          <w:rFonts w:ascii="宋体" w:hAnsi="宋体" w:eastAsia="宋体" w:cs="宋体"/>
          <w:spacing w:val="-3"/>
          <w:sz w:val="24"/>
          <w:szCs w:val="24"/>
          <w:highlight w:val="none"/>
        </w:rPr>
        <w:t>，</w:t>
      </w:r>
      <w:r>
        <w:rPr>
          <w:rFonts w:ascii="Times New Roman" w:hAnsi="Times New Roman" w:eastAsia="Times New Roman" w:cs="Times New Roman"/>
          <w:spacing w:val="-3"/>
          <w:sz w:val="24"/>
          <w:szCs w:val="24"/>
          <w:highlight w:val="none"/>
        </w:rPr>
        <w:t>2</w:t>
      </w:r>
      <w:r>
        <w:rPr>
          <w:rFonts w:ascii="Times New Roman" w:hAnsi="Times New Roman" w:eastAsia="Times New Roman" w:cs="Times New Roman"/>
          <w:spacing w:val="-4"/>
          <w:sz w:val="24"/>
          <w:szCs w:val="24"/>
          <w:highlight w:val="none"/>
        </w:rPr>
        <w:t xml:space="preserve">020 </w:t>
      </w:r>
      <w:r>
        <w:rPr>
          <w:rFonts w:ascii="宋体" w:hAnsi="宋体" w:eastAsia="宋体" w:cs="宋体"/>
          <w:spacing w:val="-4"/>
          <w:sz w:val="24"/>
          <w:szCs w:val="24"/>
          <w:highlight w:val="none"/>
        </w:rPr>
        <w:t>年</w:t>
      </w:r>
      <w:r>
        <w:rPr>
          <w:rFonts w:ascii="宋体" w:hAnsi="宋体" w:eastAsia="宋体" w:cs="宋体"/>
          <w:spacing w:val="-49"/>
          <w:sz w:val="24"/>
          <w:szCs w:val="24"/>
          <w:highlight w:val="none"/>
        </w:rPr>
        <w:t xml:space="preserve"> </w:t>
      </w:r>
      <w:r>
        <w:rPr>
          <w:rFonts w:ascii="Times New Roman" w:hAnsi="Times New Roman" w:eastAsia="Times New Roman" w:cs="Times New Roman"/>
          <w:spacing w:val="-4"/>
          <w:sz w:val="24"/>
          <w:szCs w:val="24"/>
          <w:highlight w:val="none"/>
        </w:rPr>
        <w:t>5</w:t>
      </w:r>
      <w:r>
        <w:rPr>
          <w:rFonts w:ascii="Times New Roman" w:hAnsi="Times New Roman" w:eastAsia="Times New Roman" w:cs="Times New Roman"/>
          <w:spacing w:val="15"/>
          <w:w w:val="101"/>
          <w:sz w:val="24"/>
          <w:szCs w:val="24"/>
          <w:highlight w:val="none"/>
        </w:rPr>
        <w:t xml:space="preserve"> </w:t>
      </w:r>
      <w:r>
        <w:rPr>
          <w:rFonts w:ascii="宋体" w:hAnsi="宋体" w:eastAsia="宋体" w:cs="宋体"/>
          <w:spacing w:val="-4"/>
          <w:sz w:val="24"/>
          <w:szCs w:val="24"/>
          <w:highlight w:val="none"/>
        </w:rPr>
        <w:t>月</w:t>
      </w:r>
      <w:r>
        <w:rPr>
          <w:rFonts w:ascii="宋体" w:hAnsi="宋体" w:eastAsia="宋体" w:cs="宋体"/>
          <w:spacing w:val="-55"/>
          <w:sz w:val="24"/>
          <w:szCs w:val="24"/>
          <w:highlight w:val="none"/>
        </w:rPr>
        <w:t xml:space="preserve"> </w:t>
      </w:r>
      <w:r>
        <w:rPr>
          <w:rFonts w:ascii="Times New Roman" w:hAnsi="Times New Roman" w:eastAsia="Times New Roman" w:cs="Times New Roman"/>
          <w:spacing w:val="-4"/>
          <w:sz w:val="24"/>
          <w:szCs w:val="24"/>
          <w:highlight w:val="none"/>
        </w:rPr>
        <w:t xml:space="preserve">27  </w:t>
      </w:r>
      <w:r>
        <w:rPr>
          <w:rFonts w:ascii="宋体" w:hAnsi="宋体" w:eastAsia="宋体" w:cs="宋体"/>
          <w:spacing w:val="-4"/>
          <w:sz w:val="24"/>
          <w:szCs w:val="24"/>
          <w:highlight w:val="none"/>
        </w:rPr>
        <w:t>日实施</w:t>
      </w:r>
      <w:r>
        <w:rPr>
          <w:rFonts w:ascii="宋体" w:hAnsi="宋体" w:eastAsia="宋体" w:cs="宋体"/>
          <w:sz w:val="24"/>
          <w:szCs w:val="24"/>
          <w:highlight w:val="none"/>
        </w:rPr>
        <w:t>）；</w:t>
      </w:r>
    </w:p>
    <w:p w14:paraId="300D5596">
      <w:pPr>
        <w:keepNext w:val="0"/>
        <w:keepLines w:val="0"/>
        <w:pageBreakBefore w:val="0"/>
        <w:widowControl w:val="0"/>
        <w:kinsoku/>
        <w:wordWrap/>
        <w:overflowPunct/>
        <w:topLinePunct w:val="0"/>
        <w:autoSpaceDE/>
        <w:autoSpaceDN/>
        <w:bidi w:val="0"/>
        <w:adjustRightInd/>
        <w:snapToGrid/>
        <w:spacing w:line="360" w:lineRule="auto"/>
        <w:ind w:left="0" w:right="0" w:firstLine="491"/>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7</w:t>
      </w:r>
      <w:r>
        <w:rPr>
          <w:rFonts w:ascii="宋体" w:hAnsi="宋体" w:eastAsia="宋体" w:cs="宋体"/>
          <w:spacing w:val="-1"/>
          <w:sz w:val="24"/>
          <w:szCs w:val="24"/>
          <w:highlight w:val="none"/>
        </w:rPr>
        <w:t>）</w:t>
      </w:r>
      <w:r>
        <w:rPr>
          <w:rFonts w:ascii="宋体" w:hAnsi="宋体" w:eastAsia="宋体" w:cs="宋体"/>
          <w:spacing w:val="-50"/>
          <w:sz w:val="24"/>
          <w:szCs w:val="24"/>
          <w:highlight w:val="none"/>
        </w:rPr>
        <w:t xml:space="preserve"> </w:t>
      </w:r>
      <w:r>
        <w:rPr>
          <w:rFonts w:hint="eastAsia" w:ascii="宋体" w:hAnsi="宋体" w:eastAsia="宋体" w:cs="宋体"/>
          <w:spacing w:val="-1"/>
          <w:sz w:val="24"/>
          <w:szCs w:val="24"/>
          <w:highlight w:val="none"/>
        </w:rPr>
        <w:t>《湖南省生态环境分区管控总体管控要求暨省级以上产业园区生态环境准入清单》湘环函[2024]26号</w:t>
      </w:r>
      <w:r>
        <w:rPr>
          <w:rFonts w:ascii="宋体" w:hAnsi="宋体" w:eastAsia="宋体" w:cs="宋体"/>
          <w:spacing w:val="-2"/>
          <w:sz w:val="24"/>
          <w:szCs w:val="24"/>
          <w:highlight w:val="none"/>
        </w:rPr>
        <w:t>；</w:t>
      </w:r>
    </w:p>
    <w:p w14:paraId="519E39FF">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宋体" w:hAnsi="宋体" w:eastAsia="宋体" w:cs="宋体"/>
          <w:spacing w:val="-2"/>
          <w:sz w:val="24"/>
          <w:szCs w:val="24"/>
          <w:highlight w:val="none"/>
        </w:rPr>
        <w:t>（</w:t>
      </w:r>
      <w:r>
        <w:rPr>
          <w:rFonts w:ascii="Times New Roman" w:hAnsi="Times New Roman" w:eastAsia="Times New Roman" w:cs="Times New Roman"/>
          <w:spacing w:val="-2"/>
          <w:sz w:val="24"/>
          <w:szCs w:val="24"/>
          <w:highlight w:val="none"/>
        </w:rPr>
        <w:t>8</w:t>
      </w:r>
      <w:r>
        <w:rPr>
          <w:rFonts w:ascii="宋体" w:hAnsi="宋体" w:eastAsia="宋体" w:cs="宋体"/>
          <w:spacing w:val="-2"/>
          <w:sz w:val="24"/>
          <w:szCs w:val="24"/>
          <w:highlight w:val="none"/>
        </w:rPr>
        <w:t>）《湖南省长江经济带发展负面清单实施细则（试行，</w:t>
      </w:r>
      <w:r>
        <w:rPr>
          <w:rFonts w:ascii="Times New Roman" w:hAnsi="Times New Roman" w:eastAsia="Times New Roman" w:cs="Times New Roman"/>
          <w:spacing w:val="-2"/>
          <w:sz w:val="24"/>
          <w:szCs w:val="24"/>
          <w:highlight w:val="none"/>
        </w:rPr>
        <w:t>2</w:t>
      </w:r>
      <w:r>
        <w:rPr>
          <w:rFonts w:ascii="Times New Roman" w:hAnsi="Times New Roman" w:eastAsia="Times New Roman" w:cs="Times New Roman"/>
          <w:spacing w:val="-3"/>
          <w:sz w:val="24"/>
          <w:szCs w:val="24"/>
          <w:highlight w:val="none"/>
        </w:rPr>
        <w:t xml:space="preserve">022  </w:t>
      </w:r>
      <w:r>
        <w:rPr>
          <w:rFonts w:ascii="宋体" w:hAnsi="宋体" w:eastAsia="宋体" w:cs="宋体"/>
          <w:spacing w:val="-3"/>
          <w:sz w:val="24"/>
          <w:szCs w:val="24"/>
          <w:highlight w:val="none"/>
        </w:rPr>
        <w:t>年版）》；</w:t>
      </w:r>
    </w:p>
    <w:p w14:paraId="736BB817">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ascii="宋体" w:hAnsi="宋体" w:eastAsia="宋体" w:cs="宋体"/>
          <w:sz w:val="24"/>
          <w:szCs w:val="24"/>
          <w:highlight w:val="none"/>
        </w:rPr>
      </w:pPr>
      <w:r>
        <w:rPr>
          <w:rFonts w:ascii="宋体" w:hAnsi="宋体" w:eastAsia="宋体" w:cs="宋体"/>
          <w:spacing w:val="-12"/>
          <w:sz w:val="24"/>
          <w:szCs w:val="24"/>
          <w:highlight w:val="none"/>
        </w:rPr>
        <w:t>（</w:t>
      </w:r>
      <w:r>
        <w:rPr>
          <w:rFonts w:ascii="Times New Roman" w:hAnsi="Times New Roman" w:eastAsia="Times New Roman" w:cs="Times New Roman"/>
          <w:spacing w:val="-12"/>
          <w:sz w:val="24"/>
          <w:szCs w:val="24"/>
          <w:highlight w:val="none"/>
        </w:rPr>
        <w:t>9</w:t>
      </w:r>
      <w:r>
        <w:rPr>
          <w:rFonts w:ascii="宋体" w:hAnsi="宋体" w:eastAsia="宋体" w:cs="宋体"/>
          <w:spacing w:val="-12"/>
          <w:sz w:val="24"/>
          <w:szCs w:val="24"/>
          <w:highlight w:val="none"/>
        </w:rPr>
        <w:t>）《湖南省生态环境厅关于执行污染物特别排放限值（第一批）的公告》；</w:t>
      </w:r>
    </w:p>
    <w:p w14:paraId="0BA9FB6C">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10</w:t>
      </w:r>
      <w:r>
        <w:rPr>
          <w:rFonts w:ascii="宋体" w:hAnsi="宋体" w:eastAsia="宋体" w:cs="宋体"/>
          <w:spacing w:val="-1"/>
          <w:sz w:val="24"/>
          <w:szCs w:val="24"/>
          <w:highlight w:val="none"/>
        </w:rPr>
        <w:t>）《湖南省</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蓝天保卫战实施方案（</w:t>
      </w:r>
      <w:r>
        <w:rPr>
          <w:rFonts w:ascii="Times New Roman" w:hAnsi="Times New Roman" w:eastAsia="Times New Roman" w:cs="Times New Roman"/>
          <w:spacing w:val="-1"/>
          <w:sz w:val="24"/>
          <w:szCs w:val="24"/>
          <w:highlight w:val="none"/>
        </w:rPr>
        <w:t>2018-2020</w:t>
      </w:r>
      <w:r>
        <w:rPr>
          <w:rFonts w:ascii="宋体" w:hAnsi="宋体" w:eastAsia="宋体" w:cs="宋体"/>
          <w:spacing w:val="-1"/>
          <w:sz w:val="24"/>
          <w:szCs w:val="24"/>
          <w:highlight w:val="none"/>
        </w:rPr>
        <w:t>）》；</w:t>
      </w:r>
    </w:p>
    <w:p w14:paraId="371E1AB5">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ascii="宋体" w:hAnsi="宋体" w:eastAsia="宋体" w:cs="宋体"/>
          <w:sz w:val="24"/>
          <w:szCs w:val="24"/>
          <w:highlight w:val="none"/>
        </w:rPr>
      </w:pPr>
      <w:r>
        <w:rPr>
          <w:rFonts w:ascii="宋体" w:hAnsi="宋体" w:eastAsia="宋体" w:cs="宋体"/>
          <w:spacing w:val="-5"/>
          <w:sz w:val="24"/>
          <w:szCs w:val="24"/>
          <w:highlight w:val="none"/>
        </w:rPr>
        <w:t>（</w:t>
      </w:r>
      <w:r>
        <w:rPr>
          <w:rFonts w:ascii="Times New Roman" w:hAnsi="Times New Roman" w:eastAsia="Times New Roman" w:cs="Times New Roman"/>
          <w:spacing w:val="-5"/>
          <w:sz w:val="24"/>
          <w:szCs w:val="24"/>
          <w:highlight w:val="none"/>
        </w:rPr>
        <w:t>11</w:t>
      </w:r>
      <w:r>
        <w:rPr>
          <w:rFonts w:ascii="宋体" w:hAnsi="宋体" w:eastAsia="宋体" w:cs="宋体"/>
          <w:spacing w:val="-5"/>
          <w:sz w:val="24"/>
          <w:szCs w:val="24"/>
          <w:highlight w:val="none"/>
        </w:rPr>
        <w:t>）《湖南省实施</w:t>
      </w:r>
      <w:r>
        <w:rPr>
          <w:rFonts w:ascii="Times New Roman" w:hAnsi="Times New Roman" w:eastAsia="Times New Roman" w:cs="Times New Roman"/>
          <w:spacing w:val="-5"/>
          <w:sz w:val="24"/>
          <w:szCs w:val="24"/>
          <w:highlight w:val="none"/>
        </w:rPr>
        <w:t>&lt;</w:t>
      </w:r>
      <w:r>
        <w:rPr>
          <w:rFonts w:ascii="Times New Roman" w:hAnsi="Times New Roman" w:eastAsia="Times New Roman" w:cs="Times New Roman"/>
          <w:spacing w:val="-27"/>
          <w:sz w:val="24"/>
          <w:szCs w:val="24"/>
          <w:highlight w:val="none"/>
        </w:rPr>
        <w:t xml:space="preserve"> </w:t>
      </w:r>
      <w:r>
        <w:rPr>
          <w:rFonts w:ascii="宋体" w:hAnsi="宋体" w:eastAsia="宋体" w:cs="宋体"/>
          <w:spacing w:val="-5"/>
          <w:sz w:val="24"/>
          <w:szCs w:val="24"/>
          <w:highlight w:val="none"/>
        </w:rPr>
        <w:t>中华人民共和国固体废物污染环境防治法</w:t>
      </w:r>
      <w:r>
        <w:rPr>
          <w:rFonts w:ascii="Times New Roman" w:hAnsi="Times New Roman" w:eastAsia="Times New Roman" w:cs="Times New Roman"/>
          <w:spacing w:val="-5"/>
          <w:sz w:val="24"/>
          <w:szCs w:val="24"/>
          <w:highlight w:val="none"/>
        </w:rPr>
        <w:t>&gt;</w:t>
      </w:r>
      <w:r>
        <w:rPr>
          <w:rFonts w:ascii="宋体" w:hAnsi="宋体" w:eastAsia="宋体" w:cs="宋体"/>
          <w:spacing w:val="-5"/>
          <w:sz w:val="24"/>
          <w:szCs w:val="24"/>
          <w:highlight w:val="none"/>
        </w:rPr>
        <w:t>》办法》及</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其修正（</w:t>
      </w:r>
      <w:r>
        <w:rPr>
          <w:rFonts w:ascii="Times New Roman" w:hAnsi="Times New Roman" w:eastAsia="Times New Roman" w:cs="Times New Roman"/>
          <w:spacing w:val="-4"/>
          <w:sz w:val="24"/>
          <w:szCs w:val="24"/>
          <w:highlight w:val="none"/>
        </w:rPr>
        <w:t xml:space="preserve">2022 </w:t>
      </w:r>
      <w:r>
        <w:rPr>
          <w:rFonts w:ascii="宋体" w:hAnsi="宋体" w:eastAsia="宋体" w:cs="宋体"/>
          <w:spacing w:val="-4"/>
          <w:sz w:val="24"/>
          <w:szCs w:val="24"/>
          <w:highlight w:val="none"/>
        </w:rPr>
        <w:t>年</w:t>
      </w:r>
      <w:r>
        <w:rPr>
          <w:rFonts w:ascii="宋体" w:hAnsi="宋体" w:eastAsia="宋体" w:cs="宋体"/>
          <w:spacing w:val="-50"/>
          <w:sz w:val="24"/>
          <w:szCs w:val="24"/>
          <w:highlight w:val="none"/>
        </w:rPr>
        <w:t xml:space="preserve"> </w:t>
      </w:r>
      <w:r>
        <w:rPr>
          <w:rFonts w:ascii="Times New Roman" w:hAnsi="Times New Roman" w:eastAsia="Times New Roman" w:cs="Times New Roman"/>
          <w:spacing w:val="-4"/>
          <w:sz w:val="24"/>
          <w:szCs w:val="24"/>
          <w:highlight w:val="none"/>
        </w:rPr>
        <w:t>9</w:t>
      </w:r>
      <w:r>
        <w:rPr>
          <w:rFonts w:ascii="Times New Roman" w:hAnsi="Times New Roman" w:eastAsia="Times New Roman" w:cs="Times New Roman"/>
          <w:spacing w:val="15"/>
          <w:w w:val="101"/>
          <w:sz w:val="24"/>
          <w:szCs w:val="24"/>
          <w:highlight w:val="none"/>
        </w:rPr>
        <w:t xml:space="preserve"> </w:t>
      </w:r>
      <w:r>
        <w:rPr>
          <w:rFonts w:ascii="宋体" w:hAnsi="宋体" w:eastAsia="宋体" w:cs="宋体"/>
          <w:spacing w:val="-4"/>
          <w:sz w:val="24"/>
          <w:szCs w:val="24"/>
          <w:highlight w:val="none"/>
        </w:rPr>
        <w:t>月</w:t>
      </w:r>
      <w:r>
        <w:rPr>
          <w:rFonts w:ascii="宋体" w:hAnsi="宋体" w:eastAsia="宋体" w:cs="宋体"/>
          <w:spacing w:val="-55"/>
          <w:sz w:val="24"/>
          <w:szCs w:val="24"/>
          <w:highlight w:val="none"/>
        </w:rPr>
        <w:t xml:space="preserve"> </w:t>
      </w:r>
      <w:r>
        <w:rPr>
          <w:rFonts w:ascii="Times New Roman" w:hAnsi="Times New Roman" w:eastAsia="Times New Roman" w:cs="Times New Roman"/>
          <w:spacing w:val="-4"/>
          <w:sz w:val="24"/>
          <w:szCs w:val="24"/>
          <w:highlight w:val="none"/>
        </w:rPr>
        <w:t xml:space="preserve">26  </w:t>
      </w:r>
      <w:r>
        <w:rPr>
          <w:rFonts w:ascii="宋体" w:hAnsi="宋体" w:eastAsia="宋体" w:cs="宋体"/>
          <w:spacing w:val="-4"/>
          <w:sz w:val="24"/>
          <w:szCs w:val="24"/>
          <w:highlight w:val="none"/>
        </w:rPr>
        <w:t>日</w:t>
      </w:r>
      <w:r>
        <w:rPr>
          <w:rFonts w:ascii="宋体" w:hAnsi="宋体" w:eastAsia="宋体" w:cs="宋体"/>
          <w:spacing w:val="-17"/>
          <w:sz w:val="24"/>
          <w:szCs w:val="24"/>
          <w:highlight w:val="none"/>
        </w:rPr>
        <w:t>）；</w:t>
      </w:r>
    </w:p>
    <w:p w14:paraId="0D9FE57C">
      <w:pPr>
        <w:keepNext w:val="0"/>
        <w:keepLines w:val="0"/>
        <w:pageBreakBefore w:val="0"/>
        <w:widowControl w:val="0"/>
        <w:kinsoku/>
        <w:wordWrap/>
        <w:overflowPunct/>
        <w:topLinePunct w:val="0"/>
        <w:autoSpaceDE/>
        <w:autoSpaceDN/>
        <w:bidi w:val="0"/>
        <w:adjustRightInd/>
        <w:snapToGrid/>
        <w:spacing w:line="360" w:lineRule="auto"/>
        <w:ind w:left="0" w:right="0" w:firstLine="491"/>
        <w:jc w:val="both"/>
        <w:textAlignment w:val="auto"/>
        <w:rPr>
          <w:rFonts w:ascii="宋体" w:hAnsi="宋体" w:eastAsia="宋体" w:cs="宋体"/>
          <w:sz w:val="24"/>
          <w:szCs w:val="24"/>
          <w:highlight w:val="none"/>
        </w:rPr>
      </w:pPr>
      <w:r>
        <w:rPr>
          <w:rFonts w:ascii="宋体" w:hAnsi="宋体" w:eastAsia="宋体" w:cs="宋体"/>
          <w:spacing w:val="-6"/>
          <w:sz w:val="24"/>
          <w:szCs w:val="24"/>
          <w:highlight w:val="none"/>
        </w:rPr>
        <w:t>（</w:t>
      </w:r>
      <w:r>
        <w:rPr>
          <w:rFonts w:ascii="Times New Roman" w:hAnsi="Times New Roman" w:eastAsia="Times New Roman" w:cs="Times New Roman"/>
          <w:spacing w:val="-6"/>
          <w:sz w:val="24"/>
          <w:szCs w:val="24"/>
          <w:highlight w:val="none"/>
        </w:rPr>
        <w:t>12</w:t>
      </w:r>
      <w:r>
        <w:rPr>
          <w:rFonts w:ascii="宋体" w:hAnsi="宋体" w:eastAsia="宋体" w:cs="宋体"/>
          <w:spacing w:val="-6"/>
          <w:sz w:val="24"/>
          <w:szCs w:val="24"/>
          <w:highlight w:val="none"/>
        </w:rPr>
        <w:t>）《关于印发</w:t>
      </w:r>
      <w:r>
        <w:rPr>
          <w:rFonts w:ascii="Times New Roman" w:hAnsi="Times New Roman" w:eastAsia="Times New Roman" w:cs="Times New Roman"/>
          <w:spacing w:val="-6"/>
          <w:sz w:val="24"/>
          <w:szCs w:val="24"/>
          <w:highlight w:val="none"/>
        </w:rPr>
        <w:t>&lt;</w:t>
      </w:r>
      <w:r>
        <w:rPr>
          <w:rFonts w:ascii="宋体" w:hAnsi="宋体" w:eastAsia="宋体" w:cs="宋体"/>
          <w:spacing w:val="-6"/>
          <w:sz w:val="24"/>
          <w:szCs w:val="24"/>
          <w:highlight w:val="none"/>
        </w:rPr>
        <w:t>湖南省“十四五</w:t>
      </w:r>
      <w:r>
        <w:rPr>
          <w:rFonts w:ascii="宋体" w:hAnsi="宋体" w:eastAsia="宋体" w:cs="宋体"/>
          <w:spacing w:val="-80"/>
          <w:sz w:val="24"/>
          <w:szCs w:val="24"/>
          <w:highlight w:val="none"/>
        </w:rPr>
        <w:t xml:space="preserve"> </w:t>
      </w:r>
      <w:r>
        <w:rPr>
          <w:rFonts w:ascii="宋体" w:hAnsi="宋体" w:eastAsia="宋体" w:cs="宋体"/>
          <w:spacing w:val="-6"/>
          <w:sz w:val="24"/>
          <w:szCs w:val="24"/>
          <w:highlight w:val="none"/>
        </w:rPr>
        <w:t>”固体废物环境管理规划</w:t>
      </w:r>
      <w:r>
        <w:rPr>
          <w:rFonts w:ascii="Times New Roman" w:hAnsi="Times New Roman" w:eastAsia="Times New Roman" w:cs="Times New Roman"/>
          <w:spacing w:val="-6"/>
          <w:sz w:val="24"/>
          <w:szCs w:val="24"/>
          <w:highlight w:val="none"/>
        </w:rPr>
        <w:t>&gt;</w:t>
      </w:r>
      <w:r>
        <w:rPr>
          <w:rFonts w:ascii="Times New Roman" w:hAnsi="Times New Roman" w:eastAsia="Times New Roman" w:cs="Times New Roman"/>
          <w:spacing w:val="-32"/>
          <w:sz w:val="24"/>
          <w:szCs w:val="24"/>
          <w:highlight w:val="none"/>
        </w:rPr>
        <w:t xml:space="preserve"> </w:t>
      </w:r>
      <w:r>
        <w:rPr>
          <w:rFonts w:ascii="宋体" w:hAnsi="宋体" w:eastAsia="宋体" w:cs="宋体"/>
          <w:spacing w:val="-6"/>
          <w:sz w:val="24"/>
          <w:szCs w:val="24"/>
          <w:highlight w:val="none"/>
        </w:rPr>
        <w:t>的通知》（湘</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环发</w:t>
      </w:r>
      <w:r>
        <w:rPr>
          <w:rFonts w:ascii="Times New Roman" w:hAnsi="Times New Roman" w:eastAsia="Times New Roman" w:cs="Times New Roman"/>
          <w:spacing w:val="-4"/>
          <w:sz w:val="24"/>
          <w:szCs w:val="24"/>
          <w:highlight w:val="none"/>
        </w:rPr>
        <w:t xml:space="preserve">[2021]52 </w:t>
      </w:r>
      <w:r>
        <w:rPr>
          <w:rFonts w:ascii="宋体" w:hAnsi="宋体" w:eastAsia="宋体" w:cs="宋体"/>
          <w:spacing w:val="-4"/>
          <w:sz w:val="24"/>
          <w:szCs w:val="24"/>
          <w:highlight w:val="none"/>
        </w:rPr>
        <w:t>号，</w:t>
      </w:r>
      <w:r>
        <w:rPr>
          <w:rFonts w:ascii="Times New Roman" w:hAnsi="Times New Roman" w:eastAsia="Times New Roman" w:cs="Times New Roman"/>
          <w:spacing w:val="-4"/>
          <w:sz w:val="24"/>
          <w:szCs w:val="24"/>
          <w:highlight w:val="none"/>
        </w:rPr>
        <w:t xml:space="preserve">2021 </w:t>
      </w:r>
      <w:r>
        <w:rPr>
          <w:rFonts w:ascii="宋体" w:hAnsi="宋体" w:eastAsia="宋体" w:cs="宋体"/>
          <w:spacing w:val="-4"/>
          <w:sz w:val="24"/>
          <w:szCs w:val="24"/>
          <w:highlight w:val="none"/>
        </w:rPr>
        <w:t>年</w:t>
      </w:r>
      <w:r>
        <w:rPr>
          <w:rFonts w:ascii="宋体" w:hAnsi="宋体" w:eastAsia="宋体" w:cs="宋体"/>
          <w:spacing w:val="-31"/>
          <w:sz w:val="24"/>
          <w:szCs w:val="24"/>
          <w:highlight w:val="none"/>
        </w:rPr>
        <w:t xml:space="preserve"> </w:t>
      </w:r>
      <w:r>
        <w:rPr>
          <w:rFonts w:ascii="Times New Roman" w:hAnsi="Times New Roman" w:eastAsia="Times New Roman" w:cs="Times New Roman"/>
          <w:spacing w:val="-4"/>
          <w:sz w:val="24"/>
          <w:szCs w:val="24"/>
          <w:highlight w:val="none"/>
        </w:rPr>
        <w:t>12</w:t>
      </w:r>
      <w:r>
        <w:rPr>
          <w:rFonts w:ascii="Times New Roman" w:hAnsi="Times New Roman" w:eastAsia="Times New Roman" w:cs="Times New Roman"/>
          <w:spacing w:val="15"/>
          <w:sz w:val="24"/>
          <w:szCs w:val="24"/>
          <w:highlight w:val="none"/>
        </w:rPr>
        <w:t xml:space="preserve"> </w:t>
      </w:r>
      <w:r>
        <w:rPr>
          <w:rFonts w:ascii="宋体" w:hAnsi="宋体" w:eastAsia="宋体" w:cs="宋体"/>
          <w:spacing w:val="-4"/>
          <w:sz w:val="24"/>
          <w:szCs w:val="24"/>
          <w:highlight w:val="none"/>
        </w:rPr>
        <w:t>月</w:t>
      </w:r>
      <w:r>
        <w:rPr>
          <w:rFonts w:ascii="宋体" w:hAnsi="宋体" w:eastAsia="宋体" w:cs="宋体"/>
          <w:spacing w:val="-50"/>
          <w:sz w:val="24"/>
          <w:szCs w:val="24"/>
          <w:highlight w:val="none"/>
        </w:rPr>
        <w:t xml:space="preserve"> </w:t>
      </w:r>
      <w:r>
        <w:rPr>
          <w:rFonts w:ascii="Times New Roman" w:hAnsi="Times New Roman" w:eastAsia="Times New Roman" w:cs="Times New Roman"/>
          <w:spacing w:val="-4"/>
          <w:sz w:val="24"/>
          <w:szCs w:val="24"/>
          <w:highlight w:val="none"/>
        </w:rPr>
        <w:t xml:space="preserve">31  </w:t>
      </w:r>
      <w:r>
        <w:rPr>
          <w:rFonts w:ascii="宋体" w:hAnsi="宋体" w:eastAsia="宋体" w:cs="宋体"/>
          <w:spacing w:val="-4"/>
          <w:sz w:val="24"/>
          <w:szCs w:val="24"/>
          <w:highlight w:val="none"/>
        </w:rPr>
        <w:t>日</w:t>
      </w:r>
      <w:r>
        <w:rPr>
          <w:rFonts w:ascii="宋体" w:hAnsi="宋体" w:eastAsia="宋体" w:cs="宋体"/>
          <w:spacing w:val="-9"/>
          <w:sz w:val="24"/>
          <w:szCs w:val="24"/>
          <w:highlight w:val="none"/>
        </w:rPr>
        <w:t>）；</w:t>
      </w:r>
    </w:p>
    <w:p w14:paraId="40C52899">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ascii="宋体" w:hAnsi="宋体" w:eastAsia="宋体" w:cs="宋体"/>
          <w:sz w:val="24"/>
          <w:szCs w:val="24"/>
          <w:highlight w:val="none"/>
        </w:rPr>
      </w:pPr>
      <w:r>
        <w:rPr>
          <w:rFonts w:ascii="宋体" w:hAnsi="宋体" w:eastAsia="宋体" w:cs="宋体"/>
          <w:sz w:val="24"/>
          <w:szCs w:val="24"/>
          <w:highlight w:val="none"/>
        </w:rPr>
        <w:t>（</w:t>
      </w:r>
      <w:r>
        <w:rPr>
          <w:rFonts w:ascii="Times New Roman" w:hAnsi="Times New Roman" w:eastAsia="Times New Roman" w:cs="Times New Roman"/>
          <w:sz w:val="24"/>
          <w:szCs w:val="24"/>
          <w:highlight w:val="none"/>
        </w:rPr>
        <w:t>13</w:t>
      </w:r>
      <w:r>
        <w:rPr>
          <w:rFonts w:ascii="宋体" w:hAnsi="宋体" w:eastAsia="宋体" w:cs="宋体"/>
          <w:sz w:val="24"/>
          <w:szCs w:val="24"/>
          <w:highlight w:val="none"/>
        </w:rPr>
        <w:t>）《湖南省人民政府办公厅关于印发</w:t>
      </w:r>
      <w:r>
        <w:rPr>
          <w:rFonts w:ascii="Times New Roman" w:hAnsi="Times New Roman" w:eastAsia="Times New Roman" w:cs="Times New Roman"/>
          <w:sz w:val="24"/>
          <w:szCs w:val="24"/>
          <w:highlight w:val="none"/>
        </w:rPr>
        <w:t>&lt;</w:t>
      </w:r>
      <w:r>
        <w:rPr>
          <w:rFonts w:ascii="宋体" w:hAnsi="宋体" w:eastAsia="宋体" w:cs="宋体"/>
          <w:sz w:val="24"/>
          <w:szCs w:val="24"/>
          <w:highlight w:val="none"/>
        </w:rPr>
        <w:t>湖南省贯彻落实</w:t>
      </w:r>
      <w:r>
        <w:rPr>
          <w:rFonts w:ascii="宋体" w:hAnsi="宋体" w:eastAsia="宋体" w:cs="宋体"/>
          <w:spacing w:val="-1"/>
          <w:sz w:val="24"/>
          <w:szCs w:val="24"/>
          <w:highlight w:val="none"/>
        </w:rPr>
        <w:t>中华人民共和国</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长江保护法实施方案</w:t>
      </w:r>
      <w:r>
        <w:rPr>
          <w:rFonts w:ascii="Times New Roman" w:hAnsi="Times New Roman" w:eastAsia="Times New Roman" w:cs="Times New Roman"/>
          <w:spacing w:val="-4"/>
          <w:sz w:val="24"/>
          <w:szCs w:val="24"/>
          <w:highlight w:val="none"/>
        </w:rPr>
        <w:t>&gt;</w:t>
      </w:r>
      <w:r>
        <w:rPr>
          <w:rFonts w:ascii="Times New Roman" w:hAnsi="Times New Roman" w:eastAsia="Times New Roman" w:cs="Times New Roman"/>
          <w:spacing w:val="-32"/>
          <w:sz w:val="24"/>
          <w:szCs w:val="24"/>
          <w:highlight w:val="none"/>
        </w:rPr>
        <w:t xml:space="preserve"> </w:t>
      </w:r>
      <w:r>
        <w:rPr>
          <w:rFonts w:ascii="宋体" w:hAnsi="宋体" w:eastAsia="宋体" w:cs="宋体"/>
          <w:spacing w:val="-4"/>
          <w:sz w:val="24"/>
          <w:szCs w:val="24"/>
          <w:highlight w:val="none"/>
        </w:rPr>
        <w:t>的通知》（湘政办发</w:t>
      </w:r>
      <w:r>
        <w:rPr>
          <w:rFonts w:hint="default" w:ascii="Times New Roman" w:hAnsi="Times New Roman" w:eastAsia="宋体" w:cs="Times New Roman"/>
          <w:snapToGrid w:val="0"/>
          <w:color w:val="000000"/>
          <w:kern w:val="0"/>
          <w:sz w:val="24"/>
          <w:szCs w:val="24"/>
          <w:highlight w:val="none"/>
          <w:lang w:eastAsia="en-US"/>
        </w:rPr>
        <w:t>〔</w:t>
      </w:r>
      <w:r>
        <w:rPr>
          <w:rFonts w:ascii="Times New Roman" w:hAnsi="Times New Roman" w:eastAsia="Times New Roman" w:cs="Times New Roman"/>
          <w:spacing w:val="-4"/>
          <w:sz w:val="24"/>
          <w:szCs w:val="24"/>
          <w:highlight w:val="none"/>
        </w:rPr>
        <w:t>2022</w:t>
      </w:r>
      <w:r>
        <w:rPr>
          <w:rFonts w:hint="default" w:ascii="Times New Roman" w:hAnsi="Times New Roman" w:eastAsia="宋体" w:cs="Times New Roman"/>
          <w:snapToGrid w:val="0"/>
          <w:color w:val="000000"/>
          <w:kern w:val="0"/>
          <w:sz w:val="24"/>
          <w:szCs w:val="24"/>
          <w:highlight w:val="none"/>
          <w:lang w:eastAsia="en-US"/>
        </w:rPr>
        <w:t>〕</w:t>
      </w:r>
      <w:r>
        <w:rPr>
          <w:rFonts w:ascii="Times New Roman" w:hAnsi="Times New Roman" w:eastAsia="Times New Roman" w:cs="Times New Roman"/>
          <w:spacing w:val="-4"/>
          <w:sz w:val="24"/>
          <w:szCs w:val="24"/>
          <w:highlight w:val="none"/>
        </w:rPr>
        <w:t>6</w:t>
      </w:r>
      <w:r>
        <w:rPr>
          <w:rFonts w:ascii="Times New Roman" w:hAnsi="Times New Roman" w:eastAsia="Times New Roman" w:cs="Times New Roman"/>
          <w:spacing w:val="15"/>
          <w:sz w:val="24"/>
          <w:szCs w:val="24"/>
          <w:highlight w:val="none"/>
        </w:rPr>
        <w:t xml:space="preserve"> </w:t>
      </w:r>
      <w:r>
        <w:rPr>
          <w:rFonts w:ascii="宋体" w:hAnsi="宋体" w:eastAsia="宋体" w:cs="宋体"/>
          <w:spacing w:val="-4"/>
          <w:sz w:val="24"/>
          <w:szCs w:val="24"/>
          <w:highlight w:val="none"/>
        </w:rPr>
        <w:t>号，</w:t>
      </w:r>
      <w:r>
        <w:rPr>
          <w:rFonts w:ascii="Times New Roman" w:hAnsi="Times New Roman" w:eastAsia="Times New Roman" w:cs="Times New Roman"/>
          <w:spacing w:val="-4"/>
          <w:sz w:val="24"/>
          <w:szCs w:val="24"/>
          <w:highlight w:val="none"/>
        </w:rPr>
        <w:t xml:space="preserve">2022 </w:t>
      </w:r>
      <w:r>
        <w:rPr>
          <w:rFonts w:ascii="宋体" w:hAnsi="宋体" w:eastAsia="宋体" w:cs="宋体"/>
          <w:spacing w:val="-4"/>
          <w:sz w:val="24"/>
          <w:szCs w:val="24"/>
          <w:highlight w:val="none"/>
        </w:rPr>
        <w:t>年</w:t>
      </w:r>
      <w:r>
        <w:rPr>
          <w:rFonts w:ascii="宋体" w:hAnsi="宋体" w:eastAsia="宋体" w:cs="宋体"/>
          <w:spacing w:val="-32"/>
          <w:sz w:val="24"/>
          <w:szCs w:val="24"/>
          <w:highlight w:val="none"/>
        </w:rPr>
        <w:t xml:space="preserve"> </w:t>
      </w:r>
      <w:r>
        <w:rPr>
          <w:rFonts w:ascii="Times New Roman" w:hAnsi="Times New Roman" w:eastAsia="Times New Roman" w:cs="Times New Roman"/>
          <w:spacing w:val="-4"/>
          <w:sz w:val="24"/>
          <w:szCs w:val="24"/>
          <w:highlight w:val="none"/>
        </w:rPr>
        <w:t>1</w:t>
      </w:r>
      <w:r>
        <w:rPr>
          <w:rFonts w:ascii="Times New Roman" w:hAnsi="Times New Roman" w:eastAsia="Times New Roman" w:cs="Times New Roman"/>
          <w:spacing w:val="15"/>
          <w:w w:val="101"/>
          <w:sz w:val="24"/>
          <w:szCs w:val="24"/>
          <w:highlight w:val="none"/>
        </w:rPr>
        <w:t xml:space="preserve"> </w:t>
      </w:r>
      <w:r>
        <w:rPr>
          <w:rFonts w:ascii="宋体" w:hAnsi="宋体" w:eastAsia="宋体" w:cs="宋体"/>
          <w:spacing w:val="-4"/>
          <w:sz w:val="24"/>
          <w:szCs w:val="24"/>
          <w:highlight w:val="none"/>
        </w:rPr>
        <w:t>月</w:t>
      </w:r>
      <w:r>
        <w:rPr>
          <w:rFonts w:ascii="宋体" w:hAnsi="宋体" w:eastAsia="宋体" w:cs="宋体"/>
          <w:spacing w:val="-32"/>
          <w:sz w:val="24"/>
          <w:szCs w:val="24"/>
          <w:highlight w:val="none"/>
        </w:rPr>
        <w:t xml:space="preserve"> </w:t>
      </w:r>
      <w:r>
        <w:rPr>
          <w:rFonts w:ascii="Times New Roman" w:hAnsi="Times New Roman" w:eastAsia="Times New Roman" w:cs="Times New Roman"/>
          <w:spacing w:val="-4"/>
          <w:sz w:val="24"/>
          <w:szCs w:val="24"/>
          <w:highlight w:val="none"/>
        </w:rPr>
        <w:t xml:space="preserve">18  </w:t>
      </w:r>
      <w:r>
        <w:rPr>
          <w:rFonts w:ascii="宋体" w:hAnsi="宋体" w:eastAsia="宋体" w:cs="宋体"/>
          <w:spacing w:val="-4"/>
          <w:sz w:val="24"/>
          <w:szCs w:val="24"/>
          <w:highlight w:val="none"/>
        </w:rPr>
        <w:t>日</w:t>
      </w:r>
      <w:r>
        <w:rPr>
          <w:rFonts w:ascii="宋体" w:hAnsi="宋体" w:eastAsia="宋体" w:cs="宋体"/>
          <w:spacing w:val="-11"/>
          <w:sz w:val="24"/>
          <w:szCs w:val="24"/>
          <w:highlight w:val="none"/>
        </w:rPr>
        <w:t>）；</w:t>
      </w:r>
    </w:p>
    <w:p w14:paraId="11A54E55">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（14）湖南省人民政府关于印发《湖南省主体功能区规划》的通知(湖南省政府办公厅湘政发</w:t>
      </w:r>
      <w:r>
        <w:rPr>
          <w:rFonts w:hint="default" w:ascii="Times New Roman" w:hAnsi="Times New Roman" w:eastAsia="宋体" w:cs="Times New Roman"/>
          <w:sz w:val="24"/>
          <w:szCs w:val="24"/>
          <w:highlight w:val="none"/>
          <w:lang w:eastAsia="en-US"/>
        </w:rPr>
        <w:t>〔</w:t>
      </w:r>
      <w:r>
        <w:rPr>
          <w:rFonts w:hint="default" w:ascii="Times New Roman" w:hAnsi="Times New Roman" w:eastAsia="宋体" w:cs="Times New Roman"/>
          <w:sz w:val="24"/>
          <w:szCs w:val="24"/>
          <w:highlight w:val="none"/>
          <w:lang w:val="en-US" w:eastAsia="zh-CN"/>
        </w:rPr>
        <w:t>2012</w:t>
      </w:r>
      <w:r>
        <w:rPr>
          <w:rFonts w:hint="default" w:ascii="Times New Roman" w:hAnsi="Times New Roman" w:eastAsia="宋体" w:cs="Times New Roman"/>
          <w:sz w:val="24"/>
          <w:szCs w:val="24"/>
          <w:highlight w:val="none"/>
          <w:lang w:eastAsia="en-US"/>
        </w:rPr>
        <w:t>〕</w:t>
      </w:r>
      <w:r>
        <w:rPr>
          <w:rFonts w:hint="default" w:ascii="Times New Roman" w:hAnsi="Times New Roman" w:eastAsia="宋体" w:cs="Times New Roman"/>
          <w:sz w:val="24"/>
          <w:szCs w:val="24"/>
          <w:highlight w:val="none"/>
          <w:lang w:val="en-US" w:eastAsia="zh-CN"/>
        </w:rPr>
        <w:t>39号)</w:t>
      </w:r>
      <w:r>
        <w:rPr>
          <w:rFonts w:hint="eastAsia" w:ascii="Times New Roman" w:hAnsi="Times New Roman" w:eastAsia="宋体" w:cs="Times New Roman"/>
          <w:sz w:val="24"/>
          <w:szCs w:val="24"/>
          <w:highlight w:val="none"/>
          <w:lang w:val="en-US" w:eastAsia="zh-CN"/>
        </w:rPr>
        <w:t>；</w:t>
      </w:r>
    </w:p>
    <w:p w14:paraId="7EB8AA68">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15</w:t>
      </w:r>
      <w:r>
        <w:rPr>
          <w:rFonts w:hint="default" w:ascii="Times New Roman" w:hAnsi="Times New Roman" w:eastAsia="宋体" w:cs="Times New Roman"/>
          <w:sz w:val="24"/>
          <w:szCs w:val="24"/>
          <w:highlight w:val="none"/>
        </w:rPr>
        <w:t>）</w:t>
      </w:r>
      <w:r>
        <w:rPr>
          <w:rFonts w:hint="default" w:eastAsia="宋体"/>
          <w:sz w:val="24"/>
          <w:szCs w:val="24"/>
          <w:highlight w:val="none"/>
        </w:rPr>
        <w:t>岳阳市生态环境局发布了《岳阳市生态环境分区管控动态更新成果（2023年版）》（岳环发〔2024〕14号）</w:t>
      </w:r>
      <w:r>
        <w:rPr>
          <w:rFonts w:hint="default" w:ascii="Times New Roman" w:hAnsi="Times New Roman" w:eastAsia="宋体" w:cs="Times New Roman"/>
          <w:sz w:val="24"/>
          <w:szCs w:val="24"/>
          <w:highlight w:val="none"/>
        </w:rPr>
        <w:t>；</w:t>
      </w:r>
    </w:p>
    <w:p w14:paraId="190572B2">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（16）</w:t>
      </w:r>
      <w:r>
        <w:rPr>
          <w:rFonts w:hint="default" w:ascii="Times New Roman" w:hAnsi="Times New Roman" w:eastAsia="宋体" w:cs="Times New Roman"/>
          <w:sz w:val="24"/>
          <w:szCs w:val="24"/>
          <w:highlight w:val="none"/>
          <w:lang w:val="en-US" w:eastAsia="zh-CN"/>
        </w:rPr>
        <w:t>《岳阳县国土空间总体规划(2021-2035年)》</w:t>
      </w:r>
      <w:r>
        <w:rPr>
          <w:rFonts w:hint="eastAsia" w:ascii="Times New Roman" w:hAnsi="Times New Roman" w:eastAsia="宋体" w:cs="Times New Roman"/>
          <w:sz w:val="24"/>
          <w:szCs w:val="24"/>
          <w:highlight w:val="none"/>
          <w:lang w:val="en-US" w:eastAsia="zh-CN"/>
        </w:rPr>
        <w:t>；</w:t>
      </w:r>
    </w:p>
    <w:p w14:paraId="4B53EC9E">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（17）岳阳高新技术产业园区总体规划(2020-2035)</w:t>
      </w:r>
      <w:r>
        <w:rPr>
          <w:rFonts w:hint="eastAsia" w:ascii="Times New Roman" w:hAnsi="Times New Roman" w:eastAsia="宋体" w:cs="Times New Roman"/>
          <w:sz w:val="24"/>
          <w:szCs w:val="24"/>
          <w:highlight w:val="none"/>
          <w:lang w:val="en-US" w:eastAsia="zh-CN"/>
        </w:rPr>
        <w:t>；</w:t>
      </w:r>
    </w:p>
    <w:p w14:paraId="3F4194A5">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）《岳阳高新技术产业园区调区扩区规划（2020-2025）环境影响报告书》。</w:t>
      </w:r>
    </w:p>
    <w:p w14:paraId="08B79B55">
      <w:pPr>
        <w:pStyle w:val="7"/>
        <w:bidi w:val="0"/>
        <w:rPr>
          <w:rFonts w:ascii="Times New Roman" w:hAnsi="Times New Roman" w:eastAsia="宋体" w:cs="Times New Roman"/>
          <w:highlight w:val="none"/>
          <w:lang w:val="en-US" w:eastAsia="zh-CN"/>
        </w:rPr>
      </w:pPr>
      <w:bookmarkStart w:id="50" w:name="_Toc4999"/>
      <w:r>
        <w:rPr>
          <w:rFonts w:ascii="Times New Roman" w:hAnsi="Times New Roman" w:eastAsia="宋体" w:cs="Times New Roman"/>
          <w:highlight w:val="none"/>
          <w:lang w:val="en-US" w:eastAsia="zh-CN"/>
        </w:rPr>
        <w:t>2.1.3 环境影响评价技术导则与规范</w:t>
      </w:r>
      <w:bookmarkEnd w:id="50"/>
    </w:p>
    <w:p w14:paraId="6B6FA1BF">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ascii="宋体" w:hAnsi="宋体" w:eastAsia="宋体" w:cs="宋体"/>
          <w:sz w:val="24"/>
          <w:szCs w:val="24"/>
          <w:highlight w:val="none"/>
        </w:rPr>
      </w:pPr>
      <w:r>
        <w:rPr>
          <w:rFonts w:ascii="宋体" w:hAnsi="宋体" w:eastAsia="宋体" w:cs="宋体"/>
          <w:spacing w:val="-2"/>
          <w:sz w:val="24"/>
          <w:szCs w:val="24"/>
          <w:highlight w:val="none"/>
        </w:rPr>
        <w:t>（</w:t>
      </w:r>
      <w:r>
        <w:rPr>
          <w:rFonts w:ascii="Times New Roman" w:hAnsi="Times New Roman" w:eastAsia="Times New Roman" w:cs="Times New Roman"/>
          <w:spacing w:val="-2"/>
          <w:sz w:val="24"/>
          <w:szCs w:val="24"/>
          <w:highlight w:val="none"/>
        </w:rPr>
        <w:t>1</w:t>
      </w:r>
      <w:r>
        <w:rPr>
          <w:rFonts w:ascii="宋体" w:hAnsi="宋体" w:eastAsia="宋体" w:cs="宋体"/>
          <w:spacing w:val="-2"/>
          <w:sz w:val="24"/>
          <w:szCs w:val="24"/>
          <w:highlight w:val="none"/>
        </w:rPr>
        <w:t>）《建设项目环境影响评价技术导则 总纲》（</w:t>
      </w:r>
      <w:r>
        <w:rPr>
          <w:rFonts w:ascii="Times New Roman" w:hAnsi="Times New Roman" w:eastAsia="Times New Roman" w:cs="Times New Roman"/>
          <w:spacing w:val="-2"/>
          <w:sz w:val="24"/>
          <w:szCs w:val="24"/>
          <w:highlight w:val="none"/>
        </w:rPr>
        <w:t>HJ2.</w:t>
      </w:r>
      <w:r>
        <w:rPr>
          <w:rFonts w:ascii="Times New Roman" w:hAnsi="Times New Roman" w:eastAsia="Times New Roman" w:cs="Times New Roman"/>
          <w:spacing w:val="-31"/>
          <w:sz w:val="24"/>
          <w:szCs w:val="24"/>
          <w:highlight w:val="none"/>
        </w:rPr>
        <w:t xml:space="preserve"> </w:t>
      </w:r>
      <w:r>
        <w:rPr>
          <w:rFonts w:ascii="Times New Roman" w:hAnsi="Times New Roman" w:eastAsia="Times New Roman" w:cs="Times New Roman"/>
          <w:spacing w:val="-2"/>
          <w:sz w:val="24"/>
          <w:szCs w:val="24"/>
          <w:highlight w:val="none"/>
        </w:rPr>
        <w:t>1-2016</w:t>
      </w:r>
      <w:r>
        <w:rPr>
          <w:rFonts w:ascii="宋体" w:hAnsi="宋体" w:eastAsia="宋体" w:cs="宋体"/>
          <w:spacing w:val="7"/>
          <w:sz w:val="24"/>
          <w:szCs w:val="24"/>
          <w:highlight w:val="none"/>
        </w:rPr>
        <w:t>）；</w:t>
      </w:r>
    </w:p>
    <w:p w14:paraId="42297B63">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2</w:t>
      </w:r>
      <w:r>
        <w:rPr>
          <w:rFonts w:ascii="宋体" w:hAnsi="宋体" w:eastAsia="宋体" w:cs="宋体"/>
          <w:spacing w:val="-1"/>
          <w:sz w:val="24"/>
          <w:szCs w:val="24"/>
          <w:highlight w:val="none"/>
        </w:rPr>
        <w:t>）《环境影响评价技术导则</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大气环境》（</w:t>
      </w:r>
      <w:r>
        <w:rPr>
          <w:rFonts w:ascii="Times New Roman" w:hAnsi="Times New Roman" w:eastAsia="Times New Roman" w:cs="Times New Roman"/>
          <w:spacing w:val="-1"/>
          <w:sz w:val="24"/>
          <w:szCs w:val="24"/>
          <w:highlight w:val="none"/>
        </w:rPr>
        <w:t>HJ2.2-2018</w:t>
      </w:r>
      <w:r>
        <w:rPr>
          <w:rFonts w:ascii="宋体" w:hAnsi="宋体" w:eastAsia="宋体" w:cs="宋体"/>
          <w:spacing w:val="4"/>
          <w:sz w:val="24"/>
          <w:szCs w:val="24"/>
          <w:highlight w:val="none"/>
        </w:rPr>
        <w:t>）；</w:t>
      </w:r>
    </w:p>
    <w:p w14:paraId="6B3BCF2F">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3</w:t>
      </w:r>
      <w:r>
        <w:rPr>
          <w:rFonts w:ascii="宋体" w:hAnsi="宋体" w:eastAsia="宋体" w:cs="宋体"/>
          <w:spacing w:val="-1"/>
          <w:sz w:val="24"/>
          <w:szCs w:val="24"/>
          <w:highlight w:val="none"/>
        </w:rPr>
        <w:t>）《环境影响评价技术导则</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地表水环境》（</w:t>
      </w:r>
      <w:r>
        <w:rPr>
          <w:rFonts w:ascii="Times New Roman" w:hAnsi="Times New Roman" w:eastAsia="Times New Roman" w:cs="Times New Roman"/>
          <w:spacing w:val="-1"/>
          <w:sz w:val="24"/>
          <w:szCs w:val="24"/>
          <w:highlight w:val="none"/>
        </w:rPr>
        <w:t>HJ2.3-2018</w:t>
      </w:r>
      <w:r>
        <w:rPr>
          <w:rFonts w:ascii="宋体" w:hAnsi="宋体" w:eastAsia="宋体" w:cs="宋体"/>
          <w:spacing w:val="4"/>
          <w:sz w:val="24"/>
          <w:szCs w:val="24"/>
          <w:highlight w:val="none"/>
        </w:rPr>
        <w:t>）；</w:t>
      </w:r>
    </w:p>
    <w:p w14:paraId="547F4C26">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4</w:t>
      </w:r>
      <w:r>
        <w:rPr>
          <w:rFonts w:ascii="宋体" w:hAnsi="宋体" w:eastAsia="宋体" w:cs="宋体"/>
          <w:spacing w:val="-1"/>
          <w:sz w:val="24"/>
          <w:szCs w:val="24"/>
          <w:highlight w:val="none"/>
        </w:rPr>
        <w:t>）《环境影响评价技术导则</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地下水环境》（</w:t>
      </w:r>
      <w:r>
        <w:rPr>
          <w:rFonts w:ascii="Times New Roman" w:hAnsi="Times New Roman" w:eastAsia="Times New Roman" w:cs="Times New Roman"/>
          <w:spacing w:val="-1"/>
          <w:sz w:val="24"/>
          <w:szCs w:val="24"/>
          <w:highlight w:val="none"/>
        </w:rPr>
        <w:t>HJ610-2016</w:t>
      </w:r>
      <w:r>
        <w:rPr>
          <w:rFonts w:ascii="宋体" w:hAnsi="宋体" w:eastAsia="宋体" w:cs="宋体"/>
          <w:spacing w:val="4"/>
          <w:sz w:val="24"/>
          <w:szCs w:val="24"/>
          <w:highlight w:val="none"/>
        </w:rPr>
        <w:t>）；</w:t>
      </w:r>
    </w:p>
    <w:p w14:paraId="326F0ED6">
      <w:pPr>
        <w:keepNext w:val="0"/>
        <w:keepLines w:val="0"/>
        <w:pageBreakBefore w:val="0"/>
        <w:widowControl w:val="0"/>
        <w:tabs>
          <w:tab w:val="left" w:pos="2448"/>
        </w:tabs>
        <w:kinsoku/>
        <w:wordWrap/>
        <w:overflowPunct/>
        <w:topLinePunct w:val="0"/>
        <w:autoSpaceDE/>
        <w:autoSpaceDN/>
        <w:bidi w:val="0"/>
        <w:adjustRightInd/>
        <w:snapToGrid/>
        <w:spacing w:line="360" w:lineRule="auto"/>
        <w:ind w:left="0" w:leftChars="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5</w:t>
      </w:r>
      <w:r>
        <w:rPr>
          <w:rFonts w:ascii="宋体" w:hAnsi="宋体" w:eastAsia="宋体" w:cs="宋体"/>
          <w:spacing w:val="-1"/>
          <w:sz w:val="24"/>
          <w:szCs w:val="24"/>
          <w:highlight w:val="none"/>
        </w:rPr>
        <w:t>）《环境影响评价技术导则</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声环境》（</w:t>
      </w:r>
      <w:r>
        <w:rPr>
          <w:rFonts w:ascii="Times New Roman" w:hAnsi="Times New Roman" w:eastAsia="Times New Roman" w:cs="Times New Roman"/>
          <w:spacing w:val="-1"/>
          <w:sz w:val="24"/>
          <w:szCs w:val="24"/>
          <w:highlight w:val="none"/>
        </w:rPr>
        <w:t>HJ2.4-2021</w:t>
      </w:r>
      <w:r>
        <w:rPr>
          <w:rFonts w:ascii="宋体" w:hAnsi="宋体" w:eastAsia="宋体" w:cs="宋体"/>
          <w:spacing w:val="3"/>
          <w:sz w:val="24"/>
          <w:szCs w:val="24"/>
          <w:highlight w:val="none"/>
        </w:rPr>
        <w:t>）；</w:t>
      </w:r>
    </w:p>
    <w:p w14:paraId="65834816">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6</w:t>
      </w:r>
      <w:r>
        <w:rPr>
          <w:rFonts w:ascii="宋体" w:hAnsi="宋体" w:eastAsia="宋体" w:cs="宋体"/>
          <w:spacing w:val="-1"/>
          <w:sz w:val="24"/>
          <w:szCs w:val="24"/>
          <w:highlight w:val="none"/>
        </w:rPr>
        <w:t>）《环境影响评价技术导则</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生态影响》（</w:t>
      </w:r>
      <w:r>
        <w:rPr>
          <w:rFonts w:ascii="Times New Roman" w:hAnsi="Times New Roman" w:eastAsia="Times New Roman" w:cs="Times New Roman"/>
          <w:spacing w:val="-1"/>
          <w:sz w:val="24"/>
          <w:szCs w:val="24"/>
          <w:highlight w:val="none"/>
        </w:rPr>
        <w:t>HJ19-2022</w:t>
      </w:r>
      <w:r>
        <w:rPr>
          <w:rFonts w:ascii="宋体" w:hAnsi="宋体" w:eastAsia="宋体" w:cs="宋体"/>
          <w:spacing w:val="3"/>
          <w:sz w:val="24"/>
          <w:szCs w:val="24"/>
          <w:highlight w:val="none"/>
        </w:rPr>
        <w:t>）；</w:t>
      </w:r>
    </w:p>
    <w:p w14:paraId="6A749BD0">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7</w:t>
      </w:r>
      <w:r>
        <w:rPr>
          <w:rFonts w:ascii="宋体" w:hAnsi="宋体" w:eastAsia="宋体" w:cs="宋体"/>
          <w:spacing w:val="-1"/>
          <w:sz w:val="24"/>
          <w:szCs w:val="24"/>
          <w:highlight w:val="none"/>
        </w:rPr>
        <w:t>）《环境影响评价技术导则</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土壤环境》（</w:t>
      </w:r>
      <w:r>
        <w:rPr>
          <w:rFonts w:ascii="Times New Roman" w:hAnsi="Times New Roman" w:eastAsia="Times New Roman" w:cs="Times New Roman"/>
          <w:spacing w:val="-1"/>
          <w:sz w:val="24"/>
          <w:szCs w:val="24"/>
          <w:highlight w:val="none"/>
        </w:rPr>
        <w:t>HJ964-2018</w:t>
      </w:r>
      <w:r>
        <w:rPr>
          <w:rFonts w:ascii="宋体" w:hAnsi="宋体" w:eastAsia="宋体" w:cs="宋体"/>
          <w:spacing w:val="4"/>
          <w:sz w:val="24"/>
          <w:szCs w:val="24"/>
          <w:highlight w:val="none"/>
        </w:rPr>
        <w:t>）；</w:t>
      </w:r>
    </w:p>
    <w:p w14:paraId="5D712DEE">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8</w:t>
      </w:r>
      <w:r>
        <w:rPr>
          <w:rFonts w:ascii="宋体" w:hAnsi="宋体" w:eastAsia="宋体" w:cs="宋体"/>
          <w:spacing w:val="-1"/>
          <w:sz w:val="24"/>
          <w:szCs w:val="24"/>
          <w:highlight w:val="none"/>
        </w:rPr>
        <w:t>）《建设项目环境风险评价技术导则》（</w:t>
      </w:r>
      <w:r>
        <w:rPr>
          <w:rFonts w:ascii="Times New Roman" w:hAnsi="Times New Roman" w:eastAsia="Times New Roman" w:cs="Times New Roman"/>
          <w:spacing w:val="-1"/>
          <w:sz w:val="24"/>
          <w:szCs w:val="24"/>
          <w:highlight w:val="none"/>
        </w:rPr>
        <w:t>HJ169-2018</w:t>
      </w:r>
      <w:r>
        <w:rPr>
          <w:rFonts w:ascii="宋体" w:hAnsi="宋体" w:eastAsia="宋体" w:cs="宋体"/>
          <w:spacing w:val="3"/>
          <w:sz w:val="24"/>
          <w:szCs w:val="24"/>
          <w:highlight w:val="none"/>
        </w:rPr>
        <w:t>）；</w:t>
      </w:r>
    </w:p>
    <w:p w14:paraId="373CDD5D">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9</w:t>
      </w:r>
      <w:r>
        <w:rPr>
          <w:rFonts w:ascii="宋体" w:hAnsi="宋体" w:eastAsia="宋体" w:cs="宋体"/>
          <w:spacing w:val="-1"/>
          <w:sz w:val="24"/>
          <w:szCs w:val="24"/>
          <w:highlight w:val="none"/>
        </w:rPr>
        <w:t>）《排污单位自行监测技术指南 总则》（</w:t>
      </w:r>
      <w:r>
        <w:rPr>
          <w:rFonts w:ascii="Times New Roman" w:hAnsi="Times New Roman" w:eastAsia="Times New Roman" w:cs="Times New Roman"/>
          <w:spacing w:val="-1"/>
          <w:sz w:val="24"/>
          <w:szCs w:val="24"/>
          <w:highlight w:val="none"/>
        </w:rPr>
        <w:t>HJ819-2017</w:t>
      </w:r>
      <w:r>
        <w:rPr>
          <w:rFonts w:ascii="宋体" w:hAnsi="宋体" w:eastAsia="宋体" w:cs="宋体"/>
          <w:spacing w:val="4"/>
          <w:sz w:val="24"/>
          <w:szCs w:val="24"/>
          <w:highlight w:val="none"/>
        </w:rPr>
        <w:t>）；</w:t>
      </w:r>
    </w:p>
    <w:p w14:paraId="01A2AAF3">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10</w:t>
      </w:r>
      <w:r>
        <w:rPr>
          <w:rFonts w:ascii="宋体" w:hAnsi="宋体" w:eastAsia="宋体" w:cs="宋体"/>
          <w:spacing w:val="-1"/>
          <w:sz w:val="24"/>
          <w:szCs w:val="24"/>
          <w:highlight w:val="none"/>
        </w:rPr>
        <w:t>）《污染源源强核算技术指南准则》（</w:t>
      </w:r>
      <w:r>
        <w:rPr>
          <w:rFonts w:ascii="Times New Roman" w:hAnsi="Times New Roman" w:eastAsia="Times New Roman" w:cs="Times New Roman"/>
          <w:spacing w:val="-1"/>
          <w:sz w:val="24"/>
          <w:szCs w:val="24"/>
          <w:highlight w:val="none"/>
        </w:rPr>
        <w:t>HJ884-2018</w:t>
      </w:r>
      <w:r>
        <w:rPr>
          <w:rFonts w:ascii="宋体" w:hAnsi="宋体" w:eastAsia="宋体" w:cs="宋体"/>
          <w:spacing w:val="3"/>
          <w:sz w:val="24"/>
          <w:szCs w:val="24"/>
          <w:highlight w:val="none"/>
        </w:rPr>
        <w:t>）；</w:t>
      </w:r>
    </w:p>
    <w:p w14:paraId="3083C2EF">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both"/>
        <w:textAlignment w:val="auto"/>
        <w:rPr>
          <w:rFonts w:ascii="宋体" w:hAnsi="宋体" w:eastAsia="宋体" w:cs="宋体"/>
          <w:sz w:val="24"/>
          <w:szCs w:val="24"/>
          <w:highlight w:val="none"/>
        </w:rPr>
      </w:pPr>
      <w:r>
        <w:rPr>
          <w:rFonts w:ascii="宋体" w:hAnsi="宋体" w:eastAsia="宋体" w:cs="宋体"/>
          <w:spacing w:val="-3"/>
          <w:sz w:val="24"/>
          <w:szCs w:val="24"/>
          <w:highlight w:val="none"/>
        </w:rPr>
        <w:t>（</w:t>
      </w:r>
      <w:r>
        <w:rPr>
          <w:rFonts w:ascii="Times New Roman" w:hAnsi="Times New Roman" w:eastAsia="Times New Roman" w:cs="Times New Roman"/>
          <w:spacing w:val="-3"/>
          <w:sz w:val="24"/>
          <w:szCs w:val="24"/>
          <w:highlight w:val="none"/>
        </w:rPr>
        <w:t>11</w:t>
      </w:r>
      <w:r>
        <w:rPr>
          <w:rFonts w:ascii="宋体" w:hAnsi="宋体" w:eastAsia="宋体" w:cs="宋体"/>
          <w:spacing w:val="-3"/>
          <w:sz w:val="24"/>
          <w:szCs w:val="24"/>
          <w:highlight w:val="none"/>
        </w:rPr>
        <w:t>）《危险化学品重大危险源辨识》（</w:t>
      </w:r>
      <w:r>
        <w:rPr>
          <w:rFonts w:ascii="Times New Roman" w:hAnsi="Times New Roman" w:eastAsia="Times New Roman" w:cs="Times New Roman"/>
          <w:spacing w:val="-3"/>
          <w:sz w:val="24"/>
          <w:szCs w:val="24"/>
          <w:highlight w:val="none"/>
        </w:rPr>
        <w:t>GB1</w:t>
      </w:r>
      <w:r>
        <w:rPr>
          <w:rFonts w:ascii="Times New Roman" w:hAnsi="Times New Roman" w:eastAsia="Times New Roman" w:cs="Times New Roman"/>
          <w:spacing w:val="-4"/>
          <w:sz w:val="24"/>
          <w:szCs w:val="24"/>
          <w:highlight w:val="none"/>
        </w:rPr>
        <w:t>8218-2018</w:t>
      </w:r>
      <w:r>
        <w:rPr>
          <w:rFonts w:ascii="宋体" w:hAnsi="宋体" w:eastAsia="宋体" w:cs="宋体"/>
          <w:spacing w:val="-21"/>
          <w:sz w:val="24"/>
          <w:szCs w:val="24"/>
          <w:highlight w:val="none"/>
        </w:rPr>
        <w:t>），</w:t>
      </w:r>
      <w:r>
        <w:rPr>
          <w:rFonts w:ascii="Times New Roman" w:hAnsi="Times New Roman" w:eastAsia="Times New Roman" w:cs="Times New Roman"/>
          <w:spacing w:val="-4"/>
          <w:sz w:val="24"/>
          <w:szCs w:val="24"/>
          <w:highlight w:val="none"/>
        </w:rPr>
        <w:t xml:space="preserve">2019  </w:t>
      </w:r>
      <w:r>
        <w:rPr>
          <w:rFonts w:ascii="宋体" w:hAnsi="宋体" w:eastAsia="宋体" w:cs="宋体"/>
          <w:spacing w:val="-4"/>
          <w:sz w:val="24"/>
          <w:szCs w:val="24"/>
          <w:highlight w:val="none"/>
        </w:rPr>
        <w:t xml:space="preserve">年 </w:t>
      </w:r>
      <w:r>
        <w:rPr>
          <w:rFonts w:ascii="Times New Roman" w:hAnsi="Times New Roman" w:eastAsia="Times New Roman" w:cs="Times New Roman"/>
          <w:spacing w:val="-4"/>
          <w:sz w:val="24"/>
          <w:szCs w:val="24"/>
          <w:highlight w:val="none"/>
        </w:rPr>
        <w:t xml:space="preserve">3  </w:t>
      </w:r>
      <w:r>
        <w:rPr>
          <w:rFonts w:ascii="宋体" w:hAnsi="宋体" w:eastAsia="宋体" w:cs="宋体"/>
          <w:spacing w:val="-4"/>
          <w:sz w:val="24"/>
          <w:szCs w:val="24"/>
          <w:highlight w:val="none"/>
        </w:rPr>
        <w:t>月</w:t>
      </w:r>
      <w:r>
        <w:rPr>
          <w:rFonts w:ascii="宋体" w:hAnsi="宋体" w:eastAsia="宋体" w:cs="宋体"/>
          <w:spacing w:val="29"/>
          <w:sz w:val="24"/>
          <w:szCs w:val="24"/>
          <w:highlight w:val="none"/>
        </w:rPr>
        <w:t xml:space="preserve"> </w:t>
      </w:r>
      <w:r>
        <w:rPr>
          <w:rFonts w:ascii="Times New Roman" w:hAnsi="Times New Roman" w:eastAsia="Times New Roman" w:cs="Times New Roman"/>
          <w:spacing w:val="-4"/>
          <w:sz w:val="24"/>
          <w:szCs w:val="24"/>
          <w:highlight w:val="none"/>
        </w:rPr>
        <w:t>1</w:t>
      </w:r>
      <w:r>
        <w:rPr>
          <w:rFonts w:ascii="Times New Roman" w:hAnsi="Times New Roman" w:eastAsia="Times New Roman" w:cs="Times New Roman"/>
          <w:sz w:val="24"/>
          <w:szCs w:val="24"/>
          <w:highlight w:val="none"/>
        </w:rPr>
        <w:t xml:space="preserve"> </w:t>
      </w:r>
      <w:r>
        <w:rPr>
          <w:rFonts w:ascii="宋体" w:hAnsi="宋体" w:eastAsia="宋体" w:cs="宋体"/>
          <w:spacing w:val="-13"/>
          <w:sz w:val="24"/>
          <w:szCs w:val="24"/>
          <w:highlight w:val="none"/>
        </w:rPr>
        <w:t>日实施；</w:t>
      </w:r>
    </w:p>
    <w:p w14:paraId="7A4D5C6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rPr>
        <w:t>（12）《危险化学品仓库储存通则》（GB 15603-2022）；</w:t>
      </w:r>
    </w:p>
    <w:p w14:paraId="36483BEE">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rPr>
        <w:t>（13）《危险废物收集贮存运输技术规范》（HJ2025-2012）；</w:t>
      </w:r>
    </w:p>
    <w:p w14:paraId="42D0E27C">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rPr>
        <w:t>（14）《排污许可证申请与核发技术规范 总则》（HJ 942-2018）；</w:t>
      </w:r>
    </w:p>
    <w:p w14:paraId="75F37066">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（15）《排污许可证申请与核发技术规范 专用化学产品制造工业》（HJ1103-2020）</w:t>
      </w:r>
    </w:p>
    <w:p w14:paraId="56436653">
      <w:pPr>
        <w:pStyle w:val="7"/>
        <w:bidi w:val="0"/>
        <w:rPr>
          <w:rFonts w:ascii="Times New Roman" w:hAnsi="Times New Roman" w:eastAsia="宋体" w:cs="Times New Roman"/>
          <w:highlight w:val="none"/>
          <w:lang w:val="en-US" w:eastAsia="zh-CN"/>
        </w:rPr>
      </w:pPr>
      <w:bookmarkStart w:id="51" w:name="_Toc28692"/>
      <w:r>
        <w:rPr>
          <w:rFonts w:ascii="Times New Roman" w:hAnsi="Times New Roman" w:eastAsia="宋体" w:cs="Times New Roman"/>
          <w:highlight w:val="none"/>
          <w:lang w:val="en-US" w:eastAsia="zh-CN"/>
        </w:rPr>
        <w:t>2.1.4 其他相关技术文件</w:t>
      </w:r>
      <w:bookmarkEnd w:id="51"/>
    </w:p>
    <w:p w14:paraId="222149C9">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（1）《年复配3500吨生物酶制剂及1500吨酶制品助剂应用项目可研报告》</w:t>
      </w:r>
    </w:p>
    <w:p w14:paraId="1865FF48">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lang w:val="en-US" w:eastAsia="zh-CN"/>
        </w:rPr>
        <w:t>（2）</w:t>
      </w:r>
      <w:r>
        <w:rPr>
          <w:rFonts w:hint="default" w:ascii="Times New Roman" w:hAnsi="Times New Roman" w:eastAsia="宋体" w:cs="Times New Roman"/>
          <w:spacing w:val="-1"/>
          <w:sz w:val="24"/>
          <w:szCs w:val="24"/>
          <w:highlight w:val="none"/>
        </w:rPr>
        <w:t>本项目环评委托书；</w:t>
      </w:r>
    </w:p>
    <w:p w14:paraId="3A7DE78B">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pacing w:val="-1"/>
          <w:sz w:val="24"/>
          <w:szCs w:val="24"/>
          <w:highlight w:val="none"/>
          <w:lang w:val="en-US" w:eastAsia="zh-CN"/>
        </w:rPr>
        <w:t>3</w:t>
      </w:r>
      <w:r>
        <w:rPr>
          <w:rFonts w:hint="default" w:ascii="Times New Roman" w:hAnsi="Times New Roman" w:eastAsia="宋体" w:cs="Times New Roman"/>
          <w:spacing w:val="-1"/>
          <w:sz w:val="24"/>
          <w:szCs w:val="24"/>
          <w:highlight w:val="none"/>
        </w:rPr>
        <w:t>）建设单位提供的其他相关资料；</w:t>
      </w:r>
    </w:p>
    <w:p w14:paraId="2DE4BC6B">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eastAsia="黑体" w:cs="Times New Roman"/>
          <w:color w:val="auto"/>
          <w:sz w:val="28"/>
          <w:szCs w:val="28"/>
          <w:highlight w:val="none"/>
          <w:lang w:val="en-US" w:eastAsia="zh-CN"/>
        </w:rPr>
      </w:pP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pacing w:val="-1"/>
          <w:sz w:val="24"/>
          <w:szCs w:val="24"/>
          <w:highlight w:val="none"/>
          <w:lang w:val="en-US" w:eastAsia="zh-CN"/>
        </w:rPr>
        <w:t>4</w:t>
      </w:r>
      <w:r>
        <w:rPr>
          <w:rFonts w:hint="default" w:ascii="Times New Roman" w:hAnsi="Times New Roman" w:eastAsia="宋体" w:cs="Times New Roman"/>
          <w:spacing w:val="-1"/>
          <w:sz w:val="24"/>
          <w:szCs w:val="24"/>
          <w:highlight w:val="none"/>
        </w:rPr>
        <w:t>）环境质量现状监测报告及质量保证单。</w:t>
      </w:r>
    </w:p>
    <w:p w14:paraId="32B5AC7F">
      <w:pPr>
        <w:pStyle w:val="6"/>
        <w:keepNext/>
        <w:keepLines/>
        <w:pageBreakBefore w:val="0"/>
        <w:widowControl w:val="0"/>
        <w:kinsoku/>
        <w:wordWrap/>
        <w:overflowPunct/>
        <w:topLinePunct w:val="0"/>
        <w:autoSpaceDE/>
        <w:autoSpaceDN/>
        <w:bidi w:val="0"/>
        <w:adjustRightInd/>
        <w:snapToGrid/>
        <w:spacing w:before="0" w:beforeLines="50" w:after="0" w:afterLines="50"/>
        <w:textAlignment w:val="auto"/>
        <w:rPr>
          <w:highlight w:val="none"/>
        </w:rPr>
      </w:pPr>
      <w:bookmarkStart w:id="52" w:name="_Toc17573"/>
      <w:r>
        <w:rPr>
          <w:highlight w:val="none"/>
        </w:rPr>
        <w:t>2.</w:t>
      </w:r>
      <w:r>
        <w:rPr>
          <w:rFonts w:hint="eastAsia"/>
          <w:highlight w:val="none"/>
          <w:lang w:val="en-US" w:eastAsia="zh-CN"/>
        </w:rPr>
        <w:t xml:space="preserve">2 </w:t>
      </w:r>
      <w:r>
        <w:rPr>
          <w:highlight w:val="none"/>
        </w:rPr>
        <w:t>评价的目的和原则</w:t>
      </w:r>
      <w:bookmarkEnd w:id="52"/>
    </w:p>
    <w:p w14:paraId="2EB9D1FF">
      <w:pPr>
        <w:pStyle w:val="7"/>
        <w:keepNext/>
        <w:keepLines/>
        <w:pageBreakBefore w:val="0"/>
        <w:widowControl w:val="0"/>
        <w:kinsoku/>
        <w:wordWrap/>
        <w:overflowPunct/>
        <w:topLinePunct w:val="0"/>
        <w:autoSpaceDE/>
        <w:autoSpaceDN/>
        <w:bidi w:val="0"/>
        <w:adjustRightInd/>
        <w:snapToGrid/>
        <w:spacing w:before="0" w:beforeLines="50" w:after="0" w:afterLines="50"/>
        <w:textAlignment w:val="auto"/>
        <w:rPr>
          <w:rFonts w:ascii="Times New Roman" w:hAnsi="Times New Roman" w:eastAsia="宋体" w:cs="Times New Roman"/>
          <w:highlight w:val="none"/>
          <w:lang w:val="en-US" w:eastAsia="zh-CN"/>
        </w:rPr>
      </w:pPr>
      <w:bookmarkStart w:id="53" w:name="_Toc23353"/>
      <w:r>
        <w:rPr>
          <w:rFonts w:ascii="Times New Roman" w:hAnsi="Times New Roman" w:eastAsia="宋体" w:cs="Times New Roman"/>
          <w:highlight w:val="none"/>
          <w:lang w:val="en-US" w:eastAsia="zh-CN"/>
        </w:rPr>
        <w:t>2.2.1</w:t>
      </w:r>
      <w:r>
        <w:rPr>
          <w:rFonts w:hint="eastAsia" w:ascii="Times New Roman" w:hAnsi="Times New Roman" w:eastAsia="宋体" w:cs="Times New Roman"/>
          <w:highlight w:val="none"/>
          <w:lang w:val="en-US" w:eastAsia="zh-CN"/>
        </w:rPr>
        <w:t xml:space="preserve"> </w:t>
      </w:r>
      <w:r>
        <w:rPr>
          <w:rFonts w:ascii="Times New Roman" w:hAnsi="Times New Roman" w:eastAsia="宋体" w:cs="Times New Roman"/>
          <w:highlight w:val="none"/>
          <w:lang w:val="en-US" w:eastAsia="zh-CN"/>
        </w:rPr>
        <w:t>评价目的</w:t>
      </w:r>
      <w:bookmarkEnd w:id="53"/>
    </w:p>
    <w:p w14:paraId="6196324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针对本项目的实际特点，本次评价的主要目的为：</w:t>
      </w:r>
    </w:p>
    <w:p w14:paraId="5146CB92">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（1）通过环境现状调查和监测，掌握工程选址所在区域自然环境概况及环 境质量现状，为环境影响评价提供依据。</w:t>
      </w:r>
    </w:p>
    <w:p w14:paraId="46F93F2A">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（2）针对工程特点和污染特征，确定主要污染因子和环境影响要素。</w:t>
      </w:r>
    </w:p>
    <w:p w14:paraId="3A633039">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（3）分析论述工程采用的生产工艺和污染防治措施的先进性和可行性。</w:t>
      </w:r>
    </w:p>
    <w:p w14:paraId="75971CD8">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（4）预测项目建成后对当地环境可能造成影响的范围和程度，提出避免或 减少污染的对策和建议，并提出总量控制指标。</w:t>
      </w:r>
    </w:p>
    <w:p w14:paraId="064DE928">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黑体" w:cs="Times New Roman"/>
          <w:color w:val="auto"/>
          <w:sz w:val="28"/>
          <w:szCs w:val="28"/>
          <w:highlight w:val="none"/>
          <w:lang w:val="en-US" w:eastAsia="zh-CN"/>
        </w:rPr>
      </w:pPr>
      <w:r>
        <w:rPr>
          <w:rFonts w:hint="default" w:ascii="Times New Roman" w:hAnsi="Times New Roman" w:eastAsia="宋体" w:cs="Times New Roman"/>
          <w:spacing w:val="-1"/>
          <w:sz w:val="24"/>
          <w:szCs w:val="24"/>
          <w:highlight w:val="none"/>
          <w:lang w:val="en-US" w:eastAsia="zh-CN"/>
        </w:rPr>
        <w:t>（5）从技术、经济角度分析工程采用污染治理措施的可行性，从环境保护的角度对工程的建设是否可行做出明确的结论。</w:t>
      </w:r>
    </w:p>
    <w:p w14:paraId="44B82CEA">
      <w:pPr>
        <w:pStyle w:val="7"/>
        <w:bidi w:val="0"/>
        <w:rPr>
          <w:rFonts w:ascii="Times New Roman" w:hAnsi="Times New Roman" w:eastAsia="宋体" w:cs="Times New Roman"/>
          <w:highlight w:val="none"/>
          <w:lang w:val="en-US" w:eastAsia="zh-CN"/>
        </w:rPr>
      </w:pPr>
      <w:bookmarkStart w:id="54" w:name="_Toc8662"/>
      <w:r>
        <w:rPr>
          <w:rFonts w:ascii="Times New Roman" w:hAnsi="Times New Roman" w:eastAsia="宋体" w:cs="Times New Roman"/>
          <w:highlight w:val="none"/>
          <w:lang w:val="en-US" w:eastAsia="zh-CN"/>
        </w:rPr>
        <w:t>2.2.2 评价原则</w:t>
      </w:r>
      <w:bookmarkEnd w:id="54"/>
    </w:p>
    <w:p w14:paraId="06733BD0">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突出环境影响评价的源头预防作用，坚持保护和改善环境质量。</w:t>
      </w:r>
    </w:p>
    <w:p w14:paraId="4172AAEC">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（1）依法评价</w:t>
      </w:r>
    </w:p>
    <w:p w14:paraId="2C03B4E3">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贯彻执行我国环境保护相关法律法规、标准、政策和规划等，优化项目建设， 服务环境管理。</w:t>
      </w:r>
    </w:p>
    <w:p w14:paraId="557CDCCF">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（2）科学评价</w:t>
      </w:r>
    </w:p>
    <w:p w14:paraId="6CD30A55">
      <w:pPr>
        <w:tabs>
          <w:tab w:val="left" w:pos="1878"/>
        </w:tabs>
        <w:bidi w:val="0"/>
        <w:ind w:left="0" w:leftChars="0" w:firstLine="714" w:firstLineChars="300"/>
        <w:jc w:val="left"/>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规范环境影响评价方法，科学分析项目建设对环境质量的影响。</w:t>
      </w:r>
    </w:p>
    <w:p w14:paraId="59B8314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（3）突出重点</w:t>
      </w:r>
    </w:p>
    <w:p w14:paraId="09278B14">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highlight w:val="none"/>
          <w:lang w:val="en-US" w:eastAsia="zh-CN"/>
        </w:rPr>
      </w:pPr>
      <w:r>
        <w:rPr>
          <w:rFonts w:hint="default" w:ascii="Times New Roman" w:hAnsi="Times New Roman" w:eastAsia="宋体" w:cs="Times New Roman"/>
          <w:spacing w:val="-1"/>
          <w:sz w:val="24"/>
          <w:szCs w:val="24"/>
          <w:highlight w:val="none"/>
          <w:lang w:val="en-US" w:eastAsia="zh-CN"/>
        </w:rPr>
        <w:t>根据建设项目的工程内容及其特点，明确与环境要素间的作用效应关系，根 据规划环境影响评价结论和审查意见，充分利用符合时效的数据资料及成果，对 建设项目主要环境影响予以重点分析和评价。</w:t>
      </w:r>
    </w:p>
    <w:p w14:paraId="57A3AD40">
      <w:pPr>
        <w:pStyle w:val="7"/>
        <w:bidi w:val="0"/>
        <w:rPr>
          <w:rFonts w:ascii="Times New Roman" w:hAnsi="Times New Roman" w:eastAsia="宋体" w:cs="Times New Roman"/>
          <w:highlight w:val="none"/>
          <w:lang w:val="en-US" w:eastAsia="zh-CN"/>
        </w:rPr>
      </w:pPr>
      <w:bookmarkStart w:id="55" w:name="_Toc6503"/>
      <w:r>
        <w:rPr>
          <w:rFonts w:ascii="Times New Roman" w:hAnsi="Times New Roman" w:eastAsia="宋体" w:cs="Times New Roman"/>
          <w:highlight w:val="none"/>
          <w:lang w:val="en-US" w:eastAsia="zh-CN"/>
        </w:rPr>
        <w:t>2.2.3评价重点</w:t>
      </w:r>
      <w:bookmarkEnd w:id="55"/>
    </w:p>
    <w:p w14:paraId="0F56C8DC">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通过对项目环境影响因子的识别和筛选，并结合项目行业特点，此次评价重 点为：</w:t>
      </w:r>
    </w:p>
    <w:p w14:paraId="783D37A7">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（1）工程分析：针对项目特点，调查分析废气、废水、固体废物等的污染 物特性，重点核实项目污染物的排放源强和排放特征；</w:t>
      </w:r>
    </w:p>
    <w:p w14:paraId="4A0E1FAA">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（2）环境影响预测与评价：依据核实项目污染物的排放源强和排放特征， 预测判断项目建设完成后对评价区环境的影响程度和范围；</w:t>
      </w:r>
    </w:p>
    <w:p w14:paraId="6794060D">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（3）污染防治措施及技术经济分析：根据建设项目产生的污染物特点，充 分分析污染治理措施的技术先进性、经济合理性及运行的可靠性</w:t>
      </w:r>
      <w:r>
        <w:rPr>
          <w:rFonts w:hint="eastAsia" w:ascii="Times New Roman" w:hAnsi="Times New Roman" w:eastAsia="宋体" w:cs="Times New Roman"/>
          <w:spacing w:val="-1"/>
          <w:sz w:val="24"/>
          <w:szCs w:val="24"/>
          <w:highlight w:val="none"/>
          <w:lang w:val="en-US" w:eastAsia="zh-CN"/>
        </w:rPr>
        <w:t>；</w:t>
      </w:r>
    </w:p>
    <w:p w14:paraId="02614119">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highlight w:val="none"/>
          <w:lang w:val="en-US" w:eastAsia="zh-CN"/>
        </w:rPr>
      </w:pPr>
      <w:r>
        <w:rPr>
          <w:rFonts w:hint="eastAsia" w:ascii="Times New Roman" w:hAnsi="Times New Roman" w:eastAsia="宋体" w:cs="Times New Roman"/>
          <w:spacing w:val="-1"/>
          <w:sz w:val="24"/>
          <w:szCs w:val="24"/>
          <w:highlight w:val="none"/>
          <w:lang w:val="en-US" w:eastAsia="zh-CN"/>
        </w:rPr>
        <w:t>（4）</w:t>
      </w:r>
      <w:r>
        <w:rPr>
          <w:rFonts w:hint="default" w:ascii="Times New Roman" w:hAnsi="Times New Roman" w:eastAsia="宋体" w:cs="Times New Roman"/>
          <w:spacing w:val="-1"/>
          <w:sz w:val="24"/>
          <w:szCs w:val="24"/>
          <w:highlight w:val="none"/>
          <w:lang w:val="en-US" w:eastAsia="zh-CN"/>
        </w:rPr>
        <w:t>厂址可行性及总图布置合理性分析</w:t>
      </w:r>
      <w:r>
        <w:rPr>
          <w:rFonts w:hint="eastAsia" w:ascii="Times New Roman" w:hAnsi="Times New Roman" w:eastAsia="宋体" w:cs="Times New Roman"/>
          <w:spacing w:val="-1"/>
          <w:sz w:val="24"/>
          <w:szCs w:val="24"/>
          <w:highlight w:val="none"/>
          <w:lang w:val="en-US" w:eastAsia="zh-CN"/>
        </w:rPr>
        <w:t>。</w:t>
      </w:r>
    </w:p>
    <w:p w14:paraId="35493BB7">
      <w:pPr>
        <w:pStyle w:val="6"/>
        <w:keepNext/>
        <w:keepLines/>
        <w:pageBreakBefore w:val="0"/>
        <w:widowControl w:val="0"/>
        <w:kinsoku/>
        <w:wordWrap/>
        <w:overflowPunct/>
        <w:topLinePunct w:val="0"/>
        <w:autoSpaceDE/>
        <w:autoSpaceDN/>
        <w:bidi w:val="0"/>
        <w:adjustRightInd/>
        <w:snapToGrid/>
        <w:spacing w:before="0" w:beforeLines="100" w:after="0" w:afterLines="100"/>
        <w:textAlignment w:val="auto"/>
        <w:rPr>
          <w:rFonts w:ascii="Times New Roman" w:hAnsi="Times New Roman" w:eastAsia="宋体" w:cs="Times New Roman"/>
          <w:highlight w:val="none"/>
        </w:rPr>
      </w:pPr>
      <w:bookmarkStart w:id="56" w:name="_Toc20778"/>
      <w:r>
        <w:rPr>
          <w:rFonts w:ascii="Times New Roman" w:hAnsi="Times New Roman" w:eastAsia="宋体" w:cs="Times New Roman"/>
          <w:highlight w:val="none"/>
        </w:rPr>
        <w:t>2.3</w:t>
      </w:r>
      <w:r>
        <w:rPr>
          <w:rFonts w:hint="eastAsia" w:ascii="Times New Roman" w:hAnsi="Times New Roman" w:eastAsia="宋体" w:cs="Times New Roman"/>
          <w:highlight w:val="none"/>
          <w:lang w:val="en-US" w:eastAsia="zh-CN"/>
        </w:rPr>
        <w:t xml:space="preserve"> </w:t>
      </w:r>
      <w:r>
        <w:rPr>
          <w:rFonts w:ascii="Times New Roman" w:hAnsi="Times New Roman" w:eastAsia="宋体" w:cs="Times New Roman"/>
          <w:highlight w:val="none"/>
        </w:rPr>
        <w:t>环境影响因素识别和评价因子筛选</w:t>
      </w:r>
      <w:bookmarkEnd w:id="56"/>
    </w:p>
    <w:p w14:paraId="689CFA1A">
      <w:pPr>
        <w:pStyle w:val="7"/>
        <w:keepNext/>
        <w:keepLines/>
        <w:pageBreakBefore w:val="0"/>
        <w:widowControl w:val="0"/>
        <w:kinsoku/>
        <w:wordWrap/>
        <w:overflowPunct/>
        <w:topLinePunct w:val="0"/>
        <w:autoSpaceDE/>
        <w:autoSpaceDN/>
        <w:bidi w:val="0"/>
        <w:adjustRightInd/>
        <w:snapToGrid/>
        <w:spacing w:before="0" w:beforeLines="100" w:after="0" w:afterLines="100"/>
        <w:textAlignment w:val="auto"/>
        <w:rPr>
          <w:rFonts w:ascii="Times New Roman" w:hAnsi="Times New Roman" w:eastAsia="宋体" w:cs="Times New Roman"/>
          <w:highlight w:val="none"/>
          <w:lang w:val="en-US" w:eastAsia="zh-CN"/>
        </w:rPr>
      </w:pPr>
      <w:bookmarkStart w:id="57" w:name="_Toc3181"/>
      <w:r>
        <w:rPr>
          <w:rFonts w:ascii="Times New Roman" w:hAnsi="Times New Roman" w:eastAsia="宋体" w:cs="Times New Roman"/>
          <w:highlight w:val="none"/>
          <w:lang w:val="en-US" w:eastAsia="zh-CN"/>
        </w:rPr>
        <w:t>2.3.</w:t>
      </w:r>
      <w:r>
        <w:rPr>
          <w:rFonts w:hint="eastAsia" w:ascii="Times New Roman" w:hAnsi="Times New Roman" w:eastAsia="宋体" w:cs="Times New Roman"/>
          <w:highlight w:val="none"/>
          <w:lang w:val="en-US" w:eastAsia="zh-CN"/>
        </w:rPr>
        <w:t xml:space="preserve">1 </w:t>
      </w:r>
      <w:r>
        <w:rPr>
          <w:rFonts w:ascii="Times New Roman" w:hAnsi="Times New Roman" w:eastAsia="宋体" w:cs="Times New Roman"/>
          <w:highlight w:val="none"/>
          <w:lang w:val="en-US" w:eastAsia="zh-CN"/>
        </w:rPr>
        <w:t>环境影响因素识别</w:t>
      </w:r>
      <w:bookmarkEnd w:id="57"/>
    </w:p>
    <w:p w14:paraId="3AEDFECE">
      <w:pPr>
        <w:pStyle w:val="2"/>
        <w:spacing w:before="182" w:line="360" w:lineRule="auto"/>
        <w:ind w:left="55" w:firstLine="477"/>
        <w:rPr>
          <w:spacing w:val="-3"/>
          <w:highlight w:val="none"/>
        </w:rPr>
      </w:pPr>
      <w:r>
        <w:rPr>
          <w:rFonts w:hint="eastAsia" w:ascii="Times New Roman" w:cs="Times New Roman"/>
          <w:color w:val="auto"/>
          <w:highlight w:val="none"/>
        </w:rPr>
        <w:t>本次环境影响因素识别采用矩阵法，根据本项目的工程特点和污染源的排放特征，</w:t>
      </w:r>
      <w:r>
        <w:rPr>
          <w:spacing w:val="-6"/>
          <w:highlight w:val="none"/>
        </w:rPr>
        <w:t>项目区域环境现状，评</w:t>
      </w:r>
      <w:r>
        <w:rPr>
          <w:spacing w:val="-7"/>
          <w:highlight w:val="none"/>
        </w:rPr>
        <w:t>价识别出项目建设影响的主要环境要素，</w:t>
      </w:r>
      <w:r>
        <w:rPr>
          <w:highlight w:val="none"/>
        </w:rPr>
        <w:t xml:space="preserve"> </w:t>
      </w:r>
      <w:r>
        <w:rPr>
          <w:spacing w:val="-3"/>
          <w:highlight w:val="none"/>
        </w:rPr>
        <w:t>详见表</w:t>
      </w:r>
      <w:r>
        <w:rPr>
          <w:spacing w:val="-47"/>
          <w:highlight w:val="none"/>
        </w:rPr>
        <w:t xml:space="preserve"> </w:t>
      </w:r>
      <w:r>
        <w:rPr>
          <w:rFonts w:ascii="Times New Roman" w:hAnsi="Times New Roman" w:eastAsia="Times New Roman" w:cs="Times New Roman"/>
          <w:spacing w:val="-3"/>
          <w:highlight w:val="none"/>
        </w:rPr>
        <w:t>2.</w:t>
      </w:r>
      <w:r>
        <w:rPr>
          <w:rFonts w:hint="eastAsia" w:eastAsia="宋体" w:cs="Times New Roman"/>
          <w:spacing w:val="-3"/>
          <w:highlight w:val="none"/>
          <w:lang w:val="en-US" w:eastAsia="zh-CN"/>
        </w:rPr>
        <w:t>3</w:t>
      </w:r>
      <w:r>
        <w:rPr>
          <w:rFonts w:ascii="Times New Roman" w:hAnsi="Times New Roman" w:eastAsia="Times New Roman" w:cs="Times New Roman"/>
          <w:spacing w:val="-3"/>
          <w:highlight w:val="none"/>
        </w:rPr>
        <w:t>-1</w:t>
      </w:r>
      <w:r>
        <w:rPr>
          <w:spacing w:val="-3"/>
          <w:highlight w:val="none"/>
        </w:rPr>
        <w:t>。</w:t>
      </w:r>
    </w:p>
    <w:p w14:paraId="5C0F1F8E">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Times New Roman" w:hAnsi="Times New Roman" w:eastAsia="宋体" w:cs="Times New Roman"/>
          <w:b/>
          <w:bCs/>
          <w:spacing w:val="-7"/>
          <w:kern w:val="0"/>
          <w:sz w:val="24"/>
          <w:szCs w:val="20"/>
          <w:highlight w:val="none"/>
          <w:lang w:val="en-US" w:eastAsia="zh-CN" w:bidi="ar-SA"/>
        </w:rPr>
      </w:pPr>
      <w:r>
        <w:rPr>
          <w:rFonts w:ascii="Times New Roman" w:hAnsi="Times New Roman" w:eastAsia="宋体" w:cs="Times New Roman"/>
          <w:b/>
          <w:bCs/>
          <w:spacing w:val="-7"/>
          <w:kern w:val="0"/>
          <w:sz w:val="24"/>
          <w:szCs w:val="20"/>
          <w:highlight w:val="none"/>
          <w:lang w:val="en-US" w:eastAsia="zh-CN" w:bidi="ar-SA"/>
        </w:rPr>
        <w:t>表 2.</w:t>
      </w:r>
      <w:r>
        <w:rPr>
          <w:rFonts w:hint="eastAsia" w:eastAsia="宋体" w:cs="Times New Roman"/>
          <w:b/>
          <w:bCs/>
          <w:spacing w:val="-7"/>
          <w:kern w:val="0"/>
          <w:sz w:val="24"/>
          <w:szCs w:val="20"/>
          <w:highlight w:val="none"/>
          <w:lang w:val="en-US" w:eastAsia="zh-CN" w:bidi="ar-SA"/>
        </w:rPr>
        <w:t>3</w:t>
      </w:r>
      <w:r>
        <w:rPr>
          <w:rFonts w:ascii="Times New Roman" w:hAnsi="Times New Roman" w:eastAsia="宋体" w:cs="Times New Roman"/>
          <w:b/>
          <w:bCs/>
          <w:spacing w:val="-7"/>
          <w:kern w:val="0"/>
          <w:sz w:val="24"/>
          <w:szCs w:val="20"/>
          <w:highlight w:val="none"/>
          <w:lang w:val="en-US" w:eastAsia="zh-CN" w:bidi="ar-SA"/>
        </w:rPr>
        <w:t>-1      环境要素识别</w:t>
      </w:r>
    </w:p>
    <w:tbl>
      <w:tblPr>
        <w:tblStyle w:val="37"/>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4"/>
        <w:gridCol w:w="953"/>
        <w:gridCol w:w="840"/>
        <w:gridCol w:w="870"/>
        <w:gridCol w:w="855"/>
        <w:gridCol w:w="629"/>
        <w:gridCol w:w="651"/>
        <w:gridCol w:w="639"/>
        <w:gridCol w:w="829"/>
        <w:gridCol w:w="829"/>
        <w:gridCol w:w="843"/>
      </w:tblGrid>
      <w:tr w14:paraId="73A36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793" w:type="pct"/>
            <w:gridSpan w:val="2"/>
            <w:vMerge w:val="restart"/>
            <w:tcBorders>
              <w:tl2br w:val="nil"/>
              <w:tr2bl w:val="nil"/>
            </w:tcBorders>
            <w:vAlign w:val="center"/>
          </w:tcPr>
          <w:p w14:paraId="3B108C1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32BD75D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时段</w:t>
            </w:r>
          </w:p>
        </w:tc>
        <w:tc>
          <w:tcPr>
            <w:tcW w:w="1924" w:type="pct"/>
            <w:gridSpan w:val="4"/>
            <w:tcBorders>
              <w:tl2br w:val="nil"/>
              <w:tr2bl w:val="nil"/>
            </w:tcBorders>
            <w:vAlign w:val="center"/>
          </w:tcPr>
          <w:p w14:paraId="69D4527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自然环境</w:t>
            </w:r>
          </w:p>
        </w:tc>
        <w:tc>
          <w:tcPr>
            <w:tcW w:w="777" w:type="pct"/>
            <w:gridSpan w:val="2"/>
            <w:tcBorders>
              <w:tl2br w:val="nil"/>
              <w:tr2bl w:val="nil"/>
            </w:tcBorders>
            <w:vAlign w:val="center"/>
          </w:tcPr>
          <w:p w14:paraId="3BBF2C3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生态环境</w:t>
            </w:r>
          </w:p>
        </w:tc>
        <w:tc>
          <w:tcPr>
            <w:tcW w:w="1503" w:type="pct"/>
            <w:gridSpan w:val="3"/>
            <w:tcBorders>
              <w:tl2br w:val="nil"/>
              <w:tr2bl w:val="nil"/>
            </w:tcBorders>
            <w:vAlign w:val="center"/>
          </w:tcPr>
          <w:p w14:paraId="66242C9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生活质量</w:t>
            </w:r>
          </w:p>
        </w:tc>
      </w:tr>
      <w:tr w14:paraId="3437E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jc w:val="center"/>
        </w:trPr>
        <w:tc>
          <w:tcPr>
            <w:tcW w:w="793" w:type="pct"/>
            <w:gridSpan w:val="2"/>
            <w:vMerge w:val="continue"/>
            <w:tcBorders>
              <w:tl2br w:val="nil"/>
              <w:tr2bl w:val="nil"/>
            </w:tcBorders>
            <w:vAlign w:val="center"/>
          </w:tcPr>
          <w:p w14:paraId="6D61CB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06" w:type="pct"/>
            <w:tcBorders>
              <w:tl2br w:val="nil"/>
              <w:tr2bl w:val="nil"/>
            </w:tcBorders>
            <w:vAlign w:val="center"/>
          </w:tcPr>
          <w:p w14:paraId="650466B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地表水</w:t>
            </w:r>
          </w:p>
        </w:tc>
        <w:tc>
          <w:tcPr>
            <w:tcW w:w="524" w:type="pct"/>
            <w:tcBorders>
              <w:tl2br w:val="nil"/>
              <w:tr2bl w:val="nil"/>
            </w:tcBorders>
            <w:vAlign w:val="center"/>
          </w:tcPr>
          <w:p w14:paraId="2787AB6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大气质量</w:t>
            </w:r>
          </w:p>
        </w:tc>
        <w:tc>
          <w:tcPr>
            <w:tcW w:w="515" w:type="pct"/>
            <w:tcBorders>
              <w:tl2br w:val="nil"/>
              <w:tr2bl w:val="nil"/>
            </w:tcBorders>
            <w:vAlign w:val="center"/>
          </w:tcPr>
          <w:p w14:paraId="57968C1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地下水质</w:t>
            </w:r>
          </w:p>
        </w:tc>
        <w:tc>
          <w:tcPr>
            <w:tcW w:w="377" w:type="pct"/>
            <w:tcBorders>
              <w:tl2br w:val="nil"/>
              <w:tr2bl w:val="nil"/>
            </w:tcBorders>
            <w:vAlign w:val="center"/>
          </w:tcPr>
          <w:p w14:paraId="2A5B697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声环境</w:t>
            </w:r>
          </w:p>
        </w:tc>
        <w:tc>
          <w:tcPr>
            <w:tcW w:w="392" w:type="pct"/>
            <w:tcBorders>
              <w:tl2br w:val="nil"/>
              <w:tr2bl w:val="nil"/>
            </w:tcBorders>
            <w:vAlign w:val="center"/>
          </w:tcPr>
          <w:p w14:paraId="23E0906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植被</w:t>
            </w:r>
          </w:p>
        </w:tc>
        <w:tc>
          <w:tcPr>
            <w:tcW w:w="385" w:type="pct"/>
            <w:tcBorders>
              <w:tl2br w:val="nil"/>
              <w:tr2bl w:val="nil"/>
            </w:tcBorders>
            <w:vAlign w:val="center"/>
          </w:tcPr>
          <w:p w14:paraId="5E28F94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景观</w:t>
            </w:r>
          </w:p>
        </w:tc>
        <w:tc>
          <w:tcPr>
            <w:tcW w:w="499" w:type="pct"/>
            <w:tcBorders>
              <w:tl2br w:val="nil"/>
              <w:tr2bl w:val="nil"/>
            </w:tcBorders>
            <w:vAlign w:val="center"/>
          </w:tcPr>
          <w:p w14:paraId="30017B7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人口就业</w:t>
            </w:r>
          </w:p>
        </w:tc>
        <w:tc>
          <w:tcPr>
            <w:tcW w:w="499" w:type="pct"/>
            <w:tcBorders>
              <w:tl2br w:val="nil"/>
              <w:tr2bl w:val="nil"/>
            </w:tcBorders>
            <w:vAlign w:val="center"/>
          </w:tcPr>
          <w:p w14:paraId="614037B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公众健康</w:t>
            </w:r>
          </w:p>
        </w:tc>
        <w:tc>
          <w:tcPr>
            <w:tcW w:w="504" w:type="pct"/>
            <w:tcBorders>
              <w:tl2br w:val="nil"/>
              <w:tr2bl w:val="nil"/>
            </w:tcBorders>
            <w:vAlign w:val="center"/>
          </w:tcPr>
          <w:p w14:paraId="1C2DFD0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生活水平</w:t>
            </w:r>
          </w:p>
        </w:tc>
      </w:tr>
      <w:tr w14:paraId="1B9470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219" w:type="pct"/>
            <w:vMerge w:val="restart"/>
            <w:tcBorders>
              <w:tl2br w:val="nil"/>
              <w:tr2bl w:val="nil"/>
            </w:tcBorders>
            <w:textDirection w:val="tbRlV"/>
            <w:vAlign w:val="center"/>
          </w:tcPr>
          <w:p w14:paraId="2F0133F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施</w:t>
            </w:r>
            <w:r>
              <w:rPr>
                <w:rFonts w:hint="default" w:ascii="Times New Roman" w:hAnsi="Times New Roman" w:eastAsia="宋体" w:cs="Times New Roman"/>
                <w:spacing w:val="-37"/>
                <w:sz w:val="21"/>
                <w:szCs w:val="21"/>
                <w:highlight w:val="none"/>
              </w:rPr>
              <w:t xml:space="preserve"> </w:t>
            </w:r>
            <w:r>
              <w:rPr>
                <w:rFonts w:hint="default" w:ascii="Times New Roman" w:hAnsi="Times New Roman" w:eastAsia="宋体" w:cs="Times New Roman"/>
                <w:spacing w:val="8"/>
                <w:sz w:val="21"/>
                <w:szCs w:val="21"/>
                <w:highlight w:val="none"/>
              </w:rPr>
              <w:t>工</w:t>
            </w:r>
            <w:r>
              <w:rPr>
                <w:rFonts w:hint="default" w:ascii="Times New Roman" w:hAnsi="Times New Roman" w:eastAsia="宋体" w:cs="Times New Roman"/>
                <w:spacing w:val="-37"/>
                <w:sz w:val="21"/>
                <w:szCs w:val="21"/>
                <w:highlight w:val="none"/>
              </w:rPr>
              <w:t xml:space="preserve"> </w:t>
            </w:r>
            <w:r>
              <w:rPr>
                <w:rFonts w:hint="default" w:ascii="Times New Roman" w:hAnsi="Times New Roman" w:eastAsia="宋体" w:cs="Times New Roman"/>
                <w:spacing w:val="8"/>
                <w:sz w:val="21"/>
                <w:szCs w:val="21"/>
                <w:highlight w:val="none"/>
              </w:rPr>
              <w:t>期</w:t>
            </w:r>
          </w:p>
        </w:tc>
        <w:tc>
          <w:tcPr>
            <w:tcW w:w="573" w:type="pct"/>
            <w:tcBorders>
              <w:tl2br w:val="nil"/>
              <w:tr2bl w:val="nil"/>
            </w:tcBorders>
            <w:vAlign w:val="center"/>
          </w:tcPr>
          <w:p w14:paraId="4A48418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挖填土方</w:t>
            </w:r>
          </w:p>
        </w:tc>
        <w:tc>
          <w:tcPr>
            <w:tcW w:w="506" w:type="pct"/>
            <w:tcBorders>
              <w:tl2br w:val="nil"/>
              <w:tr2bl w:val="nil"/>
            </w:tcBorders>
            <w:vAlign w:val="center"/>
          </w:tcPr>
          <w:p w14:paraId="1F644B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24" w:type="pct"/>
            <w:tcBorders>
              <w:tl2br w:val="nil"/>
              <w:tr2bl w:val="nil"/>
            </w:tcBorders>
            <w:vAlign w:val="center"/>
          </w:tcPr>
          <w:p w14:paraId="5A45F9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15" w:type="pct"/>
            <w:tcBorders>
              <w:tl2br w:val="nil"/>
              <w:tr2bl w:val="nil"/>
            </w:tcBorders>
            <w:vAlign w:val="center"/>
          </w:tcPr>
          <w:p w14:paraId="6BDE4A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center"/>
          </w:tcPr>
          <w:p w14:paraId="54AD6C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92" w:type="pct"/>
            <w:tcBorders>
              <w:tl2br w:val="nil"/>
              <w:tr2bl w:val="nil"/>
            </w:tcBorders>
            <w:vAlign w:val="center"/>
          </w:tcPr>
          <w:p w14:paraId="77A722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85" w:type="pct"/>
            <w:tcBorders>
              <w:tl2br w:val="nil"/>
              <w:tr2bl w:val="nil"/>
            </w:tcBorders>
            <w:vAlign w:val="center"/>
          </w:tcPr>
          <w:p w14:paraId="3D2510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733A0A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190BF3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04" w:type="pct"/>
            <w:tcBorders>
              <w:tl2br w:val="nil"/>
              <w:tr2bl w:val="nil"/>
            </w:tcBorders>
            <w:vAlign w:val="center"/>
          </w:tcPr>
          <w:p w14:paraId="3ED1576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r>
      <w:tr w14:paraId="5F2B2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219" w:type="pct"/>
            <w:vMerge w:val="continue"/>
            <w:tcBorders>
              <w:tl2br w:val="nil"/>
              <w:tr2bl w:val="nil"/>
            </w:tcBorders>
            <w:textDirection w:val="tbRlV"/>
            <w:vAlign w:val="center"/>
          </w:tcPr>
          <w:p w14:paraId="079735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73" w:type="pct"/>
            <w:tcBorders>
              <w:tl2br w:val="nil"/>
              <w:tr2bl w:val="nil"/>
            </w:tcBorders>
            <w:vAlign w:val="center"/>
          </w:tcPr>
          <w:p w14:paraId="5E72A0C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材料堆存</w:t>
            </w:r>
          </w:p>
        </w:tc>
        <w:tc>
          <w:tcPr>
            <w:tcW w:w="506" w:type="pct"/>
            <w:tcBorders>
              <w:tl2br w:val="nil"/>
              <w:tr2bl w:val="nil"/>
            </w:tcBorders>
            <w:vAlign w:val="center"/>
          </w:tcPr>
          <w:p w14:paraId="0A6914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24" w:type="pct"/>
            <w:tcBorders>
              <w:tl2br w:val="nil"/>
              <w:tr2bl w:val="nil"/>
            </w:tcBorders>
            <w:vAlign w:val="center"/>
          </w:tcPr>
          <w:p w14:paraId="79F7E5C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w:t>
            </w:r>
          </w:p>
        </w:tc>
        <w:tc>
          <w:tcPr>
            <w:tcW w:w="515" w:type="pct"/>
            <w:tcBorders>
              <w:tl2br w:val="nil"/>
              <w:tr2bl w:val="nil"/>
            </w:tcBorders>
            <w:vAlign w:val="center"/>
          </w:tcPr>
          <w:p w14:paraId="37B630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center"/>
          </w:tcPr>
          <w:p w14:paraId="6B5B1F4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92" w:type="pct"/>
            <w:tcBorders>
              <w:tl2br w:val="nil"/>
              <w:tr2bl w:val="nil"/>
            </w:tcBorders>
            <w:vAlign w:val="center"/>
          </w:tcPr>
          <w:p w14:paraId="26EA798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85" w:type="pct"/>
            <w:tcBorders>
              <w:tl2br w:val="nil"/>
              <w:tr2bl w:val="nil"/>
            </w:tcBorders>
            <w:vAlign w:val="center"/>
          </w:tcPr>
          <w:p w14:paraId="794222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0AAF31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7BFB396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w:t>
            </w:r>
          </w:p>
        </w:tc>
        <w:tc>
          <w:tcPr>
            <w:tcW w:w="504" w:type="pct"/>
            <w:tcBorders>
              <w:tl2br w:val="nil"/>
              <w:tr2bl w:val="nil"/>
            </w:tcBorders>
            <w:vAlign w:val="center"/>
          </w:tcPr>
          <w:p w14:paraId="6207989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r>
      <w:tr w14:paraId="52C7E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219" w:type="pct"/>
            <w:vMerge w:val="continue"/>
            <w:tcBorders>
              <w:tl2br w:val="nil"/>
              <w:tr2bl w:val="nil"/>
            </w:tcBorders>
            <w:textDirection w:val="tbRlV"/>
            <w:vAlign w:val="center"/>
          </w:tcPr>
          <w:p w14:paraId="2E7327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73" w:type="pct"/>
            <w:tcBorders>
              <w:tl2br w:val="nil"/>
              <w:tr2bl w:val="nil"/>
            </w:tcBorders>
            <w:vAlign w:val="center"/>
          </w:tcPr>
          <w:p w14:paraId="60B8C99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建筑施工</w:t>
            </w:r>
          </w:p>
        </w:tc>
        <w:tc>
          <w:tcPr>
            <w:tcW w:w="506" w:type="pct"/>
            <w:tcBorders>
              <w:tl2br w:val="nil"/>
              <w:tr2bl w:val="nil"/>
            </w:tcBorders>
            <w:vAlign w:val="center"/>
          </w:tcPr>
          <w:p w14:paraId="18AEDB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24" w:type="pct"/>
            <w:tcBorders>
              <w:tl2br w:val="nil"/>
              <w:tr2bl w:val="nil"/>
            </w:tcBorders>
            <w:vAlign w:val="center"/>
          </w:tcPr>
          <w:p w14:paraId="35438C6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w:t>
            </w:r>
          </w:p>
        </w:tc>
        <w:tc>
          <w:tcPr>
            <w:tcW w:w="515" w:type="pct"/>
            <w:tcBorders>
              <w:tl2br w:val="nil"/>
              <w:tr2bl w:val="nil"/>
            </w:tcBorders>
            <w:vAlign w:val="center"/>
          </w:tcPr>
          <w:p w14:paraId="0EA126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center"/>
          </w:tcPr>
          <w:p w14:paraId="5CF1FFC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w:t>
            </w:r>
          </w:p>
        </w:tc>
        <w:tc>
          <w:tcPr>
            <w:tcW w:w="392" w:type="pct"/>
            <w:tcBorders>
              <w:tl2br w:val="nil"/>
              <w:tr2bl w:val="nil"/>
            </w:tcBorders>
            <w:vAlign w:val="center"/>
          </w:tcPr>
          <w:p w14:paraId="29540A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85" w:type="pct"/>
            <w:tcBorders>
              <w:tl2br w:val="nil"/>
              <w:tr2bl w:val="nil"/>
            </w:tcBorders>
            <w:vAlign w:val="center"/>
          </w:tcPr>
          <w:p w14:paraId="01BC33C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169FE6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6A151D0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-0△</w:t>
            </w:r>
          </w:p>
        </w:tc>
        <w:tc>
          <w:tcPr>
            <w:tcW w:w="504" w:type="pct"/>
            <w:tcBorders>
              <w:tl2br w:val="nil"/>
              <w:tr2bl w:val="nil"/>
            </w:tcBorders>
            <w:vAlign w:val="center"/>
          </w:tcPr>
          <w:p w14:paraId="4792C7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r>
      <w:tr w14:paraId="28EDA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219" w:type="pct"/>
            <w:tcBorders>
              <w:tl2br w:val="nil"/>
              <w:tr2bl w:val="nil"/>
            </w:tcBorders>
            <w:textDirection w:val="tbRlV"/>
            <w:vAlign w:val="center"/>
          </w:tcPr>
          <w:p w14:paraId="6B4EE4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73" w:type="pct"/>
            <w:tcBorders>
              <w:tl2br w:val="nil"/>
              <w:tr2bl w:val="nil"/>
            </w:tcBorders>
            <w:vAlign w:val="top"/>
          </w:tcPr>
          <w:p w14:paraId="2D323FD3">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pacing w:val="7"/>
                <w:sz w:val="21"/>
                <w:szCs w:val="21"/>
                <w:highlight w:val="none"/>
              </w:rPr>
              <w:t>物品运输</w:t>
            </w:r>
          </w:p>
        </w:tc>
        <w:tc>
          <w:tcPr>
            <w:tcW w:w="506" w:type="pct"/>
            <w:tcBorders>
              <w:tl2br w:val="nil"/>
              <w:tr2bl w:val="nil"/>
            </w:tcBorders>
            <w:vAlign w:val="top"/>
          </w:tcPr>
          <w:p w14:paraId="0E7F2B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24" w:type="pct"/>
            <w:tcBorders>
              <w:tl2br w:val="nil"/>
              <w:tr2bl w:val="nil"/>
            </w:tcBorders>
            <w:vAlign w:val="top"/>
          </w:tcPr>
          <w:p w14:paraId="0839A77E">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-0△</w:t>
            </w:r>
          </w:p>
        </w:tc>
        <w:tc>
          <w:tcPr>
            <w:tcW w:w="515" w:type="pct"/>
            <w:tcBorders>
              <w:tl2br w:val="nil"/>
              <w:tr2bl w:val="nil"/>
            </w:tcBorders>
            <w:vAlign w:val="top"/>
          </w:tcPr>
          <w:p w14:paraId="35F56C3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top"/>
          </w:tcPr>
          <w:p w14:paraId="63DCDBD9">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-0△</w:t>
            </w:r>
          </w:p>
        </w:tc>
        <w:tc>
          <w:tcPr>
            <w:tcW w:w="392" w:type="pct"/>
            <w:tcBorders>
              <w:tl2br w:val="nil"/>
              <w:tr2bl w:val="nil"/>
            </w:tcBorders>
            <w:vAlign w:val="top"/>
          </w:tcPr>
          <w:p w14:paraId="2F6072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85" w:type="pct"/>
            <w:tcBorders>
              <w:tl2br w:val="nil"/>
              <w:tr2bl w:val="nil"/>
            </w:tcBorders>
            <w:vAlign w:val="top"/>
          </w:tcPr>
          <w:p w14:paraId="33DDF70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top"/>
          </w:tcPr>
          <w:p w14:paraId="11875D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top"/>
          </w:tcPr>
          <w:p w14:paraId="637D48DF">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-0△</w:t>
            </w:r>
          </w:p>
        </w:tc>
        <w:tc>
          <w:tcPr>
            <w:tcW w:w="504" w:type="pct"/>
            <w:tcBorders>
              <w:tl2br w:val="nil"/>
              <w:tr2bl w:val="nil"/>
            </w:tcBorders>
            <w:vAlign w:val="top"/>
          </w:tcPr>
          <w:p w14:paraId="6C8D4D80">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p>
        </w:tc>
      </w:tr>
      <w:tr w14:paraId="56305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219" w:type="pct"/>
            <w:vMerge w:val="restart"/>
            <w:tcBorders>
              <w:tl2br w:val="nil"/>
              <w:tr2bl w:val="nil"/>
            </w:tcBorders>
            <w:textDirection w:val="tbRlV"/>
            <w:vAlign w:val="center"/>
          </w:tcPr>
          <w:p w14:paraId="60111D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运营期</w:t>
            </w:r>
          </w:p>
        </w:tc>
        <w:tc>
          <w:tcPr>
            <w:tcW w:w="573" w:type="pct"/>
            <w:tcBorders>
              <w:tl2br w:val="nil"/>
              <w:tr2bl w:val="nil"/>
            </w:tcBorders>
            <w:vAlign w:val="center"/>
          </w:tcPr>
          <w:p w14:paraId="3C8304A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kern w:val="21"/>
                <w:sz w:val="21"/>
                <w:szCs w:val="21"/>
                <w:highlight w:val="none"/>
                <w:lang w:val="en-US" w:eastAsia="zh-CN"/>
              </w:rPr>
            </w:pPr>
            <w:r>
              <w:rPr>
                <w:rFonts w:hint="default" w:ascii="Times New Roman" w:hAnsi="Times New Roman" w:eastAsia="宋体" w:cs="Times New Roman"/>
                <w:kern w:val="21"/>
                <w:sz w:val="21"/>
                <w:szCs w:val="21"/>
                <w:highlight w:val="none"/>
                <w:lang w:val="en-US" w:eastAsia="zh-CN"/>
              </w:rPr>
              <w:t>产品生产</w:t>
            </w:r>
          </w:p>
        </w:tc>
        <w:tc>
          <w:tcPr>
            <w:tcW w:w="506" w:type="pct"/>
            <w:tcBorders>
              <w:tl2br w:val="nil"/>
              <w:tr2bl w:val="nil"/>
            </w:tcBorders>
            <w:vAlign w:val="center"/>
          </w:tcPr>
          <w:p w14:paraId="66E15E4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24" w:type="pct"/>
            <w:tcBorders>
              <w:tl2br w:val="nil"/>
              <w:tr2bl w:val="nil"/>
            </w:tcBorders>
            <w:vAlign w:val="center"/>
          </w:tcPr>
          <w:p w14:paraId="2E5DF55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515" w:type="pct"/>
            <w:tcBorders>
              <w:tl2br w:val="nil"/>
              <w:tr2bl w:val="nil"/>
            </w:tcBorders>
            <w:vAlign w:val="center"/>
          </w:tcPr>
          <w:p w14:paraId="1B6CDD4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center"/>
          </w:tcPr>
          <w:p w14:paraId="3837098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392" w:type="pct"/>
            <w:tcBorders>
              <w:tl2br w:val="nil"/>
              <w:tr2bl w:val="nil"/>
            </w:tcBorders>
            <w:vAlign w:val="center"/>
          </w:tcPr>
          <w:p w14:paraId="295D71E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385" w:type="pct"/>
            <w:tcBorders>
              <w:tl2br w:val="nil"/>
              <w:tr2bl w:val="nil"/>
            </w:tcBorders>
            <w:vAlign w:val="center"/>
          </w:tcPr>
          <w:p w14:paraId="147F42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576822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w:t>
            </w:r>
          </w:p>
        </w:tc>
        <w:tc>
          <w:tcPr>
            <w:tcW w:w="499" w:type="pct"/>
            <w:tcBorders>
              <w:tl2br w:val="nil"/>
              <w:tr2bl w:val="nil"/>
            </w:tcBorders>
            <w:vAlign w:val="center"/>
          </w:tcPr>
          <w:p w14:paraId="69D8D4E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504" w:type="pct"/>
            <w:tcBorders>
              <w:tl2br w:val="nil"/>
              <w:tr2bl w:val="nil"/>
            </w:tcBorders>
            <w:vAlign w:val="center"/>
          </w:tcPr>
          <w:p w14:paraId="3BE121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+1▲</w:t>
            </w:r>
          </w:p>
        </w:tc>
      </w:tr>
      <w:tr w14:paraId="49358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219" w:type="pct"/>
            <w:vMerge w:val="continue"/>
            <w:tcBorders>
              <w:tl2br w:val="nil"/>
              <w:tr2bl w:val="nil"/>
            </w:tcBorders>
            <w:textDirection w:val="tbRlV"/>
            <w:vAlign w:val="center"/>
          </w:tcPr>
          <w:p w14:paraId="25C9230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73" w:type="pct"/>
            <w:tcBorders>
              <w:tl2br w:val="nil"/>
              <w:tr2bl w:val="nil"/>
            </w:tcBorders>
            <w:vAlign w:val="center"/>
          </w:tcPr>
          <w:p w14:paraId="02D537F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kern w:val="21"/>
                <w:sz w:val="21"/>
                <w:szCs w:val="21"/>
                <w:highlight w:val="none"/>
              </w:rPr>
              <w:t>生物酶复配和助剂生产车间</w:t>
            </w:r>
            <w:r>
              <w:rPr>
                <w:rFonts w:hint="default" w:ascii="Times New Roman" w:hAnsi="Times New Roman" w:eastAsia="宋体" w:cs="Times New Roman"/>
                <w:kern w:val="21"/>
                <w:sz w:val="21"/>
                <w:szCs w:val="21"/>
                <w:highlight w:val="none"/>
                <w:lang w:val="en-US" w:eastAsia="zh-CN"/>
              </w:rPr>
              <w:t>废气</w:t>
            </w:r>
          </w:p>
        </w:tc>
        <w:tc>
          <w:tcPr>
            <w:tcW w:w="506" w:type="pct"/>
            <w:tcBorders>
              <w:tl2br w:val="nil"/>
              <w:tr2bl w:val="nil"/>
            </w:tcBorders>
            <w:vAlign w:val="center"/>
          </w:tcPr>
          <w:p w14:paraId="5939B23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24" w:type="pct"/>
            <w:tcBorders>
              <w:tl2br w:val="nil"/>
              <w:tr2bl w:val="nil"/>
            </w:tcBorders>
            <w:vAlign w:val="center"/>
          </w:tcPr>
          <w:p w14:paraId="5CE5AD1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-1▲</w:t>
            </w:r>
          </w:p>
        </w:tc>
        <w:tc>
          <w:tcPr>
            <w:tcW w:w="515" w:type="pct"/>
            <w:tcBorders>
              <w:tl2br w:val="nil"/>
              <w:tr2bl w:val="nil"/>
            </w:tcBorders>
            <w:vAlign w:val="center"/>
          </w:tcPr>
          <w:p w14:paraId="1D80A57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center"/>
          </w:tcPr>
          <w:p w14:paraId="58A46DC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392" w:type="pct"/>
            <w:tcBorders>
              <w:tl2br w:val="nil"/>
              <w:tr2bl w:val="nil"/>
            </w:tcBorders>
            <w:vAlign w:val="center"/>
          </w:tcPr>
          <w:p w14:paraId="7B5D9D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-1△</w:t>
            </w:r>
          </w:p>
        </w:tc>
        <w:tc>
          <w:tcPr>
            <w:tcW w:w="385" w:type="pct"/>
            <w:tcBorders>
              <w:tl2br w:val="nil"/>
              <w:tr2bl w:val="nil"/>
            </w:tcBorders>
            <w:vAlign w:val="center"/>
          </w:tcPr>
          <w:p w14:paraId="507546F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36232EC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298BCF5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-1▲</w:t>
            </w:r>
          </w:p>
        </w:tc>
        <w:tc>
          <w:tcPr>
            <w:tcW w:w="504" w:type="pct"/>
            <w:tcBorders>
              <w:tl2br w:val="nil"/>
              <w:tr2bl w:val="nil"/>
            </w:tcBorders>
            <w:vAlign w:val="center"/>
          </w:tcPr>
          <w:p w14:paraId="35FE8B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r>
      <w:tr w14:paraId="7A23C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219" w:type="pct"/>
            <w:vMerge w:val="continue"/>
            <w:tcBorders>
              <w:tl2br w:val="nil"/>
              <w:tr2bl w:val="nil"/>
            </w:tcBorders>
            <w:textDirection w:val="tbRlV"/>
            <w:vAlign w:val="center"/>
          </w:tcPr>
          <w:p w14:paraId="27C4BA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73" w:type="pct"/>
            <w:tcBorders>
              <w:tl2br w:val="nil"/>
              <w:tr2bl w:val="nil"/>
            </w:tcBorders>
            <w:vAlign w:val="center"/>
          </w:tcPr>
          <w:p w14:paraId="1F28A04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lang w:val="en-US" w:eastAsia="zh-CN"/>
              </w:rPr>
              <w:t>废水排放</w:t>
            </w:r>
          </w:p>
        </w:tc>
        <w:tc>
          <w:tcPr>
            <w:tcW w:w="506" w:type="pct"/>
            <w:tcBorders>
              <w:tl2br w:val="nil"/>
              <w:tr2bl w:val="nil"/>
            </w:tcBorders>
            <w:vAlign w:val="center"/>
          </w:tcPr>
          <w:p w14:paraId="16AC0D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-1▲</w:t>
            </w:r>
          </w:p>
        </w:tc>
        <w:tc>
          <w:tcPr>
            <w:tcW w:w="524" w:type="pct"/>
            <w:tcBorders>
              <w:tl2br w:val="nil"/>
              <w:tr2bl w:val="nil"/>
            </w:tcBorders>
            <w:vAlign w:val="center"/>
          </w:tcPr>
          <w:p w14:paraId="3828807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515" w:type="pct"/>
            <w:tcBorders>
              <w:tl2br w:val="nil"/>
              <w:tr2bl w:val="nil"/>
            </w:tcBorders>
            <w:vAlign w:val="center"/>
          </w:tcPr>
          <w:p w14:paraId="0FF340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center"/>
          </w:tcPr>
          <w:p w14:paraId="6EA9178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392" w:type="pct"/>
            <w:tcBorders>
              <w:tl2br w:val="nil"/>
              <w:tr2bl w:val="nil"/>
            </w:tcBorders>
            <w:vAlign w:val="center"/>
          </w:tcPr>
          <w:p w14:paraId="4C8CA0C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-1△</w:t>
            </w:r>
          </w:p>
        </w:tc>
        <w:tc>
          <w:tcPr>
            <w:tcW w:w="385" w:type="pct"/>
            <w:tcBorders>
              <w:tl2br w:val="nil"/>
              <w:tr2bl w:val="nil"/>
            </w:tcBorders>
            <w:vAlign w:val="center"/>
          </w:tcPr>
          <w:p w14:paraId="5D2B84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28A45D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3410AFC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-1▲</w:t>
            </w:r>
          </w:p>
        </w:tc>
        <w:tc>
          <w:tcPr>
            <w:tcW w:w="504" w:type="pct"/>
            <w:tcBorders>
              <w:tl2br w:val="nil"/>
              <w:tr2bl w:val="nil"/>
            </w:tcBorders>
            <w:vAlign w:val="center"/>
          </w:tcPr>
          <w:p w14:paraId="3049CB1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r>
      <w:tr w14:paraId="1386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219" w:type="pct"/>
            <w:vMerge w:val="continue"/>
            <w:tcBorders>
              <w:tl2br w:val="nil"/>
              <w:tr2bl w:val="nil"/>
            </w:tcBorders>
            <w:textDirection w:val="tbRlV"/>
            <w:vAlign w:val="center"/>
          </w:tcPr>
          <w:p w14:paraId="6369296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73" w:type="pct"/>
            <w:tcBorders>
              <w:tl2br w:val="nil"/>
              <w:tr2bl w:val="nil"/>
            </w:tcBorders>
            <w:vAlign w:val="center"/>
          </w:tcPr>
          <w:p w14:paraId="7192BB0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lang w:val="en-US" w:eastAsia="zh-CN"/>
              </w:rPr>
              <w:t>噪声排放</w:t>
            </w:r>
          </w:p>
        </w:tc>
        <w:tc>
          <w:tcPr>
            <w:tcW w:w="506" w:type="pct"/>
            <w:tcBorders>
              <w:tl2br w:val="nil"/>
              <w:tr2bl w:val="nil"/>
            </w:tcBorders>
            <w:vAlign w:val="center"/>
          </w:tcPr>
          <w:p w14:paraId="1A27CE0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3"/>
                <w:sz w:val="21"/>
                <w:szCs w:val="21"/>
                <w:highlight w:val="none"/>
              </w:rPr>
            </w:pPr>
          </w:p>
        </w:tc>
        <w:tc>
          <w:tcPr>
            <w:tcW w:w="524" w:type="pct"/>
            <w:tcBorders>
              <w:tl2br w:val="nil"/>
              <w:tr2bl w:val="nil"/>
            </w:tcBorders>
            <w:vAlign w:val="center"/>
          </w:tcPr>
          <w:p w14:paraId="536744B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515" w:type="pct"/>
            <w:tcBorders>
              <w:tl2br w:val="nil"/>
              <w:tr2bl w:val="nil"/>
            </w:tcBorders>
            <w:vAlign w:val="center"/>
          </w:tcPr>
          <w:p w14:paraId="3097F6B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77" w:type="pct"/>
            <w:tcBorders>
              <w:tl2br w:val="nil"/>
              <w:tr2bl w:val="nil"/>
            </w:tcBorders>
            <w:vAlign w:val="center"/>
          </w:tcPr>
          <w:p w14:paraId="16797EE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-1△</w:t>
            </w:r>
          </w:p>
        </w:tc>
        <w:tc>
          <w:tcPr>
            <w:tcW w:w="392" w:type="pct"/>
            <w:tcBorders>
              <w:tl2br w:val="nil"/>
              <w:tr2bl w:val="nil"/>
            </w:tcBorders>
            <w:vAlign w:val="center"/>
          </w:tcPr>
          <w:p w14:paraId="2166603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85" w:type="pct"/>
            <w:tcBorders>
              <w:tl2br w:val="nil"/>
              <w:tr2bl w:val="nil"/>
            </w:tcBorders>
            <w:vAlign w:val="center"/>
          </w:tcPr>
          <w:p w14:paraId="2CB522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34B638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72633EE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-1△</w:t>
            </w:r>
          </w:p>
        </w:tc>
        <w:tc>
          <w:tcPr>
            <w:tcW w:w="504" w:type="pct"/>
            <w:tcBorders>
              <w:tl2br w:val="nil"/>
              <w:tr2bl w:val="nil"/>
            </w:tcBorders>
            <w:vAlign w:val="center"/>
          </w:tcPr>
          <w:p w14:paraId="56C92D6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r>
      <w:tr w14:paraId="5A5FA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219" w:type="pct"/>
            <w:vMerge w:val="continue"/>
            <w:tcBorders>
              <w:tl2br w:val="nil"/>
              <w:tr2bl w:val="nil"/>
            </w:tcBorders>
            <w:textDirection w:val="tbRlV"/>
            <w:vAlign w:val="center"/>
          </w:tcPr>
          <w:p w14:paraId="676D62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73" w:type="pct"/>
            <w:tcBorders>
              <w:tl2br w:val="nil"/>
              <w:tr2bl w:val="nil"/>
            </w:tcBorders>
            <w:vAlign w:val="center"/>
          </w:tcPr>
          <w:p w14:paraId="3EE2894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lang w:val="en-US" w:eastAsia="zh-CN"/>
              </w:rPr>
              <w:t>固废堆放</w:t>
            </w:r>
          </w:p>
        </w:tc>
        <w:tc>
          <w:tcPr>
            <w:tcW w:w="506" w:type="pct"/>
            <w:tcBorders>
              <w:tl2br w:val="nil"/>
              <w:tr2bl w:val="nil"/>
            </w:tcBorders>
            <w:vAlign w:val="center"/>
          </w:tcPr>
          <w:p w14:paraId="0F434A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pacing w:val="3"/>
                <w:sz w:val="21"/>
                <w:szCs w:val="21"/>
                <w:highlight w:val="none"/>
              </w:rPr>
              <w:t>-0△</w:t>
            </w:r>
          </w:p>
        </w:tc>
        <w:tc>
          <w:tcPr>
            <w:tcW w:w="524" w:type="pct"/>
            <w:tcBorders>
              <w:tl2br w:val="nil"/>
              <w:tr2bl w:val="nil"/>
            </w:tcBorders>
            <w:vAlign w:val="center"/>
          </w:tcPr>
          <w:p w14:paraId="7E7BAB0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515" w:type="pct"/>
            <w:tcBorders>
              <w:tl2br w:val="nil"/>
              <w:tr2bl w:val="nil"/>
            </w:tcBorders>
            <w:vAlign w:val="center"/>
          </w:tcPr>
          <w:p w14:paraId="1E3CB86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-0△</w:t>
            </w:r>
          </w:p>
        </w:tc>
        <w:tc>
          <w:tcPr>
            <w:tcW w:w="377" w:type="pct"/>
            <w:tcBorders>
              <w:tl2br w:val="nil"/>
              <w:tr2bl w:val="nil"/>
            </w:tcBorders>
            <w:vAlign w:val="center"/>
          </w:tcPr>
          <w:p w14:paraId="323DF48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p>
        </w:tc>
        <w:tc>
          <w:tcPr>
            <w:tcW w:w="392" w:type="pct"/>
            <w:tcBorders>
              <w:tl2br w:val="nil"/>
              <w:tr2bl w:val="nil"/>
            </w:tcBorders>
            <w:vAlign w:val="center"/>
          </w:tcPr>
          <w:p w14:paraId="23CED6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385" w:type="pct"/>
            <w:tcBorders>
              <w:tl2br w:val="nil"/>
              <w:tr2bl w:val="nil"/>
            </w:tcBorders>
            <w:vAlign w:val="center"/>
          </w:tcPr>
          <w:p w14:paraId="1AD30D2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-0△</w:t>
            </w:r>
          </w:p>
        </w:tc>
        <w:tc>
          <w:tcPr>
            <w:tcW w:w="499" w:type="pct"/>
            <w:tcBorders>
              <w:tl2br w:val="nil"/>
              <w:tr2bl w:val="nil"/>
            </w:tcBorders>
            <w:vAlign w:val="center"/>
          </w:tcPr>
          <w:p w14:paraId="72FB3E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499" w:type="pct"/>
            <w:tcBorders>
              <w:tl2br w:val="nil"/>
              <w:tr2bl w:val="nil"/>
            </w:tcBorders>
            <w:vAlign w:val="center"/>
          </w:tcPr>
          <w:p w14:paraId="3A33FBF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3"/>
                <w:sz w:val="21"/>
                <w:szCs w:val="21"/>
                <w:highlight w:val="none"/>
              </w:rPr>
              <w:t>-0△</w:t>
            </w:r>
          </w:p>
        </w:tc>
        <w:tc>
          <w:tcPr>
            <w:tcW w:w="504" w:type="pct"/>
            <w:tcBorders>
              <w:tl2br w:val="nil"/>
              <w:tr2bl w:val="nil"/>
            </w:tcBorders>
            <w:vAlign w:val="center"/>
          </w:tcPr>
          <w:p w14:paraId="0470FA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r>
      <w:tr w14:paraId="1547C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jc w:val="center"/>
        </w:trPr>
        <w:tc>
          <w:tcPr>
            <w:tcW w:w="5000" w:type="pct"/>
            <w:gridSpan w:val="11"/>
            <w:tcBorders>
              <w:tl2br w:val="nil"/>
              <w:tr2bl w:val="nil"/>
            </w:tcBorders>
            <w:vAlign w:val="center"/>
          </w:tcPr>
          <w:p w14:paraId="33615ED0">
            <w:pPr>
              <w:pStyle w:val="36"/>
              <w:spacing w:before="112" w:line="228" w:lineRule="auto"/>
              <w:ind w:left="0" w:leftChars="0" w:firstLine="0" w:firstLineChars="0"/>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注：表中“－”表示负效益，“+”表示正效益；“0”表示短期影响，“</w:t>
            </w:r>
            <w:r>
              <w:rPr>
                <w:rFonts w:hint="default" w:ascii="Times New Roman" w:hAnsi="Times New Roman" w:eastAsia="宋体" w:cs="Times New Roman"/>
                <w:spacing w:val="-24"/>
                <w:sz w:val="21"/>
                <w:szCs w:val="21"/>
                <w:highlight w:val="none"/>
              </w:rPr>
              <w:t xml:space="preserve"> </w:t>
            </w:r>
            <w:r>
              <w:rPr>
                <w:rFonts w:hint="default" w:ascii="Times New Roman" w:hAnsi="Times New Roman" w:eastAsia="宋体" w:cs="Times New Roman"/>
                <w:spacing w:val="8"/>
                <w:sz w:val="21"/>
                <w:szCs w:val="21"/>
                <w:highlight w:val="none"/>
              </w:rPr>
              <w:t>1”表示长期影响；“</w:t>
            </w:r>
            <w:r>
              <w:rPr>
                <w:rFonts w:hint="default" w:ascii="Times New Roman" w:hAnsi="Times New Roman" w:eastAsia="宋体" w:cs="Times New Roman"/>
                <w:spacing w:val="7"/>
                <w:sz w:val="21"/>
                <w:szCs w:val="21"/>
                <w:highlight w:val="none"/>
              </w:rPr>
              <w:t>△”表示影响轻</w:t>
            </w:r>
            <w:r>
              <w:rPr>
                <w:rFonts w:hint="default" w:ascii="Times New Roman" w:hAnsi="Times New Roman" w:eastAsia="宋体" w:cs="Times New Roman"/>
                <w:spacing w:val="6"/>
                <w:sz w:val="21"/>
                <w:szCs w:val="21"/>
                <w:highlight w:val="none"/>
              </w:rPr>
              <w:t>微，“</w:t>
            </w:r>
            <w:r>
              <w:rPr>
                <w:rFonts w:hint="default" w:ascii="Times New Roman" w:hAnsi="Times New Roman" w:eastAsia="宋体" w:cs="Times New Roman"/>
                <w:spacing w:val="-5"/>
                <w:sz w:val="21"/>
                <w:szCs w:val="21"/>
                <w:highlight w:val="none"/>
              </w:rPr>
              <w:t xml:space="preserve"> </w:t>
            </w:r>
            <w:r>
              <w:rPr>
                <w:rFonts w:hint="default" w:ascii="Times New Roman" w:hAnsi="Times New Roman" w:eastAsia="宋体" w:cs="Times New Roman"/>
                <w:spacing w:val="6"/>
                <w:sz w:val="21"/>
                <w:szCs w:val="21"/>
                <w:highlight w:val="none"/>
              </w:rPr>
              <w:t>▲”表示影响一般，“■”表示影响较重</w:t>
            </w:r>
          </w:p>
        </w:tc>
      </w:tr>
    </w:tbl>
    <w:p w14:paraId="652C9B17">
      <w:pPr>
        <w:pStyle w:val="7"/>
        <w:bidi w:val="0"/>
        <w:rPr>
          <w:rFonts w:ascii="Times New Roman" w:hAnsi="Times New Roman" w:eastAsia="宋体" w:cs="Times New Roman"/>
          <w:highlight w:val="none"/>
          <w:lang w:val="en-US" w:eastAsia="zh-CN"/>
        </w:rPr>
      </w:pPr>
      <w:bookmarkStart w:id="58" w:name="_Toc14639"/>
      <w:r>
        <w:rPr>
          <w:rFonts w:hint="eastAsia" w:cs="Times New Roman"/>
          <w:highlight w:val="none"/>
          <w:lang w:val="en-US" w:eastAsia="zh-CN"/>
        </w:rPr>
        <w:t>2.3</w:t>
      </w:r>
      <w:r>
        <w:rPr>
          <w:rFonts w:hint="eastAsia" w:ascii="Times New Roman" w:hAnsi="Times New Roman" w:eastAsia="宋体" w:cs="Times New Roman"/>
          <w:highlight w:val="none"/>
          <w:lang w:val="en-US" w:eastAsia="zh-CN"/>
        </w:rPr>
        <w:t>.2</w:t>
      </w:r>
      <w:r>
        <w:rPr>
          <w:rFonts w:ascii="Times New Roman" w:hAnsi="Times New Roman" w:eastAsia="宋体" w:cs="Times New Roman"/>
          <w:highlight w:val="none"/>
          <w:lang w:val="en-US" w:eastAsia="zh-CN"/>
        </w:rPr>
        <w:t>环境影响因子识别</w:t>
      </w:r>
      <w:bookmarkEnd w:id="58"/>
    </w:p>
    <w:p w14:paraId="25E4F6D8">
      <w:pPr>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根据本项目选址、生产工艺特点、施工方面的因素及主要原辅材料、污染物排放强度、排放方式和排放去向，确定本项目的各排污环节可能出现的主要污染因子见表2.</w:t>
      </w:r>
      <w:r>
        <w:rPr>
          <w:rFonts w:hint="eastAsia" w:eastAsia="宋体" w:cs="Times New Roman"/>
          <w:color w:val="auto"/>
          <w:kern w:val="0"/>
          <w:sz w:val="24"/>
          <w:szCs w:val="20"/>
          <w:highlight w:val="none"/>
          <w:lang w:val="en-US" w:eastAsia="zh-CN" w:bidi="ar-SA"/>
        </w:rPr>
        <w:t>3</w:t>
      </w:r>
      <w:r>
        <w:rPr>
          <w:rFonts w:hint="eastAsia" w:ascii="Times New Roman" w:hAnsi="Times New Roman" w:eastAsia="宋体" w:cs="Times New Roman"/>
          <w:color w:val="auto"/>
          <w:kern w:val="0"/>
          <w:sz w:val="24"/>
          <w:szCs w:val="20"/>
          <w:highlight w:val="none"/>
          <w:lang w:val="en-US" w:eastAsia="zh-CN" w:bidi="ar-SA"/>
        </w:rPr>
        <w:t>-2。</w:t>
      </w:r>
    </w:p>
    <w:p w14:paraId="7BADC2EF">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b/>
          <w:bCs/>
          <w:spacing w:val="-7"/>
          <w:kern w:val="0"/>
          <w:sz w:val="24"/>
          <w:szCs w:val="20"/>
          <w:highlight w:val="none"/>
          <w:lang w:val="en-US" w:eastAsia="zh-CN" w:bidi="ar-SA"/>
        </w:rPr>
      </w:pPr>
      <w:r>
        <w:rPr>
          <w:rFonts w:hint="eastAsia" w:ascii="Times New Roman" w:hAnsi="Times New Roman" w:eastAsia="宋体" w:cs="Times New Roman"/>
          <w:b/>
          <w:bCs/>
          <w:spacing w:val="-7"/>
          <w:kern w:val="0"/>
          <w:sz w:val="24"/>
          <w:szCs w:val="20"/>
          <w:highlight w:val="none"/>
          <w:lang w:val="en-US" w:eastAsia="zh-CN" w:bidi="ar-SA"/>
        </w:rPr>
        <w:t>表2.3-2  主要污染因子识别表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37"/>
        <w:gridCol w:w="1522"/>
        <w:gridCol w:w="2571"/>
        <w:gridCol w:w="3482"/>
      </w:tblGrid>
      <w:tr w14:paraId="237662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noWrap w:val="0"/>
            <w:vAlign w:val="center"/>
          </w:tcPr>
          <w:p w14:paraId="3BF6921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894" w:type="pct"/>
            <w:noWrap w:val="0"/>
            <w:vAlign w:val="center"/>
          </w:tcPr>
          <w:p w14:paraId="2FB92D5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污染因素</w:t>
            </w:r>
          </w:p>
        </w:tc>
        <w:tc>
          <w:tcPr>
            <w:tcW w:w="1510" w:type="pct"/>
            <w:noWrap w:val="0"/>
            <w:vAlign w:val="center"/>
          </w:tcPr>
          <w:p w14:paraId="4BE3FC8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主要污染源</w:t>
            </w:r>
          </w:p>
        </w:tc>
        <w:tc>
          <w:tcPr>
            <w:tcW w:w="2045" w:type="pct"/>
            <w:noWrap w:val="0"/>
            <w:vAlign w:val="center"/>
          </w:tcPr>
          <w:p w14:paraId="5CF7F61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主要污染因子</w:t>
            </w:r>
          </w:p>
        </w:tc>
      </w:tr>
      <w:tr w14:paraId="077A84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restart"/>
            <w:noWrap w:val="0"/>
            <w:vAlign w:val="center"/>
          </w:tcPr>
          <w:p w14:paraId="397B322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w:t>
            </w:r>
          </w:p>
        </w:tc>
        <w:tc>
          <w:tcPr>
            <w:tcW w:w="894" w:type="pct"/>
            <w:noWrap w:val="0"/>
            <w:vAlign w:val="center"/>
          </w:tcPr>
          <w:p w14:paraId="278478A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510" w:type="pct"/>
            <w:noWrap w:val="0"/>
            <w:vAlign w:val="center"/>
          </w:tcPr>
          <w:p w14:paraId="50C4E4C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施工活动</w:t>
            </w:r>
          </w:p>
        </w:tc>
        <w:tc>
          <w:tcPr>
            <w:tcW w:w="2045" w:type="pct"/>
            <w:noWrap w:val="0"/>
            <w:vAlign w:val="center"/>
          </w:tcPr>
          <w:p w14:paraId="79C13C6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扬尘</w:t>
            </w:r>
          </w:p>
        </w:tc>
      </w:tr>
      <w:tr w14:paraId="4B8C5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37D1401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noWrap w:val="0"/>
            <w:vAlign w:val="center"/>
          </w:tcPr>
          <w:p w14:paraId="6B753B4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510" w:type="pct"/>
            <w:noWrap w:val="0"/>
            <w:vAlign w:val="center"/>
          </w:tcPr>
          <w:p w14:paraId="4ECB7912">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施工机械</w:t>
            </w:r>
          </w:p>
        </w:tc>
        <w:tc>
          <w:tcPr>
            <w:tcW w:w="2045" w:type="pct"/>
            <w:noWrap w:val="0"/>
            <w:vAlign w:val="center"/>
          </w:tcPr>
          <w:p w14:paraId="024548B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机械噪声</w:t>
            </w:r>
          </w:p>
        </w:tc>
      </w:tr>
      <w:tr w14:paraId="7A84C5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6817A82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noWrap w:val="0"/>
            <w:vAlign w:val="center"/>
          </w:tcPr>
          <w:p w14:paraId="4335D94E">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1510" w:type="pct"/>
            <w:noWrap w:val="0"/>
            <w:vAlign w:val="center"/>
          </w:tcPr>
          <w:p w14:paraId="4626A7F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生活污水及施工废水</w:t>
            </w:r>
          </w:p>
        </w:tc>
        <w:tc>
          <w:tcPr>
            <w:tcW w:w="2045" w:type="pct"/>
            <w:noWrap w:val="0"/>
            <w:vAlign w:val="center"/>
          </w:tcPr>
          <w:p w14:paraId="33FCA5A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ascii="Times New Roman" w:hAnsi="Times New Roman" w:eastAsia="宋体" w:cs="Times New Roman"/>
                <w:color w:val="auto"/>
                <w:sz w:val="21"/>
                <w:szCs w:val="21"/>
                <w:highlight w:val="none"/>
                <w:lang w:eastAsia="zh-CN"/>
              </w:rPr>
              <w:t>、石油类</w:t>
            </w:r>
          </w:p>
        </w:tc>
      </w:tr>
      <w:tr w14:paraId="05D019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36C8FEE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noWrap w:val="0"/>
            <w:vAlign w:val="center"/>
          </w:tcPr>
          <w:p w14:paraId="3EF4103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固废</w:t>
            </w:r>
          </w:p>
        </w:tc>
        <w:tc>
          <w:tcPr>
            <w:tcW w:w="1510" w:type="pct"/>
            <w:noWrap w:val="0"/>
            <w:vAlign w:val="center"/>
          </w:tcPr>
          <w:p w14:paraId="6895A59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施工活动</w:t>
            </w:r>
          </w:p>
        </w:tc>
        <w:tc>
          <w:tcPr>
            <w:tcW w:w="2045" w:type="pct"/>
            <w:noWrap w:val="0"/>
            <w:vAlign w:val="center"/>
          </w:tcPr>
          <w:p w14:paraId="7E762CD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建筑垃圾、 生活垃圾</w:t>
            </w:r>
          </w:p>
        </w:tc>
      </w:tr>
      <w:tr w14:paraId="4C72D0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restart"/>
            <w:noWrap w:val="0"/>
            <w:vAlign w:val="center"/>
          </w:tcPr>
          <w:p w14:paraId="75C6FA0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营运期</w:t>
            </w:r>
          </w:p>
        </w:tc>
        <w:tc>
          <w:tcPr>
            <w:tcW w:w="894" w:type="pct"/>
            <w:vMerge w:val="restart"/>
            <w:noWrap w:val="0"/>
            <w:vAlign w:val="center"/>
          </w:tcPr>
          <w:p w14:paraId="7CF5AC4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510" w:type="pct"/>
            <w:noWrap w:val="0"/>
            <w:vAlign w:val="center"/>
          </w:tcPr>
          <w:p w14:paraId="1E9C0037">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粉尘</w:t>
            </w:r>
          </w:p>
        </w:tc>
        <w:tc>
          <w:tcPr>
            <w:tcW w:w="2045" w:type="pct"/>
            <w:noWrap w:val="0"/>
            <w:vAlign w:val="center"/>
          </w:tcPr>
          <w:p w14:paraId="6F737E0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粉尘</w:t>
            </w:r>
          </w:p>
        </w:tc>
      </w:tr>
      <w:tr w14:paraId="3494D1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26E19D0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vMerge w:val="continue"/>
            <w:noWrap w:val="0"/>
            <w:vAlign w:val="center"/>
          </w:tcPr>
          <w:p w14:paraId="402E5DE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10" w:type="pct"/>
            <w:noWrap w:val="0"/>
            <w:vAlign w:val="center"/>
          </w:tcPr>
          <w:p w14:paraId="3FEA500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冷却废气</w:t>
            </w:r>
          </w:p>
        </w:tc>
        <w:tc>
          <w:tcPr>
            <w:tcW w:w="2045" w:type="pct"/>
            <w:noWrap w:val="0"/>
            <w:vAlign w:val="center"/>
          </w:tcPr>
          <w:p w14:paraId="37C0748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VOC</w:t>
            </w:r>
            <w:r>
              <w:rPr>
                <w:rFonts w:hint="eastAsia" w:eastAsia="宋体" w:cs="Times New Roman"/>
                <w:color w:val="auto"/>
                <w:sz w:val="21"/>
                <w:szCs w:val="21"/>
                <w:highlight w:val="none"/>
                <w:lang w:val="en-US" w:eastAsia="zh-CN"/>
              </w:rPr>
              <w:t>s</w:t>
            </w:r>
          </w:p>
        </w:tc>
      </w:tr>
      <w:tr w14:paraId="176990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5191B26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vMerge w:val="restart"/>
            <w:noWrap w:val="0"/>
            <w:vAlign w:val="center"/>
          </w:tcPr>
          <w:p w14:paraId="060408B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水环境</w:t>
            </w:r>
          </w:p>
        </w:tc>
        <w:tc>
          <w:tcPr>
            <w:tcW w:w="1510" w:type="pct"/>
            <w:noWrap w:val="0"/>
            <w:vAlign w:val="center"/>
          </w:tcPr>
          <w:p w14:paraId="0CBAFB6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生产废水</w:t>
            </w:r>
          </w:p>
        </w:tc>
        <w:tc>
          <w:tcPr>
            <w:tcW w:w="2045" w:type="pct"/>
            <w:vMerge w:val="restart"/>
            <w:noWrap w:val="0"/>
            <w:vAlign w:val="center"/>
          </w:tcPr>
          <w:p w14:paraId="208FE204">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ascii="Times New Roman" w:hAnsi="Times New Roman" w:eastAsia="宋体" w:cs="Times New Roman"/>
                <w:color w:val="auto"/>
                <w:sz w:val="21"/>
                <w:szCs w:val="21"/>
                <w:highlight w:val="none"/>
                <w:lang w:eastAsia="zh-CN"/>
              </w:rPr>
              <w:t>、石油类</w:t>
            </w:r>
          </w:p>
        </w:tc>
      </w:tr>
      <w:tr w14:paraId="615D0E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3E70697A">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vMerge w:val="continue"/>
            <w:noWrap w:val="0"/>
            <w:vAlign w:val="center"/>
          </w:tcPr>
          <w:p w14:paraId="5EBD4E7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1510" w:type="pct"/>
            <w:noWrap w:val="0"/>
            <w:vAlign w:val="center"/>
          </w:tcPr>
          <w:p w14:paraId="3CD7E10C">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045" w:type="pct"/>
            <w:vMerge w:val="continue"/>
            <w:noWrap w:val="0"/>
            <w:vAlign w:val="center"/>
          </w:tcPr>
          <w:p w14:paraId="7BF9462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r>
      <w:tr w14:paraId="621593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42E6E34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noWrap w:val="0"/>
            <w:vAlign w:val="center"/>
          </w:tcPr>
          <w:p w14:paraId="1014690D">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1510" w:type="pct"/>
            <w:noWrap w:val="0"/>
            <w:vAlign w:val="center"/>
          </w:tcPr>
          <w:p w14:paraId="5297AF28">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2045" w:type="pct"/>
            <w:noWrap w:val="0"/>
            <w:vAlign w:val="center"/>
          </w:tcPr>
          <w:p w14:paraId="340DD97B">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pH、COD</w:t>
            </w:r>
            <w:r>
              <w:rPr>
                <w:rFonts w:hint="default" w:ascii="Times New Roman" w:hAnsi="Times New Roman" w:eastAsia="宋体" w:cs="Times New Roman"/>
                <w:color w:val="auto"/>
                <w:sz w:val="21"/>
                <w:szCs w:val="21"/>
                <w:highlight w:val="none"/>
                <w:vertAlign w:val="subscript"/>
              </w:rPr>
              <w:t>cr</w:t>
            </w:r>
            <w:r>
              <w:rPr>
                <w:rFonts w:hint="eastAsia"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石油类</w:t>
            </w:r>
          </w:p>
        </w:tc>
      </w:tr>
      <w:tr w14:paraId="7B68B8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5EDB2CD9">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noWrap w:val="0"/>
            <w:vAlign w:val="center"/>
          </w:tcPr>
          <w:p w14:paraId="15C3A673">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510" w:type="pct"/>
            <w:noWrap w:val="0"/>
            <w:vAlign w:val="center"/>
          </w:tcPr>
          <w:p w14:paraId="4883EB0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泵、风机等</w:t>
            </w:r>
          </w:p>
        </w:tc>
        <w:tc>
          <w:tcPr>
            <w:tcW w:w="2045" w:type="pct"/>
            <w:noWrap w:val="0"/>
            <w:vAlign w:val="center"/>
          </w:tcPr>
          <w:p w14:paraId="01F45B2F">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机械噪声</w:t>
            </w:r>
          </w:p>
        </w:tc>
      </w:tr>
      <w:tr w14:paraId="6CC3A9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0A284D3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894" w:type="pct"/>
            <w:noWrap w:val="0"/>
            <w:vAlign w:val="center"/>
          </w:tcPr>
          <w:p w14:paraId="0B86077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510" w:type="pct"/>
            <w:noWrap w:val="0"/>
            <w:vAlign w:val="center"/>
          </w:tcPr>
          <w:p w14:paraId="4D97B8D6">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生产及生活</w:t>
            </w:r>
          </w:p>
        </w:tc>
        <w:tc>
          <w:tcPr>
            <w:tcW w:w="2045" w:type="pct"/>
            <w:noWrap w:val="0"/>
            <w:vAlign w:val="center"/>
          </w:tcPr>
          <w:p w14:paraId="654F3435">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原料粉尘、包装袋、生活垃圾</w:t>
            </w:r>
          </w:p>
        </w:tc>
      </w:tr>
    </w:tbl>
    <w:p w14:paraId="22D897FE">
      <w:pPr>
        <w:pStyle w:val="7"/>
        <w:bidi w:val="0"/>
        <w:rPr>
          <w:rFonts w:ascii="Times New Roman" w:hAnsi="Times New Roman" w:eastAsia="宋体" w:cs="Times New Roman"/>
          <w:highlight w:val="none"/>
          <w:lang w:val="en-US" w:eastAsia="zh-CN"/>
        </w:rPr>
      </w:pPr>
      <w:bookmarkStart w:id="59" w:name="_Toc17588"/>
      <w:r>
        <w:rPr>
          <w:rFonts w:ascii="Times New Roman" w:hAnsi="Times New Roman" w:eastAsia="宋体" w:cs="Times New Roman"/>
          <w:highlight w:val="none"/>
          <w:lang w:val="en-US" w:eastAsia="zh-CN"/>
        </w:rPr>
        <w:t>2.3.</w:t>
      </w:r>
      <w:r>
        <w:rPr>
          <w:rFonts w:hint="eastAsia" w:cs="Times New Roman"/>
          <w:highlight w:val="none"/>
          <w:lang w:val="en-US" w:eastAsia="zh-CN"/>
        </w:rPr>
        <w:t>3</w:t>
      </w:r>
      <w:r>
        <w:rPr>
          <w:rFonts w:hint="eastAsia" w:ascii="Times New Roman" w:hAnsi="Times New Roman" w:eastAsia="宋体" w:cs="Times New Roman"/>
          <w:highlight w:val="none"/>
          <w:lang w:val="en-US" w:eastAsia="zh-CN"/>
        </w:rPr>
        <w:t xml:space="preserve"> </w:t>
      </w:r>
      <w:r>
        <w:rPr>
          <w:rFonts w:ascii="Times New Roman" w:hAnsi="Times New Roman" w:eastAsia="宋体" w:cs="Times New Roman"/>
          <w:highlight w:val="none"/>
          <w:lang w:val="en-US" w:eastAsia="zh-CN"/>
        </w:rPr>
        <w:t>评价因子筛选</w:t>
      </w:r>
      <w:bookmarkEnd w:id="59"/>
    </w:p>
    <w:p w14:paraId="6A973DEC">
      <w:pPr>
        <w:ind w:firstLine="480" w:firstLineChars="200"/>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根据环境影响因素的筛选结果确定评价因子，具体见表2.3-3。</w:t>
      </w:r>
    </w:p>
    <w:p w14:paraId="4CC15BF9">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b/>
          <w:bCs/>
          <w:spacing w:val="-7"/>
          <w:kern w:val="0"/>
          <w:sz w:val="24"/>
          <w:szCs w:val="20"/>
          <w:highlight w:val="none"/>
          <w:lang w:val="en-US" w:eastAsia="zh-CN" w:bidi="ar-SA"/>
        </w:rPr>
      </w:pPr>
      <w:r>
        <w:rPr>
          <w:rFonts w:hint="eastAsia" w:ascii="Times New Roman" w:hAnsi="Times New Roman" w:eastAsia="宋体" w:cs="Times New Roman"/>
          <w:b/>
          <w:bCs/>
          <w:spacing w:val="-7"/>
          <w:kern w:val="0"/>
          <w:sz w:val="24"/>
          <w:szCs w:val="20"/>
          <w:highlight w:val="none"/>
          <w:lang w:val="en-US" w:eastAsia="zh-CN" w:bidi="ar-SA"/>
        </w:rPr>
        <w:t>表2.</w:t>
      </w:r>
      <w:r>
        <w:rPr>
          <w:rFonts w:hint="eastAsia" w:eastAsia="宋体" w:cs="Times New Roman"/>
          <w:b/>
          <w:bCs/>
          <w:spacing w:val="-7"/>
          <w:kern w:val="0"/>
          <w:sz w:val="24"/>
          <w:szCs w:val="20"/>
          <w:highlight w:val="none"/>
          <w:lang w:val="en-US" w:eastAsia="zh-CN" w:bidi="ar-SA"/>
        </w:rPr>
        <w:t>3</w:t>
      </w:r>
      <w:r>
        <w:rPr>
          <w:rFonts w:hint="eastAsia" w:ascii="Times New Roman" w:hAnsi="Times New Roman" w:eastAsia="宋体" w:cs="Times New Roman"/>
          <w:b/>
          <w:bCs/>
          <w:spacing w:val="-7"/>
          <w:kern w:val="0"/>
          <w:sz w:val="24"/>
          <w:szCs w:val="20"/>
          <w:highlight w:val="none"/>
          <w:lang w:val="en-US" w:eastAsia="zh-CN" w:bidi="ar-SA"/>
        </w:rPr>
        <w:t>-3  本次工程评价内容与评价因子</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4424"/>
        <w:gridCol w:w="2889"/>
      </w:tblGrid>
      <w:tr w14:paraId="590FF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0"/>
            <w:vAlign w:val="center"/>
          </w:tcPr>
          <w:p w14:paraId="3EFD1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环境要素</w:t>
            </w:r>
          </w:p>
        </w:tc>
        <w:tc>
          <w:tcPr>
            <w:tcW w:w="2598" w:type="pct"/>
            <w:noWrap w:val="0"/>
            <w:vAlign w:val="center"/>
          </w:tcPr>
          <w:p w14:paraId="79592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现状评价因子</w:t>
            </w:r>
          </w:p>
        </w:tc>
        <w:tc>
          <w:tcPr>
            <w:tcW w:w="1696" w:type="pct"/>
            <w:noWrap w:val="0"/>
            <w:vAlign w:val="center"/>
          </w:tcPr>
          <w:p w14:paraId="4007CE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影响评价因子</w:t>
            </w:r>
          </w:p>
        </w:tc>
      </w:tr>
      <w:tr w14:paraId="0B927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0"/>
            <w:vAlign w:val="center"/>
          </w:tcPr>
          <w:p w14:paraId="080EC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2598" w:type="pct"/>
            <w:noWrap w:val="0"/>
            <w:vAlign w:val="center"/>
          </w:tcPr>
          <w:p w14:paraId="7F0A1179">
            <w:pPr>
              <w:pStyle w:val="36"/>
              <w:spacing w:before="54" w:line="192" w:lineRule="auto"/>
              <w:ind w:left="0" w:leftChars="0"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w:t>
            </w:r>
            <w:r>
              <w:rPr>
                <w:rFonts w:ascii="Times New Roman" w:hAnsi="Times New Roman" w:eastAsia="Times New Roman" w:cs="Times New Roman"/>
                <w:highlight w:val="none"/>
              </w:rPr>
              <w:t>PM</w:t>
            </w:r>
            <w:r>
              <w:rPr>
                <w:rFonts w:ascii="Times New Roman" w:hAnsi="Times New Roman" w:eastAsia="Times New Roman" w:cs="Times New Roman"/>
                <w:spacing w:val="4"/>
                <w:position w:val="-1"/>
                <w:sz w:val="13"/>
                <w:szCs w:val="13"/>
                <w:highlight w:val="none"/>
              </w:rPr>
              <w:t>2.5</w:t>
            </w:r>
            <w:r>
              <w:rPr>
                <w:spacing w:val="4"/>
                <w:highlight w:val="none"/>
              </w:rPr>
              <w:t>、</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w:t>
            </w:r>
            <w:r>
              <w:rPr>
                <w:rFonts w:ascii="Times New Roman" w:hAnsi="Times New Roman" w:eastAsia="Times New Roman" w:cs="Times New Roman"/>
                <w:spacing w:val="-4"/>
                <w:highlight w:val="none"/>
              </w:rPr>
              <w:t>CO</w:t>
            </w:r>
            <w:r>
              <w:rPr>
                <w:rFonts w:ascii="Times New Roman" w:hAnsi="Times New Roman" w:eastAsia="Times New Roman" w:cs="Times New Roman"/>
                <w:spacing w:val="-27"/>
                <w:highlight w:val="none"/>
              </w:rPr>
              <w:t xml:space="preserve"> </w:t>
            </w:r>
            <w:r>
              <w:rPr>
                <w:spacing w:val="-4"/>
                <w:highlight w:val="none"/>
              </w:rPr>
              <w:t>、</w:t>
            </w:r>
            <w:r>
              <w:rPr>
                <w:rFonts w:ascii="Times New Roman" w:hAnsi="Times New Roman" w:eastAsia="Times New Roman" w:cs="Times New Roman"/>
                <w:spacing w:val="-4"/>
                <w:highlight w:val="none"/>
              </w:rPr>
              <w:t>O</w:t>
            </w:r>
            <w:r>
              <w:rPr>
                <w:rFonts w:ascii="Times New Roman" w:hAnsi="Times New Roman" w:eastAsia="Times New Roman" w:cs="Times New Roman"/>
                <w:spacing w:val="-4"/>
                <w:position w:val="-1"/>
                <w:sz w:val="13"/>
                <w:szCs w:val="13"/>
                <w:highlight w:val="none"/>
              </w:rPr>
              <w:t>3</w:t>
            </w:r>
            <w:r>
              <w:rPr>
                <w:spacing w:val="-4"/>
                <w:highlight w:val="none"/>
              </w:rPr>
              <w:t>、</w:t>
            </w:r>
            <w:r>
              <w:rPr>
                <w:rFonts w:ascii="Times New Roman" w:hAnsi="Times New Roman" w:eastAsia="Times New Roman" w:cs="Times New Roman"/>
                <w:highlight w:val="none"/>
              </w:rPr>
              <w:t>TSP</w:t>
            </w:r>
            <w:r>
              <w:rPr>
                <w:rFonts w:ascii="Times New Roman" w:hAnsi="Times New Roman" w:eastAsia="Times New Roman" w:cs="Times New Roman"/>
                <w:spacing w:val="-26"/>
                <w:highlight w:val="none"/>
              </w:rPr>
              <w:t xml:space="preserve"> </w:t>
            </w:r>
            <w:r>
              <w:rPr>
                <w:spacing w:val="3"/>
                <w:highlight w:val="none"/>
              </w:rPr>
              <w:t>、</w:t>
            </w:r>
            <w:r>
              <w:rPr>
                <w:rFonts w:ascii="Times New Roman" w:hAnsi="Times New Roman" w:eastAsia="Times New Roman" w:cs="Times New Roman"/>
                <w:spacing w:val="4"/>
                <w:sz w:val="20"/>
                <w:szCs w:val="20"/>
                <w:highlight w:val="none"/>
              </w:rPr>
              <w:t>TVOC</w:t>
            </w:r>
          </w:p>
        </w:tc>
        <w:tc>
          <w:tcPr>
            <w:tcW w:w="1696" w:type="pct"/>
            <w:noWrap w:val="0"/>
            <w:vAlign w:val="center"/>
          </w:tcPr>
          <w:p w14:paraId="1AA99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粉尘、VOC</w:t>
            </w:r>
            <w:r>
              <w:rPr>
                <w:rFonts w:hint="eastAsia" w:eastAsia="宋体" w:cs="Times New Roman"/>
                <w:color w:val="auto"/>
                <w:sz w:val="21"/>
                <w:szCs w:val="21"/>
                <w:highlight w:val="none"/>
                <w:lang w:val="en-US" w:eastAsia="zh-CN"/>
              </w:rPr>
              <w:t>s</w:t>
            </w:r>
          </w:p>
        </w:tc>
      </w:tr>
      <w:tr w14:paraId="76994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0"/>
            <w:vAlign w:val="center"/>
          </w:tcPr>
          <w:p w14:paraId="23C91A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2598" w:type="pct"/>
            <w:noWrap w:val="0"/>
            <w:vAlign w:val="center"/>
          </w:tcPr>
          <w:p w14:paraId="2BDE71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 值、</w:t>
            </w:r>
            <w:r>
              <w:rPr>
                <w:rFonts w:hint="eastAsia" w:ascii="Times New Roman" w:hAnsi="Times New Roman" w:eastAsia="宋体" w:cs="Times New Roman"/>
                <w:color w:val="auto"/>
                <w:sz w:val="21"/>
                <w:szCs w:val="21"/>
                <w:highlight w:val="none"/>
                <w:lang w:val="en-US" w:eastAsia="zh-CN"/>
              </w:rPr>
              <w:t>溶解氧、</w:t>
            </w:r>
            <w:r>
              <w:rPr>
                <w:rFonts w:hint="default" w:ascii="Times New Roman" w:hAnsi="Times New Roman" w:eastAsia="宋体" w:cs="Times New Roman"/>
                <w:color w:val="auto"/>
                <w:sz w:val="21"/>
                <w:szCs w:val="21"/>
                <w:highlight w:val="none"/>
              </w:rPr>
              <w:t>化学需氧量、五日生化需氧量、高锰酸盐指数、氨氮(以N计)、总磷(以P计)、总氮、铜、锌、</w:t>
            </w:r>
            <w:r>
              <w:rPr>
                <w:rFonts w:hint="eastAsia" w:ascii="Times New Roman" w:hAnsi="Times New Roman" w:eastAsia="宋体" w:cs="Times New Roman"/>
                <w:color w:val="auto"/>
                <w:sz w:val="21"/>
                <w:szCs w:val="21"/>
                <w:highlight w:val="none"/>
                <w:lang w:val="en-US" w:eastAsia="zh-CN"/>
              </w:rPr>
              <w:t>镍、</w:t>
            </w:r>
            <w:r>
              <w:rPr>
                <w:rFonts w:hint="default" w:ascii="Times New Roman" w:hAnsi="Times New Roman" w:eastAsia="宋体" w:cs="Times New Roman"/>
                <w:color w:val="auto"/>
                <w:sz w:val="21"/>
                <w:szCs w:val="21"/>
                <w:highlight w:val="none"/>
              </w:rPr>
              <w:t>砷、汞、镉、铬(六价)、铅、硫化物、氟化物、氰化物、挥发酚、石油类、阴离子表面活性剂、粪大肠菌群</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硫酸盐、氯化物、</w:t>
            </w:r>
            <w:r>
              <w:rPr>
                <w:rFonts w:hint="eastAsia" w:ascii="Times New Roman" w:hAnsi="Times New Roman" w:eastAsia="宋体" w:cs="Times New Roman"/>
                <w:color w:val="auto"/>
                <w:sz w:val="21"/>
                <w:szCs w:val="21"/>
                <w:highlight w:val="none"/>
              </w:rPr>
              <w:t>SS</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苯</w:t>
            </w:r>
          </w:p>
        </w:tc>
        <w:tc>
          <w:tcPr>
            <w:tcW w:w="1696" w:type="pct"/>
            <w:noWrap w:val="0"/>
            <w:vAlign w:val="center"/>
          </w:tcPr>
          <w:p w14:paraId="0D94AD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w:t>
            </w:r>
          </w:p>
        </w:tc>
      </w:tr>
      <w:tr w14:paraId="15207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0"/>
            <w:vAlign w:val="center"/>
          </w:tcPr>
          <w:p w14:paraId="779DC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2598" w:type="pct"/>
            <w:noWrap w:val="0"/>
            <w:vAlign w:val="center"/>
          </w:tcPr>
          <w:p w14:paraId="361C8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水位、</w:t>
            </w:r>
            <w:r>
              <w:rPr>
                <w:rFonts w:hint="default" w:ascii="Times New Roman" w:hAnsi="Times New Roman" w:eastAsia="宋体" w:cs="Times New Roman"/>
                <w:color w:val="auto"/>
                <w:sz w:val="21"/>
                <w:szCs w:val="21"/>
                <w:highlight w:val="none"/>
              </w:rPr>
              <w:t>pH、K</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、Na</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、Ca</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、CO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、HCO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、Cl</w:t>
            </w:r>
            <w:r>
              <w:rPr>
                <w:rFonts w:hint="default" w:ascii="Times New Roman" w:hAnsi="Times New Roman" w:eastAsia="宋体" w:cs="Times New Roman"/>
                <w:color w:val="auto"/>
                <w:sz w:val="21"/>
                <w:szCs w:val="21"/>
                <w:highlight w:val="none"/>
                <w:vertAlign w:val="superscript"/>
              </w:rPr>
              <w:t>-</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rPr>
              <w:t>氨氮、硝酸盐、亚硝酸盐、挥发性酚类、氰化物、砷、汞、铬(六价)、总硬度、铅、氟、镉、铁、锰、溶解性总固体、耗氧量、硫酸盐、氯化物、总大肠菌群、细菌总数</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石油类、阴离子表面活性剂；</w:t>
            </w:r>
          </w:p>
        </w:tc>
        <w:tc>
          <w:tcPr>
            <w:tcW w:w="1696" w:type="pct"/>
            <w:noWrap w:val="0"/>
            <w:vAlign w:val="center"/>
          </w:tcPr>
          <w:p w14:paraId="02E49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石油类</w:t>
            </w:r>
          </w:p>
        </w:tc>
      </w:tr>
      <w:tr w14:paraId="4A3B4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0"/>
            <w:vAlign w:val="center"/>
          </w:tcPr>
          <w:p w14:paraId="30D9CB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598" w:type="pct"/>
            <w:noWrap w:val="0"/>
            <w:vAlign w:val="center"/>
          </w:tcPr>
          <w:p w14:paraId="57C43A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环境噪声(等效连续A声级)</w:t>
            </w:r>
          </w:p>
        </w:tc>
        <w:tc>
          <w:tcPr>
            <w:tcW w:w="1696" w:type="pct"/>
            <w:noWrap w:val="0"/>
            <w:vAlign w:val="center"/>
          </w:tcPr>
          <w:p w14:paraId="38A346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厂界噪声(等效连续A声级)</w:t>
            </w:r>
          </w:p>
        </w:tc>
      </w:tr>
      <w:tr w14:paraId="6980A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pct"/>
            <w:noWrap w:val="0"/>
            <w:vAlign w:val="center"/>
          </w:tcPr>
          <w:p w14:paraId="5F54C7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598" w:type="pct"/>
            <w:noWrap w:val="0"/>
            <w:vAlign w:val="center"/>
          </w:tcPr>
          <w:p w14:paraId="0D703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696" w:type="pct"/>
            <w:noWrap w:val="0"/>
            <w:vAlign w:val="center"/>
          </w:tcPr>
          <w:p w14:paraId="20FBC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一般</w:t>
            </w:r>
            <w:r>
              <w:rPr>
                <w:rFonts w:hint="default" w:ascii="Times New Roman" w:hAnsi="Times New Roman" w:eastAsia="宋体" w:cs="Times New Roman"/>
                <w:color w:val="auto"/>
                <w:sz w:val="21"/>
                <w:szCs w:val="21"/>
                <w:highlight w:val="none"/>
              </w:rPr>
              <w:t>工业废物、</w:t>
            </w:r>
            <w:r>
              <w:rPr>
                <w:rFonts w:hint="eastAsia" w:ascii="Times New Roman" w:hAnsi="Times New Roman" w:eastAsia="宋体" w:cs="Times New Roman"/>
                <w:color w:val="auto"/>
                <w:sz w:val="21"/>
                <w:szCs w:val="21"/>
                <w:highlight w:val="none"/>
                <w:lang w:val="en-US" w:eastAsia="zh-CN"/>
              </w:rPr>
              <w:t>危险废物、</w:t>
            </w:r>
            <w:r>
              <w:rPr>
                <w:rFonts w:hint="default" w:ascii="Times New Roman" w:hAnsi="Times New Roman" w:eastAsia="宋体" w:cs="Times New Roman"/>
                <w:color w:val="auto"/>
                <w:sz w:val="21"/>
                <w:szCs w:val="21"/>
                <w:highlight w:val="none"/>
              </w:rPr>
              <w:t>生活垃圾</w:t>
            </w:r>
          </w:p>
        </w:tc>
      </w:tr>
    </w:tbl>
    <w:p w14:paraId="262387FF">
      <w:pPr>
        <w:pStyle w:val="6"/>
        <w:keepNext/>
        <w:keepLines/>
        <w:pageBreakBefore w:val="0"/>
        <w:widowControl w:val="0"/>
        <w:kinsoku/>
        <w:wordWrap/>
        <w:overflowPunct/>
        <w:topLinePunct w:val="0"/>
        <w:autoSpaceDE/>
        <w:autoSpaceDN/>
        <w:bidi w:val="0"/>
        <w:adjustRightInd/>
        <w:snapToGrid/>
        <w:spacing w:before="0" w:beforeLines="50" w:after="0" w:afterLines="50"/>
        <w:textAlignment w:val="auto"/>
        <w:rPr>
          <w:rFonts w:hint="default" w:ascii="Times New Roman" w:hAnsi="Times New Roman" w:eastAsia="黑体" w:cs="Times New Roman"/>
          <w:color w:val="auto"/>
          <w:sz w:val="28"/>
          <w:szCs w:val="28"/>
          <w:highlight w:val="none"/>
          <w:lang w:val="en-US" w:eastAsia="zh-CN"/>
        </w:rPr>
      </w:pPr>
      <w:bookmarkStart w:id="60" w:name="_Toc9334"/>
      <w:r>
        <w:rPr>
          <w:rFonts w:ascii="Times New Roman" w:hAnsi="Times New Roman" w:eastAsia="宋体" w:cs="Times New Roman"/>
          <w:highlight w:val="none"/>
        </w:rPr>
        <w:t>2.4</w:t>
      </w:r>
      <w:r>
        <w:rPr>
          <w:rFonts w:hint="eastAsia" w:ascii="Times New Roman" w:hAnsi="Times New Roman" w:eastAsia="宋体" w:cs="Times New Roman"/>
          <w:highlight w:val="none"/>
          <w:lang w:val="en-US" w:eastAsia="zh-CN"/>
        </w:rPr>
        <w:t xml:space="preserve"> </w:t>
      </w:r>
      <w:r>
        <w:rPr>
          <w:rFonts w:ascii="Times New Roman" w:hAnsi="Times New Roman" w:eastAsia="宋体" w:cs="Times New Roman"/>
          <w:highlight w:val="none"/>
        </w:rPr>
        <w:t>评价标准</w:t>
      </w:r>
      <w:bookmarkEnd w:id="60"/>
    </w:p>
    <w:p w14:paraId="43C74937">
      <w:pPr>
        <w:pStyle w:val="7"/>
        <w:keepNext/>
        <w:keepLines/>
        <w:pageBreakBefore w:val="0"/>
        <w:widowControl w:val="0"/>
        <w:kinsoku/>
        <w:wordWrap/>
        <w:overflowPunct/>
        <w:topLinePunct w:val="0"/>
        <w:autoSpaceDE/>
        <w:autoSpaceDN/>
        <w:bidi w:val="0"/>
        <w:adjustRightInd/>
        <w:snapToGrid/>
        <w:spacing w:before="0" w:beforeLines="50" w:after="0" w:afterLines="50"/>
        <w:textAlignment w:val="auto"/>
        <w:rPr>
          <w:rFonts w:ascii="Times New Roman" w:hAnsi="Times New Roman" w:eastAsia="宋体" w:cs="Times New Roman"/>
          <w:highlight w:val="none"/>
          <w:lang w:val="en-US" w:eastAsia="zh-CN"/>
        </w:rPr>
      </w:pPr>
      <w:bookmarkStart w:id="61" w:name="_Toc5931"/>
      <w:r>
        <w:rPr>
          <w:rFonts w:ascii="Times New Roman" w:hAnsi="Times New Roman" w:eastAsia="宋体" w:cs="Times New Roman"/>
          <w:highlight w:val="none"/>
          <w:lang w:val="en-US" w:eastAsia="zh-CN"/>
        </w:rPr>
        <w:t>2.4.1环境质量标准</w:t>
      </w:r>
      <w:bookmarkEnd w:id="61"/>
    </w:p>
    <w:p w14:paraId="7969F57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（1）</w:t>
      </w:r>
      <w:r>
        <w:rPr>
          <w:rFonts w:hint="default" w:ascii="Times New Roman" w:hAnsi="Times New Roman" w:eastAsia="宋体" w:cs="Times New Roman"/>
          <w:color w:val="auto"/>
          <w:kern w:val="0"/>
          <w:sz w:val="24"/>
          <w:szCs w:val="20"/>
          <w:highlight w:val="none"/>
          <w:lang w:val="en-US" w:eastAsia="zh-CN" w:bidi="ar-SA"/>
        </w:rPr>
        <w:t>环境空气质量标准</w:t>
      </w:r>
    </w:p>
    <w:p w14:paraId="541EDA8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环境空气：SO</w:t>
      </w:r>
      <w:r>
        <w:rPr>
          <w:rFonts w:hint="default" w:ascii="Times New Roman" w:hAnsi="Times New Roman" w:eastAsia="宋体" w:cs="Times New Roman"/>
          <w:color w:val="auto"/>
          <w:kern w:val="0"/>
          <w:sz w:val="24"/>
          <w:szCs w:val="20"/>
          <w:highlight w:val="none"/>
          <w:vertAlign w:val="subscript"/>
          <w:lang w:val="en-US" w:eastAsia="zh-CN" w:bidi="ar-SA"/>
        </w:rPr>
        <w:t>2</w:t>
      </w:r>
      <w:r>
        <w:rPr>
          <w:rFonts w:hint="default" w:ascii="Times New Roman" w:hAnsi="Times New Roman" w:eastAsia="宋体" w:cs="Times New Roman"/>
          <w:color w:val="auto"/>
          <w:kern w:val="0"/>
          <w:sz w:val="24"/>
          <w:szCs w:val="20"/>
          <w:highlight w:val="none"/>
          <w:lang w:val="en-US" w:eastAsia="zh-CN" w:bidi="ar-SA"/>
        </w:rPr>
        <w:t xml:space="preserve"> 、NO</w:t>
      </w:r>
      <w:r>
        <w:rPr>
          <w:rFonts w:hint="default" w:ascii="Times New Roman" w:hAnsi="Times New Roman" w:eastAsia="宋体" w:cs="Times New Roman"/>
          <w:color w:val="auto"/>
          <w:kern w:val="0"/>
          <w:sz w:val="24"/>
          <w:szCs w:val="20"/>
          <w:highlight w:val="none"/>
          <w:vertAlign w:val="subscript"/>
          <w:lang w:val="en-US" w:eastAsia="zh-CN" w:bidi="ar-SA"/>
        </w:rPr>
        <w:t>2</w:t>
      </w:r>
      <w:r>
        <w:rPr>
          <w:rFonts w:hint="default" w:ascii="Times New Roman" w:hAnsi="Times New Roman" w:eastAsia="宋体" w:cs="Times New Roman"/>
          <w:color w:val="auto"/>
          <w:kern w:val="0"/>
          <w:sz w:val="24"/>
          <w:szCs w:val="20"/>
          <w:highlight w:val="none"/>
          <w:lang w:val="en-US" w:eastAsia="zh-CN" w:bidi="ar-SA"/>
        </w:rPr>
        <w:t xml:space="preserve"> 、TSP 、PM</w:t>
      </w:r>
      <w:r>
        <w:rPr>
          <w:rFonts w:hint="default" w:ascii="Times New Roman" w:hAnsi="Times New Roman" w:eastAsia="宋体" w:cs="Times New Roman"/>
          <w:color w:val="auto"/>
          <w:kern w:val="0"/>
          <w:sz w:val="24"/>
          <w:szCs w:val="20"/>
          <w:highlight w:val="none"/>
          <w:vertAlign w:val="subscript"/>
          <w:lang w:val="en-US" w:eastAsia="zh-CN" w:bidi="ar-SA"/>
        </w:rPr>
        <w:t>10</w:t>
      </w:r>
      <w:r>
        <w:rPr>
          <w:rFonts w:hint="default" w:ascii="Times New Roman" w:hAnsi="Times New Roman" w:eastAsia="宋体" w:cs="Times New Roman"/>
          <w:color w:val="auto"/>
          <w:kern w:val="0"/>
          <w:sz w:val="24"/>
          <w:szCs w:val="20"/>
          <w:highlight w:val="none"/>
          <w:lang w:val="en-US" w:eastAsia="zh-CN" w:bidi="ar-SA"/>
        </w:rPr>
        <w:t xml:space="preserve"> 、PM</w:t>
      </w:r>
      <w:r>
        <w:rPr>
          <w:rFonts w:hint="default" w:ascii="Times New Roman" w:hAnsi="Times New Roman" w:eastAsia="宋体" w:cs="Times New Roman"/>
          <w:color w:val="auto"/>
          <w:kern w:val="0"/>
          <w:sz w:val="24"/>
          <w:szCs w:val="20"/>
          <w:highlight w:val="none"/>
          <w:vertAlign w:val="subscript"/>
          <w:lang w:val="en-US" w:eastAsia="zh-CN" w:bidi="ar-SA"/>
        </w:rPr>
        <w:t>2.5</w:t>
      </w:r>
      <w:r>
        <w:rPr>
          <w:rFonts w:hint="default" w:ascii="Times New Roman" w:hAnsi="Times New Roman" w:eastAsia="宋体" w:cs="Times New Roman"/>
          <w:color w:val="auto"/>
          <w:kern w:val="0"/>
          <w:sz w:val="24"/>
          <w:szCs w:val="20"/>
          <w:highlight w:val="none"/>
          <w:lang w:val="en-US" w:eastAsia="zh-CN" w:bidi="ar-SA"/>
        </w:rPr>
        <w:t xml:space="preserve"> 、CO 、O</w:t>
      </w:r>
      <w:r>
        <w:rPr>
          <w:rFonts w:hint="default" w:ascii="Times New Roman" w:hAnsi="Times New Roman" w:eastAsia="宋体" w:cs="Times New Roman"/>
          <w:color w:val="auto"/>
          <w:kern w:val="0"/>
          <w:sz w:val="24"/>
          <w:szCs w:val="20"/>
          <w:highlight w:val="none"/>
          <w:vertAlign w:val="subscript"/>
          <w:lang w:val="en-US" w:eastAsia="zh-CN" w:bidi="ar-SA"/>
        </w:rPr>
        <w:t>3</w:t>
      </w:r>
      <w:r>
        <w:rPr>
          <w:rFonts w:hint="default" w:ascii="Times New Roman" w:hAnsi="Times New Roman" w:eastAsia="宋体" w:cs="Times New Roman"/>
          <w:color w:val="auto"/>
          <w:kern w:val="0"/>
          <w:sz w:val="24"/>
          <w:szCs w:val="20"/>
          <w:highlight w:val="none"/>
          <w:lang w:val="en-US" w:eastAsia="zh-CN" w:bidi="ar-SA"/>
        </w:rPr>
        <w:t xml:space="preserve"> 执行《环境空气质量标准》 （GB3095-2012）中的二级标准；TVOC 参照执行《环境影响评价技术导则大 气环境》（HJ2.2-2018）附录 D 浓度限值要求。</w:t>
      </w:r>
    </w:p>
    <w:p w14:paraId="57611110">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b/>
          <w:bCs/>
          <w:spacing w:val="-7"/>
          <w:kern w:val="0"/>
          <w:sz w:val="24"/>
          <w:szCs w:val="20"/>
          <w:highlight w:val="none"/>
          <w:lang w:val="en-US" w:eastAsia="zh-CN" w:bidi="ar-SA"/>
        </w:rPr>
        <w:t>表 2.4-1  环境空气质量标准</w:t>
      </w:r>
    </w:p>
    <w:tbl>
      <w:tblPr>
        <w:tblStyle w:val="37"/>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94"/>
        <w:gridCol w:w="1649"/>
        <w:gridCol w:w="1277"/>
        <w:gridCol w:w="3982"/>
      </w:tblGrid>
      <w:tr w14:paraId="37110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jc w:val="center"/>
        </w:trPr>
        <w:tc>
          <w:tcPr>
            <w:tcW w:w="839" w:type="pct"/>
            <w:tcBorders>
              <w:tl2br w:val="nil"/>
              <w:tr2bl w:val="nil"/>
            </w:tcBorders>
            <w:vAlign w:val="center"/>
          </w:tcPr>
          <w:p w14:paraId="47B9F25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污染物名称</w:t>
            </w:r>
          </w:p>
        </w:tc>
        <w:tc>
          <w:tcPr>
            <w:tcW w:w="1762" w:type="pct"/>
            <w:gridSpan w:val="2"/>
            <w:tcBorders>
              <w:tl2br w:val="nil"/>
              <w:tr2bl w:val="nil"/>
            </w:tcBorders>
            <w:vAlign w:val="center"/>
          </w:tcPr>
          <w:p w14:paraId="3E5787C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highlight w:val="none"/>
              </w:rPr>
            </w:pPr>
            <w:r>
              <w:rPr>
                <w:spacing w:val="6"/>
                <w:highlight w:val="none"/>
              </w:rPr>
              <w:t>标准值</w:t>
            </w:r>
            <w:r>
              <w:rPr>
                <w:rFonts w:ascii="Times New Roman" w:hAnsi="Times New Roman" w:eastAsia="Times New Roman" w:cs="Times New Roman"/>
                <w:spacing w:val="6"/>
                <w:highlight w:val="none"/>
              </w:rPr>
              <w:t>(</w:t>
            </w:r>
            <w:r>
              <w:rPr>
                <w:rFonts w:ascii="Times New Roman" w:hAnsi="Times New Roman" w:eastAsia="Times New Roman" w:cs="Times New Roman"/>
                <w:highlight w:val="none"/>
              </w:rPr>
              <w:t>mg</w:t>
            </w:r>
            <w:r>
              <w:rPr>
                <w:rFonts w:ascii="Times New Roman" w:hAnsi="Times New Roman" w:eastAsia="Times New Roman" w:cs="Times New Roman"/>
                <w:spacing w:val="6"/>
                <w:highlight w:val="none"/>
              </w:rPr>
              <w:t>/m</w:t>
            </w:r>
            <w:r>
              <w:rPr>
                <w:rFonts w:ascii="Times New Roman" w:hAnsi="Times New Roman" w:eastAsia="Times New Roman" w:cs="Times New Roman"/>
                <w:spacing w:val="6"/>
                <w:position w:val="6"/>
                <w:sz w:val="13"/>
                <w:szCs w:val="13"/>
                <w:highlight w:val="none"/>
              </w:rPr>
              <w:t>3</w:t>
            </w:r>
            <w:r>
              <w:rPr>
                <w:rFonts w:ascii="Times New Roman" w:hAnsi="Times New Roman" w:eastAsia="Times New Roman" w:cs="Times New Roman"/>
                <w:spacing w:val="6"/>
                <w:highlight w:val="none"/>
              </w:rPr>
              <w:t>)</w:t>
            </w:r>
          </w:p>
        </w:tc>
        <w:tc>
          <w:tcPr>
            <w:tcW w:w="2397" w:type="pct"/>
            <w:tcBorders>
              <w:tl2br w:val="nil"/>
              <w:tr2bl w:val="nil"/>
            </w:tcBorders>
            <w:vAlign w:val="center"/>
          </w:tcPr>
          <w:p w14:paraId="49D8F3C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选用标准</w:t>
            </w:r>
          </w:p>
        </w:tc>
      </w:tr>
      <w:tr w14:paraId="3E340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839" w:type="pct"/>
            <w:vMerge w:val="restart"/>
            <w:tcBorders>
              <w:tl2br w:val="nil"/>
              <w:tr2bl w:val="nil"/>
            </w:tcBorders>
            <w:vAlign w:val="center"/>
          </w:tcPr>
          <w:p w14:paraId="74B8FC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13"/>
                <w:szCs w:val="13"/>
                <w:highlight w:val="none"/>
              </w:rPr>
            </w:pPr>
            <w:r>
              <w:rPr>
                <w:rFonts w:ascii="Times New Roman" w:hAnsi="Times New Roman" w:eastAsia="Times New Roman" w:cs="Times New Roman"/>
                <w:sz w:val="20"/>
                <w:szCs w:val="20"/>
                <w:highlight w:val="none"/>
              </w:rPr>
              <w:t>SO</w:t>
            </w:r>
            <w:r>
              <w:rPr>
                <w:rFonts w:ascii="Times New Roman" w:hAnsi="Times New Roman" w:eastAsia="Times New Roman" w:cs="Times New Roman"/>
                <w:spacing w:val="1"/>
                <w:position w:val="-1"/>
                <w:sz w:val="13"/>
                <w:szCs w:val="13"/>
                <w:highlight w:val="none"/>
              </w:rPr>
              <w:t>2</w:t>
            </w:r>
          </w:p>
        </w:tc>
        <w:tc>
          <w:tcPr>
            <w:tcW w:w="993" w:type="pct"/>
            <w:tcBorders>
              <w:tl2br w:val="nil"/>
              <w:tr2bl w:val="nil"/>
            </w:tcBorders>
            <w:vAlign w:val="center"/>
          </w:tcPr>
          <w:p w14:paraId="605ABA7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6"/>
                <w:highlight w:val="none"/>
              </w:rPr>
              <w:t>年平均</w:t>
            </w:r>
          </w:p>
        </w:tc>
        <w:tc>
          <w:tcPr>
            <w:tcW w:w="768" w:type="pct"/>
            <w:tcBorders>
              <w:tl2br w:val="nil"/>
              <w:tr2bl w:val="nil"/>
            </w:tcBorders>
            <w:vAlign w:val="center"/>
          </w:tcPr>
          <w:p w14:paraId="506E81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0.06</w:t>
            </w:r>
          </w:p>
        </w:tc>
        <w:tc>
          <w:tcPr>
            <w:tcW w:w="2397" w:type="pct"/>
            <w:vMerge w:val="restart"/>
            <w:tcBorders>
              <w:tl2br w:val="nil"/>
              <w:tr2bl w:val="nil"/>
            </w:tcBorders>
            <w:vAlign w:val="center"/>
          </w:tcPr>
          <w:p w14:paraId="3C83A4C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《环境空气质量标准》（</w:t>
            </w:r>
            <w:r>
              <w:rPr>
                <w:rFonts w:ascii="Times New Roman" w:hAnsi="Times New Roman" w:eastAsia="Times New Roman" w:cs="Times New Roman"/>
                <w:highlight w:val="none"/>
              </w:rPr>
              <w:t>GB</w:t>
            </w:r>
            <w:r>
              <w:rPr>
                <w:rFonts w:ascii="Times New Roman" w:hAnsi="Times New Roman" w:eastAsia="Times New Roman" w:cs="Times New Roman"/>
                <w:spacing w:val="7"/>
                <w:highlight w:val="none"/>
              </w:rPr>
              <w:t>3095-2012</w:t>
            </w:r>
            <w:r>
              <w:rPr>
                <w:spacing w:val="7"/>
                <w:highlight w:val="none"/>
              </w:rPr>
              <w:t>）</w:t>
            </w:r>
          </w:p>
          <w:p w14:paraId="6BA4404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6"/>
                <w:highlight w:val="none"/>
              </w:rPr>
              <w:t>二级标准</w:t>
            </w:r>
          </w:p>
        </w:tc>
      </w:tr>
      <w:tr w14:paraId="73CE8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2F9423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1FC4434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768" w:type="pct"/>
            <w:tcBorders>
              <w:tl2br w:val="nil"/>
              <w:tr2bl w:val="nil"/>
            </w:tcBorders>
            <w:vAlign w:val="center"/>
          </w:tcPr>
          <w:p w14:paraId="776996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0.15</w:t>
            </w:r>
          </w:p>
        </w:tc>
        <w:tc>
          <w:tcPr>
            <w:tcW w:w="2397" w:type="pct"/>
            <w:vMerge w:val="continue"/>
            <w:tcBorders>
              <w:tl2br w:val="nil"/>
              <w:tr2bl w:val="nil"/>
            </w:tcBorders>
            <w:vAlign w:val="center"/>
          </w:tcPr>
          <w:p w14:paraId="0D0123A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30464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0000C9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32317341">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小时均值</w:t>
            </w:r>
          </w:p>
        </w:tc>
        <w:tc>
          <w:tcPr>
            <w:tcW w:w="768" w:type="pct"/>
            <w:tcBorders>
              <w:tl2br w:val="nil"/>
              <w:tr2bl w:val="nil"/>
            </w:tcBorders>
            <w:vAlign w:val="center"/>
          </w:tcPr>
          <w:p w14:paraId="7D332B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1"/>
                <w:sz w:val="20"/>
                <w:szCs w:val="20"/>
                <w:highlight w:val="none"/>
              </w:rPr>
              <w:t>0.5</w:t>
            </w:r>
          </w:p>
        </w:tc>
        <w:tc>
          <w:tcPr>
            <w:tcW w:w="2397" w:type="pct"/>
            <w:vMerge w:val="continue"/>
            <w:tcBorders>
              <w:tl2br w:val="nil"/>
              <w:tr2bl w:val="nil"/>
            </w:tcBorders>
            <w:vAlign w:val="center"/>
          </w:tcPr>
          <w:p w14:paraId="2BE1F2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6DD47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6289CD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62B0F8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pacing w:val="6"/>
                <w:sz w:val="20"/>
                <w:szCs w:val="20"/>
                <w:highlight w:val="none"/>
              </w:rPr>
              <w:t>NO</w:t>
            </w:r>
            <w:r>
              <w:rPr>
                <w:rFonts w:ascii="Times New Roman" w:hAnsi="Times New Roman" w:eastAsia="Times New Roman" w:cs="Times New Roman"/>
                <w:spacing w:val="6"/>
                <w:position w:val="-1"/>
                <w:sz w:val="13"/>
                <w:szCs w:val="13"/>
                <w:highlight w:val="none"/>
              </w:rPr>
              <w:t>2</w:t>
            </w:r>
          </w:p>
        </w:tc>
        <w:tc>
          <w:tcPr>
            <w:tcW w:w="993" w:type="pct"/>
            <w:tcBorders>
              <w:tl2br w:val="nil"/>
              <w:tr2bl w:val="nil"/>
            </w:tcBorders>
            <w:vAlign w:val="center"/>
          </w:tcPr>
          <w:p w14:paraId="5914DB2C">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spacing w:val="6"/>
                <w:highlight w:val="none"/>
              </w:rPr>
              <w:t>年平均</w:t>
            </w:r>
          </w:p>
        </w:tc>
        <w:tc>
          <w:tcPr>
            <w:tcW w:w="768" w:type="pct"/>
            <w:tcBorders>
              <w:tl2br w:val="nil"/>
              <w:tr2bl w:val="nil"/>
            </w:tcBorders>
            <w:vAlign w:val="center"/>
          </w:tcPr>
          <w:p w14:paraId="65F9E6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2"/>
                <w:sz w:val="20"/>
                <w:szCs w:val="20"/>
                <w:highlight w:val="none"/>
              </w:rPr>
              <w:t>0.04</w:t>
            </w:r>
          </w:p>
        </w:tc>
        <w:tc>
          <w:tcPr>
            <w:tcW w:w="2397" w:type="pct"/>
            <w:vMerge w:val="continue"/>
            <w:tcBorders>
              <w:tl2br w:val="nil"/>
              <w:tr2bl w:val="nil"/>
            </w:tcBorders>
            <w:vAlign w:val="center"/>
          </w:tcPr>
          <w:p w14:paraId="6E26D02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428E2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0F99CA2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19A25D42">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768" w:type="pct"/>
            <w:tcBorders>
              <w:tl2br w:val="nil"/>
              <w:tr2bl w:val="nil"/>
            </w:tcBorders>
            <w:vAlign w:val="center"/>
          </w:tcPr>
          <w:p w14:paraId="46E47F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2"/>
                <w:sz w:val="20"/>
                <w:szCs w:val="20"/>
                <w:highlight w:val="none"/>
              </w:rPr>
              <w:t>0.08</w:t>
            </w:r>
          </w:p>
        </w:tc>
        <w:tc>
          <w:tcPr>
            <w:tcW w:w="2397" w:type="pct"/>
            <w:vMerge w:val="continue"/>
            <w:tcBorders>
              <w:tl2br w:val="nil"/>
              <w:tr2bl w:val="nil"/>
            </w:tcBorders>
            <w:vAlign w:val="center"/>
          </w:tcPr>
          <w:p w14:paraId="2D4ECAD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10908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11E623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2684A0FC">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小时均值</w:t>
            </w:r>
          </w:p>
        </w:tc>
        <w:tc>
          <w:tcPr>
            <w:tcW w:w="768" w:type="pct"/>
            <w:tcBorders>
              <w:tl2br w:val="nil"/>
              <w:tr2bl w:val="nil"/>
            </w:tcBorders>
            <w:vAlign w:val="center"/>
          </w:tcPr>
          <w:p w14:paraId="4EB274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1"/>
                <w:sz w:val="20"/>
                <w:szCs w:val="20"/>
                <w:highlight w:val="none"/>
              </w:rPr>
              <w:t>0.2</w:t>
            </w:r>
          </w:p>
        </w:tc>
        <w:tc>
          <w:tcPr>
            <w:tcW w:w="2397" w:type="pct"/>
            <w:vMerge w:val="continue"/>
            <w:tcBorders>
              <w:tl2br w:val="nil"/>
              <w:tr2bl w:val="nil"/>
            </w:tcBorders>
            <w:vAlign w:val="center"/>
          </w:tcPr>
          <w:p w14:paraId="59E72D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5DA2E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3919D8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z w:val="20"/>
                <w:szCs w:val="20"/>
                <w:highlight w:val="none"/>
              </w:rPr>
              <w:t>PM</w:t>
            </w:r>
            <w:r>
              <w:rPr>
                <w:rFonts w:ascii="Times New Roman" w:hAnsi="Times New Roman" w:eastAsia="Times New Roman" w:cs="Times New Roman"/>
                <w:spacing w:val="8"/>
                <w:position w:val="-1"/>
                <w:sz w:val="13"/>
                <w:szCs w:val="13"/>
                <w:highlight w:val="none"/>
              </w:rPr>
              <w:t>10</w:t>
            </w:r>
          </w:p>
        </w:tc>
        <w:tc>
          <w:tcPr>
            <w:tcW w:w="993" w:type="pct"/>
            <w:tcBorders>
              <w:tl2br w:val="nil"/>
              <w:tr2bl w:val="nil"/>
            </w:tcBorders>
            <w:vAlign w:val="center"/>
          </w:tcPr>
          <w:p w14:paraId="72F04648">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spacing w:val="6"/>
                <w:highlight w:val="none"/>
              </w:rPr>
              <w:t>年平均</w:t>
            </w:r>
          </w:p>
        </w:tc>
        <w:tc>
          <w:tcPr>
            <w:tcW w:w="768" w:type="pct"/>
            <w:tcBorders>
              <w:tl2br w:val="nil"/>
              <w:tr2bl w:val="nil"/>
            </w:tcBorders>
            <w:vAlign w:val="center"/>
          </w:tcPr>
          <w:p w14:paraId="0F18DE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2"/>
                <w:sz w:val="20"/>
                <w:szCs w:val="20"/>
                <w:highlight w:val="none"/>
              </w:rPr>
              <w:t>0.07</w:t>
            </w:r>
          </w:p>
        </w:tc>
        <w:tc>
          <w:tcPr>
            <w:tcW w:w="2397" w:type="pct"/>
            <w:vMerge w:val="continue"/>
            <w:tcBorders>
              <w:tl2br w:val="nil"/>
              <w:tr2bl w:val="nil"/>
            </w:tcBorders>
            <w:vAlign w:val="center"/>
          </w:tcPr>
          <w:p w14:paraId="0E05E8D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5E8BD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534F45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261DE762">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768" w:type="pct"/>
            <w:tcBorders>
              <w:tl2br w:val="nil"/>
              <w:tr2bl w:val="nil"/>
            </w:tcBorders>
            <w:vAlign w:val="center"/>
          </w:tcPr>
          <w:p w14:paraId="62717D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2"/>
                <w:sz w:val="20"/>
                <w:szCs w:val="20"/>
                <w:highlight w:val="none"/>
              </w:rPr>
              <w:t>0.15</w:t>
            </w:r>
          </w:p>
        </w:tc>
        <w:tc>
          <w:tcPr>
            <w:tcW w:w="2397" w:type="pct"/>
            <w:vMerge w:val="continue"/>
            <w:tcBorders>
              <w:tl2br w:val="nil"/>
              <w:tr2bl w:val="nil"/>
            </w:tcBorders>
            <w:vAlign w:val="center"/>
          </w:tcPr>
          <w:p w14:paraId="6238FE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098F1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0A6A07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pacing w:val="2"/>
                <w:sz w:val="20"/>
                <w:szCs w:val="20"/>
                <w:highlight w:val="none"/>
              </w:rPr>
              <w:t>CO</w:t>
            </w:r>
          </w:p>
        </w:tc>
        <w:tc>
          <w:tcPr>
            <w:tcW w:w="993" w:type="pct"/>
            <w:tcBorders>
              <w:tl2br w:val="nil"/>
              <w:tr2bl w:val="nil"/>
            </w:tcBorders>
            <w:vAlign w:val="center"/>
          </w:tcPr>
          <w:p w14:paraId="63D97038">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768" w:type="pct"/>
            <w:tcBorders>
              <w:tl2br w:val="nil"/>
              <w:tr2bl w:val="nil"/>
            </w:tcBorders>
            <w:vAlign w:val="center"/>
          </w:tcPr>
          <w:p w14:paraId="3FD745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1"/>
                <w:sz w:val="20"/>
                <w:szCs w:val="20"/>
                <w:highlight w:val="none"/>
              </w:rPr>
              <w:t>4</w:t>
            </w:r>
          </w:p>
        </w:tc>
        <w:tc>
          <w:tcPr>
            <w:tcW w:w="2397" w:type="pct"/>
            <w:vMerge w:val="continue"/>
            <w:tcBorders>
              <w:tl2br w:val="nil"/>
              <w:tr2bl w:val="nil"/>
            </w:tcBorders>
            <w:vAlign w:val="center"/>
          </w:tcPr>
          <w:p w14:paraId="07C812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6AF90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4357E4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262110B7">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小时均值</w:t>
            </w:r>
          </w:p>
        </w:tc>
        <w:tc>
          <w:tcPr>
            <w:tcW w:w="768" w:type="pct"/>
            <w:tcBorders>
              <w:tl2br w:val="nil"/>
              <w:tr2bl w:val="nil"/>
            </w:tcBorders>
            <w:vAlign w:val="center"/>
          </w:tcPr>
          <w:p w14:paraId="103E1F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8"/>
                <w:sz w:val="20"/>
                <w:szCs w:val="20"/>
                <w:highlight w:val="none"/>
              </w:rPr>
              <w:t>10</w:t>
            </w:r>
          </w:p>
        </w:tc>
        <w:tc>
          <w:tcPr>
            <w:tcW w:w="2397" w:type="pct"/>
            <w:vMerge w:val="continue"/>
            <w:tcBorders>
              <w:tl2br w:val="nil"/>
              <w:tr2bl w:val="nil"/>
            </w:tcBorders>
            <w:vAlign w:val="center"/>
          </w:tcPr>
          <w:p w14:paraId="6568AA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5BA6C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25339C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z w:val="20"/>
                <w:szCs w:val="20"/>
                <w:highlight w:val="none"/>
              </w:rPr>
              <w:t>PM</w:t>
            </w:r>
            <w:r>
              <w:rPr>
                <w:rFonts w:ascii="Times New Roman" w:hAnsi="Times New Roman" w:eastAsia="Times New Roman" w:cs="Times New Roman"/>
                <w:spacing w:val="6"/>
                <w:position w:val="-1"/>
                <w:sz w:val="13"/>
                <w:szCs w:val="13"/>
                <w:highlight w:val="none"/>
              </w:rPr>
              <w:t>2.5</w:t>
            </w:r>
          </w:p>
        </w:tc>
        <w:tc>
          <w:tcPr>
            <w:tcW w:w="993" w:type="pct"/>
            <w:tcBorders>
              <w:tl2br w:val="nil"/>
              <w:tr2bl w:val="nil"/>
            </w:tcBorders>
            <w:vAlign w:val="center"/>
          </w:tcPr>
          <w:p w14:paraId="2A276E68">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spacing w:val="6"/>
                <w:highlight w:val="none"/>
              </w:rPr>
              <w:t>年平均</w:t>
            </w:r>
          </w:p>
        </w:tc>
        <w:tc>
          <w:tcPr>
            <w:tcW w:w="768" w:type="pct"/>
            <w:tcBorders>
              <w:tl2br w:val="nil"/>
              <w:tr2bl w:val="nil"/>
            </w:tcBorders>
            <w:vAlign w:val="center"/>
          </w:tcPr>
          <w:p w14:paraId="001665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3"/>
                <w:sz w:val="20"/>
                <w:szCs w:val="20"/>
                <w:highlight w:val="none"/>
              </w:rPr>
              <w:t>0.035</w:t>
            </w:r>
          </w:p>
        </w:tc>
        <w:tc>
          <w:tcPr>
            <w:tcW w:w="2397" w:type="pct"/>
            <w:vMerge w:val="continue"/>
            <w:tcBorders>
              <w:tl2br w:val="nil"/>
              <w:tr2bl w:val="nil"/>
            </w:tcBorders>
            <w:vAlign w:val="center"/>
          </w:tcPr>
          <w:p w14:paraId="4250E1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6A2C0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24152F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64055601">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768" w:type="pct"/>
            <w:tcBorders>
              <w:tl2br w:val="nil"/>
              <w:tr2bl w:val="nil"/>
            </w:tcBorders>
            <w:vAlign w:val="center"/>
          </w:tcPr>
          <w:p w14:paraId="66EED6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3"/>
                <w:sz w:val="20"/>
                <w:szCs w:val="20"/>
                <w:highlight w:val="none"/>
              </w:rPr>
              <w:t>0.075</w:t>
            </w:r>
          </w:p>
        </w:tc>
        <w:tc>
          <w:tcPr>
            <w:tcW w:w="2397" w:type="pct"/>
            <w:vMerge w:val="continue"/>
            <w:tcBorders>
              <w:tl2br w:val="nil"/>
              <w:tr2bl w:val="nil"/>
            </w:tcBorders>
            <w:vAlign w:val="center"/>
          </w:tcPr>
          <w:p w14:paraId="6109D79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03CA2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5BFA7F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pacing w:val="2"/>
                <w:sz w:val="20"/>
                <w:szCs w:val="20"/>
                <w:highlight w:val="none"/>
              </w:rPr>
              <w:t>TSP</w:t>
            </w:r>
          </w:p>
        </w:tc>
        <w:tc>
          <w:tcPr>
            <w:tcW w:w="993" w:type="pct"/>
            <w:tcBorders>
              <w:tl2br w:val="nil"/>
              <w:tr2bl w:val="nil"/>
            </w:tcBorders>
            <w:vAlign w:val="center"/>
          </w:tcPr>
          <w:p w14:paraId="6566CBB3">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spacing w:val="6"/>
                <w:highlight w:val="none"/>
              </w:rPr>
              <w:t>年平均</w:t>
            </w:r>
          </w:p>
        </w:tc>
        <w:tc>
          <w:tcPr>
            <w:tcW w:w="768" w:type="pct"/>
            <w:tcBorders>
              <w:tl2br w:val="nil"/>
              <w:tr2bl w:val="nil"/>
            </w:tcBorders>
            <w:vAlign w:val="center"/>
          </w:tcPr>
          <w:p w14:paraId="3D674B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1"/>
                <w:sz w:val="20"/>
                <w:szCs w:val="20"/>
                <w:highlight w:val="none"/>
              </w:rPr>
              <w:t>0.2</w:t>
            </w:r>
          </w:p>
        </w:tc>
        <w:tc>
          <w:tcPr>
            <w:tcW w:w="2397" w:type="pct"/>
            <w:vMerge w:val="continue"/>
            <w:tcBorders>
              <w:tl2br w:val="nil"/>
              <w:tr2bl w:val="nil"/>
            </w:tcBorders>
            <w:vAlign w:val="center"/>
          </w:tcPr>
          <w:p w14:paraId="1D65EE2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064F8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0838A4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6B15C851">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768" w:type="pct"/>
            <w:tcBorders>
              <w:tl2br w:val="nil"/>
              <w:tr2bl w:val="nil"/>
            </w:tcBorders>
            <w:vAlign w:val="center"/>
          </w:tcPr>
          <w:p w14:paraId="3963B2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1"/>
                <w:sz w:val="20"/>
                <w:szCs w:val="20"/>
                <w:highlight w:val="none"/>
              </w:rPr>
              <w:t>0.3</w:t>
            </w:r>
          </w:p>
        </w:tc>
        <w:tc>
          <w:tcPr>
            <w:tcW w:w="2397" w:type="pct"/>
            <w:vMerge w:val="continue"/>
            <w:tcBorders>
              <w:tl2br w:val="nil"/>
              <w:tr2bl w:val="nil"/>
            </w:tcBorders>
            <w:vAlign w:val="center"/>
          </w:tcPr>
          <w:p w14:paraId="5219FEB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4C0F5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2C7117B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7913DF8D">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小时均值</w:t>
            </w:r>
          </w:p>
        </w:tc>
        <w:tc>
          <w:tcPr>
            <w:tcW w:w="768" w:type="pct"/>
            <w:tcBorders>
              <w:tl2br w:val="nil"/>
              <w:tr2bl w:val="nil"/>
            </w:tcBorders>
            <w:vAlign w:val="center"/>
          </w:tcPr>
          <w:p w14:paraId="365FFA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1"/>
                <w:sz w:val="20"/>
                <w:szCs w:val="20"/>
                <w:highlight w:val="none"/>
                <w:lang w:val="en-US" w:eastAsia="zh-CN"/>
              </w:rPr>
            </w:pPr>
            <w:r>
              <w:rPr>
                <w:rFonts w:hint="eastAsia" w:eastAsia="宋体" w:cs="Times New Roman"/>
                <w:spacing w:val="1"/>
                <w:sz w:val="20"/>
                <w:szCs w:val="20"/>
                <w:highlight w:val="none"/>
                <w:lang w:val="en-US" w:eastAsia="zh-CN"/>
              </w:rPr>
              <w:t>0.9</w:t>
            </w:r>
          </w:p>
        </w:tc>
        <w:tc>
          <w:tcPr>
            <w:tcW w:w="2397" w:type="pct"/>
            <w:vMerge w:val="continue"/>
            <w:tcBorders>
              <w:tl2br w:val="nil"/>
              <w:tr2bl w:val="nil"/>
            </w:tcBorders>
            <w:vAlign w:val="center"/>
          </w:tcPr>
          <w:p w14:paraId="54B588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48FF4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0C3896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p w14:paraId="4931B5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pacing w:val="6"/>
                <w:sz w:val="20"/>
                <w:szCs w:val="20"/>
                <w:highlight w:val="none"/>
              </w:rPr>
              <w:t>NOx</w:t>
            </w:r>
          </w:p>
        </w:tc>
        <w:tc>
          <w:tcPr>
            <w:tcW w:w="993" w:type="pct"/>
            <w:tcBorders>
              <w:tl2br w:val="nil"/>
              <w:tr2bl w:val="nil"/>
            </w:tcBorders>
            <w:vAlign w:val="center"/>
          </w:tcPr>
          <w:p w14:paraId="5676D00B">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spacing w:val="6"/>
                <w:highlight w:val="none"/>
              </w:rPr>
              <w:t>年平均</w:t>
            </w:r>
          </w:p>
        </w:tc>
        <w:tc>
          <w:tcPr>
            <w:tcW w:w="768" w:type="pct"/>
            <w:tcBorders>
              <w:tl2br w:val="nil"/>
              <w:tr2bl w:val="nil"/>
            </w:tcBorders>
            <w:vAlign w:val="center"/>
          </w:tcPr>
          <w:p w14:paraId="48B292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2"/>
                <w:sz w:val="20"/>
                <w:szCs w:val="20"/>
                <w:highlight w:val="none"/>
                <w:lang w:val="en-US" w:eastAsia="zh-CN"/>
              </w:rPr>
            </w:pPr>
            <w:r>
              <w:rPr>
                <w:rFonts w:hint="eastAsia" w:eastAsia="宋体" w:cs="Times New Roman"/>
                <w:sz w:val="20"/>
                <w:szCs w:val="20"/>
                <w:highlight w:val="none"/>
                <w:lang w:val="en-US" w:eastAsia="zh-CN"/>
              </w:rPr>
              <w:t>0.05</w:t>
            </w:r>
          </w:p>
        </w:tc>
        <w:tc>
          <w:tcPr>
            <w:tcW w:w="2397" w:type="pct"/>
            <w:vMerge w:val="continue"/>
            <w:tcBorders>
              <w:tl2br w:val="nil"/>
              <w:tr2bl w:val="nil"/>
            </w:tcBorders>
            <w:vAlign w:val="center"/>
          </w:tcPr>
          <w:p w14:paraId="69C346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71214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494B5B9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386F88E5">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768" w:type="pct"/>
            <w:tcBorders>
              <w:tl2br w:val="nil"/>
              <w:tr2bl w:val="nil"/>
            </w:tcBorders>
            <w:vAlign w:val="center"/>
          </w:tcPr>
          <w:p w14:paraId="390856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2"/>
                <w:sz w:val="20"/>
                <w:szCs w:val="20"/>
                <w:highlight w:val="none"/>
                <w:lang w:val="en-US" w:eastAsia="zh-CN"/>
              </w:rPr>
            </w:pPr>
            <w:r>
              <w:rPr>
                <w:rFonts w:hint="eastAsia" w:eastAsia="宋体" w:cs="Times New Roman"/>
                <w:spacing w:val="-3"/>
                <w:sz w:val="20"/>
                <w:szCs w:val="20"/>
                <w:highlight w:val="none"/>
                <w:lang w:val="en-US" w:eastAsia="zh-CN"/>
              </w:rPr>
              <w:t>0.1</w:t>
            </w:r>
          </w:p>
        </w:tc>
        <w:tc>
          <w:tcPr>
            <w:tcW w:w="2397" w:type="pct"/>
            <w:vMerge w:val="continue"/>
            <w:tcBorders>
              <w:tl2br w:val="nil"/>
              <w:tr2bl w:val="nil"/>
            </w:tcBorders>
            <w:vAlign w:val="center"/>
          </w:tcPr>
          <w:p w14:paraId="3B534B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4873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497B9D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130819B6">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小时均值</w:t>
            </w:r>
          </w:p>
        </w:tc>
        <w:tc>
          <w:tcPr>
            <w:tcW w:w="768" w:type="pct"/>
            <w:tcBorders>
              <w:tl2br w:val="nil"/>
              <w:tr2bl w:val="nil"/>
            </w:tcBorders>
            <w:vAlign w:val="center"/>
          </w:tcPr>
          <w:p w14:paraId="356294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2"/>
                <w:sz w:val="20"/>
                <w:szCs w:val="20"/>
                <w:highlight w:val="none"/>
                <w:lang w:val="en-US" w:eastAsia="zh-CN"/>
              </w:rPr>
            </w:pPr>
            <w:r>
              <w:rPr>
                <w:rFonts w:hint="eastAsia" w:eastAsia="宋体" w:cs="Times New Roman"/>
                <w:spacing w:val="3"/>
                <w:sz w:val="20"/>
                <w:szCs w:val="20"/>
                <w:highlight w:val="none"/>
                <w:lang w:val="en-US" w:eastAsia="zh-CN"/>
              </w:rPr>
              <w:t>0.25</w:t>
            </w:r>
          </w:p>
        </w:tc>
        <w:tc>
          <w:tcPr>
            <w:tcW w:w="2397" w:type="pct"/>
            <w:vMerge w:val="continue"/>
            <w:tcBorders>
              <w:tl2br w:val="nil"/>
              <w:tr2bl w:val="nil"/>
            </w:tcBorders>
            <w:vAlign w:val="center"/>
          </w:tcPr>
          <w:p w14:paraId="2E9C729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30831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3D46D2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pacing w:val="-3"/>
                <w:sz w:val="24"/>
                <w:szCs w:val="24"/>
                <w:highlight w:val="none"/>
              </w:rPr>
              <w:t>O</w:t>
            </w:r>
            <w:r>
              <w:rPr>
                <w:rFonts w:ascii="Times New Roman" w:hAnsi="Times New Roman" w:eastAsia="Times New Roman" w:cs="Times New Roman"/>
                <w:spacing w:val="-3"/>
                <w:position w:val="-1"/>
                <w:sz w:val="15"/>
                <w:szCs w:val="15"/>
                <w:highlight w:val="none"/>
              </w:rPr>
              <w:t>3</w:t>
            </w:r>
          </w:p>
        </w:tc>
        <w:tc>
          <w:tcPr>
            <w:tcW w:w="993" w:type="pct"/>
            <w:tcBorders>
              <w:tl2br w:val="nil"/>
              <w:tr2bl w:val="nil"/>
            </w:tcBorders>
            <w:vAlign w:val="center"/>
          </w:tcPr>
          <w:p w14:paraId="2729DA3B">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spacing w:val="-1"/>
                <w:highlight w:val="none"/>
              </w:rPr>
              <w:t>日最大</w:t>
            </w:r>
            <w:r>
              <w:rPr>
                <w:spacing w:val="-52"/>
                <w:highlight w:val="none"/>
              </w:rPr>
              <w:t xml:space="preserve"> </w:t>
            </w:r>
            <w:r>
              <w:rPr>
                <w:rFonts w:ascii="Times New Roman" w:hAnsi="Times New Roman" w:eastAsia="Times New Roman" w:cs="Times New Roman"/>
                <w:spacing w:val="-1"/>
                <w:highlight w:val="none"/>
              </w:rPr>
              <w:t xml:space="preserve">8 </w:t>
            </w:r>
            <w:r>
              <w:rPr>
                <w:spacing w:val="-1"/>
                <w:highlight w:val="none"/>
              </w:rPr>
              <w:t>小时平均</w:t>
            </w:r>
          </w:p>
        </w:tc>
        <w:tc>
          <w:tcPr>
            <w:tcW w:w="768" w:type="pct"/>
            <w:tcBorders>
              <w:tl2br w:val="nil"/>
              <w:tr2bl w:val="nil"/>
            </w:tcBorders>
            <w:vAlign w:val="center"/>
          </w:tcPr>
          <w:p w14:paraId="239935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2"/>
                <w:sz w:val="20"/>
                <w:szCs w:val="20"/>
                <w:highlight w:val="none"/>
              </w:rPr>
              <w:t>0.16</w:t>
            </w:r>
          </w:p>
        </w:tc>
        <w:tc>
          <w:tcPr>
            <w:tcW w:w="2397" w:type="pct"/>
            <w:vMerge w:val="continue"/>
            <w:tcBorders>
              <w:tl2br w:val="nil"/>
              <w:tr2bl w:val="nil"/>
            </w:tcBorders>
            <w:vAlign w:val="center"/>
          </w:tcPr>
          <w:p w14:paraId="499A12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121E0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4524C42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c>
          <w:tcPr>
            <w:tcW w:w="993" w:type="pct"/>
            <w:tcBorders>
              <w:tl2br w:val="nil"/>
              <w:tr2bl w:val="nil"/>
            </w:tcBorders>
            <w:vAlign w:val="center"/>
          </w:tcPr>
          <w:p w14:paraId="36B41118">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小时平均</w:t>
            </w:r>
          </w:p>
        </w:tc>
        <w:tc>
          <w:tcPr>
            <w:tcW w:w="768" w:type="pct"/>
            <w:tcBorders>
              <w:tl2br w:val="nil"/>
              <w:tr2bl w:val="nil"/>
            </w:tcBorders>
            <w:vAlign w:val="center"/>
          </w:tcPr>
          <w:p w14:paraId="31FE2D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1"/>
                <w:sz w:val="20"/>
                <w:szCs w:val="20"/>
                <w:highlight w:val="none"/>
              </w:rPr>
              <w:t>0.2</w:t>
            </w:r>
          </w:p>
        </w:tc>
        <w:tc>
          <w:tcPr>
            <w:tcW w:w="2397" w:type="pct"/>
            <w:vMerge w:val="continue"/>
            <w:tcBorders>
              <w:tl2br w:val="nil"/>
              <w:tr2bl w:val="nil"/>
            </w:tcBorders>
            <w:vAlign w:val="center"/>
          </w:tcPr>
          <w:p w14:paraId="153D006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p>
        </w:tc>
      </w:tr>
      <w:tr w14:paraId="6AD01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restart"/>
            <w:tcBorders>
              <w:tl2br w:val="nil"/>
              <w:tr2bl w:val="nil"/>
            </w:tcBorders>
            <w:vAlign w:val="center"/>
          </w:tcPr>
          <w:p w14:paraId="3448F5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Arial"/>
                <w:sz w:val="21"/>
                <w:highlight w:val="none"/>
              </w:rPr>
            </w:pPr>
            <w:r>
              <w:rPr>
                <w:rFonts w:ascii="Times New Roman" w:hAnsi="Times New Roman" w:eastAsia="Times New Roman" w:cs="Times New Roman"/>
                <w:spacing w:val="4"/>
                <w:sz w:val="20"/>
                <w:szCs w:val="20"/>
                <w:highlight w:val="none"/>
              </w:rPr>
              <w:t>TVOC</w:t>
            </w:r>
          </w:p>
        </w:tc>
        <w:tc>
          <w:tcPr>
            <w:tcW w:w="993" w:type="pct"/>
            <w:tcBorders>
              <w:tl2br w:val="nil"/>
              <w:tr2bl w:val="nil"/>
            </w:tcBorders>
            <w:vAlign w:val="center"/>
          </w:tcPr>
          <w:p w14:paraId="30473339">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highlight w:val="none"/>
              </w:rPr>
            </w:pPr>
            <w:r>
              <w:rPr>
                <w:rFonts w:ascii="Times New Roman" w:hAnsi="Times New Roman" w:eastAsia="Times New Roman" w:cs="Times New Roman"/>
                <w:spacing w:val="3"/>
                <w:highlight w:val="none"/>
              </w:rPr>
              <w:t>8</w:t>
            </w:r>
            <w:r>
              <w:rPr>
                <w:rFonts w:ascii="Times New Roman" w:hAnsi="Times New Roman" w:eastAsia="Times New Roman" w:cs="Times New Roman"/>
                <w:spacing w:val="17"/>
                <w:w w:val="101"/>
                <w:highlight w:val="none"/>
              </w:rPr>
              <w:t xml:space="preserve"> </w:t>
            </w:r>
            <w:r>
              <w:rPr>
                <w:spacing w:val="3"/>
                <w:highlight w:val="none"/>
              </w:rPr>
              <w:t>小时均值</w:t>
            </w:r>
          </w:p>
        </w:tc>
        <w:tc>
          <w:tcPr>
            <w:tcW w:w="768" w:type="pct"/>
            <w:tcBorders>
              <w:tl2br w:val="nil"/>
              <w:tr2bl w:val="nil"/>
            </w:tcBorders>
            <w:vAlign w:val="center"/>
          </w:tcPr>
          <w:p w14:paraId="3F1D9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2"/>
                <w:sz w:val="20"/>
                <w:szCs w:val="20"/>
                <w:highlight w:val="none"/>
              </w:rPr>
            </w:pPr>
            <w:r>
              <w:rPr>
                <w:rFonts w:ascii="Times New Roman" w:hAnsi="Times New Roman" w:eastAsia="Times New Roman" w:cs="Times New Roman"/>
                <w:spacing w:val="1"/>
                <w:sz w:val="20"/>
                <w:szCs w:val="20"/>
                <w:highlight w:val="none"/>
              </w:rPr>
              <w:t>0.6</w:t>
            </w:r>
          </w:p>
        </w:tc>
        <w:tc>
          <w:tcPr>
            <w:tcW w:w="2397" w:type="pct"/>
            <w:vMerge w:val="restart"/>
            <w:tcBorders>
              <w:tl2br w:val="nil"/>
              <w:tr2bl w:val="nil"/>
            </w:tcBorders>
            <w:vAlign w:val="center"/>
          </w:tcPr>
          <w:p w14:paraId="46AD33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highlight w:val="none"/>
              </w:rPr>
            </w:pPr>
            <w:r>
              <w:rPr>
                <w:rFonts w:hint="default" w:ascii="Times New Roman" w:hAnsi="Times New Roman" w:eastAsia="宋体" w:cs="Times New Roman"/>
                <w:spacing w:val="7"/>
                <w:kern w:val="2"/>
                <w:sz w:val="20"/>
                <w:szCs w:val="20"/>
                <w:highlight w:val="none"/>
                <w:lang w:val="en-US" w:eastAsia="en-US" w:bidi="ar-SA"/>
              </w:rPr>
              <w:t>《环境影响评价技术导则 大气环境》 （HJ2.2-2018）中附录 D 表 D. 1</w:t>
            </w:r>
          </w:p>
        </w:tc>
      </w:tr>
      <w:tr w14:paraId="4E1DB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839" w:type="pct"/>
            <w:vMerge w:val="continue"/>
            <w:tcBorders>
              <w:tl2br w:val="nil"/>
              <w:tr2bl w:val="nil"/>
            </w:tcBorders>
            <w:vAlign w:val="center"/>
          </w:tcPr>
          <w:p w14:paraId="46E6D5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4"/>
                <w:sz w:val="20"/>
                <w:szCs w:val="20"/>
                <w:highlight w:val="none"/>
              </w:rPr>
            </w:pPr>
          </w:p>
        </w:tc>
        <w:tc>
          <w:tcPr>
            <w:tcW w:w="993" w:type="pct"/>
            <w:tcBorders>
              <w:tl2br w:val="nil"/>
              <w:tr2bl w:val="nil"/>
            </w:tcBorders>
            <w:vAlign w:val="center"/>
          </w:tcPr>
          <w:p w14:paraId="68114066">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spacing w:val="3"/>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小时平均</w:t>
            </w:r>
          </w:p>
        </w:tc>
        <w:tc>
          <w:tcPr>
            <w:tcW w:w="768" w:type="pct"/>
            <w:tcBorders>
              <w:tl2br w:val="nil"/>
              <w:tr2bl w:val="nil"/>
            </w:tcBorders>
            <w:vAlign w:val="center"/>
          </w:tcPr>
          <w:p w14:paraId="5591B7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1"/>
                <w:sz w:val="20"/>
                <w:szCs w:val="20"/>
                <w:highlight w:val="none"/>
                <w:lang w:val="en-US" w:eastAsia="zh-CN"/>
              </w:rPr>
            </w:pPr>
            <w:r>
              <w:rPr>
                <w:rFonts w:hint="eastAsia" w:eastAsia="宋体" w:cs="Times New Roman"/>
                <w:spacing w:val="1"/>
                <w:sz w:val="20"/>
                <w:szCs w:val="20"/>
                <w:highlight w:val="none"/>
                <w:lang w:val="en-US" w:eastAsia="zh-CN"/>
              </w:rPr>
              <w:t>1.2</w:t>
            </w:r>
          </w:p>
        </w:tc>
        <w:tc>
          <w:tcPr>
            <w:tcW w:w="2397" w:type="pct"/>
            <w:vMerge w:val="continue"/>
            <w:tcBorders>
              <w:tl2br w:val="nil"/>
              <w:tr2bl w:val="nil"/>
            </w:tcBorders>
            <w:vAlign w:val="center"/>
          </w:tcPr>
          <w:p w14:paraId="624632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p>
        </w:tc>
      </w:tr>
    </w:tbl>
    <w:p w14:paraId="4109B2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（2）</w:t>
      </w:r>
      <w:r>
        <w:rPr>
          <w:rFonts w:hint="default" w:ascii="Times New Roman" w:hAnsi="Times New Roman" w:eastAsia="宋体" w:cs="Times New Roman"/>
          <w:color w:val="auto"/>
          <w:kern w:val="0"/>
          <w:sz w:val="24"/>
          <w:szCs w:val="20"/>
          <w:highlight w:val="none"/>
          <w:lang w:val="en-US" w:eastAsia="zh-CN" w:bidi="ar-SA"/>
        </w:rPr>
        <w:t>地表水环境质量标准</w:t>
      </w:r>
    </w:p>
    <w:p w14:paraId="708C7634">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本项目所在区域主要地表水体为</w:t>
      </w:r>
      <w:r>
        <w:rPr>
          <w:rFonts w:hint="eastAsia" w:ascii="Times New Roman" w:hAnsi="Times New Roman" w:eastAsia="宋体" w:cs="Times New Roman"/>
          <w:color w:val="auto"/>
          <w:kern w:val="0"/>
          <w:sz w:val="24"/>
          <w:szCs w:val="20"/>
          <w:highlight w:val="none"/>
          <w:lang w:val="en-US" w:eastAsia="zh-CN" w:bidi="ar-SA"/>
        </w:rPr>
        <w:t>新墙河</w:t>
      </w:r>
      <w:r>
        <w:rPr>
          <w:rFonts w:hint="default" w:ascii="Times New Roman" w:hAnsi="Times New Roman" w:eastAsia="宋体" w:cs="Times New Roman"/>
          <w:color w:val="auto"/>
          <w:kern w:val="0"/>
          <w:sz w:val="24"/>
          <w:szCs w:val="20"/>
          <w:highlight w:val="none"/>
          <w:lang w:val="en-US" w:eastAsia="zh-CN" w:bidi="ar-SA"/>
        </w:rPr>
        <w:t>，采用《地表水环境质量标准》(GB3838-2002)Ⅲ类标准。执行标准具体限值见表2.</w:t>
      </w:r>
      <w:r>
        <w:rPr>
          <w:rFonts w:hint="eastAsia" w:eastAsia="宋体" w:cs="Times New Roman"/>
          <w:color w:val="auto"/>
          <w:kern w:val="0"/>
          <w:sz w:val="24"/>
          <w:szCs w:val="20"/>
          <w:highlight w:val="none"/>
          <w:lang w:val="en-US" w:eastAsia="zh-CN" w:bidi="ar-SA"/>
        </w:rPr>
        <w:t>4</w:t>
      </w:r>
      <w:r>
        <w:rPr>
          <w:rFonts w:hint="default" w:ascii="Times New Roman" w:hAnsi="Times New Roman" w:eastAsia="宋体" w:cs="Times New Roman"/>
          <w:color w:val="auto"/>
          <w:kern w:val="0"/>
          <w:sz w:val="24"/>
          <w:szCs w:val="20"/>
          <w:highlight w:val="none"/>
          <w:lang w:val="en-US" w:eastAsia="zh-CN" w:bidi="ar-SA"/>
        </w:rPr>
        <w:t>-2。</w:t>
      </w:r>
    </w:p>
    <w:p w14:paraId="51EC79E1">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b/>
          <w:bCs/>
          <w:spacing w:val="-7"/>
          <w:kern w:val="0"/>
          <w:sz w:val="24"/>
          <w:szCs w:val="20"/>
          <w:highlight w:val="none"/>
          <w:lang w:val="en-US" w:eastAsia="zh-CN" w:bidi="ar-SA"/>
        </w:rPr>
      </w:pPr>
      <w:r>
        <w:rPr>
          <w:rFonts w:hint="eastAsia" w:ascii="Times New Roman" w:hAnsi="Times New Roman" w:eastAsia="宋体" w:cs="Times New Roman"/>
          <w:b/>
          <w:bCs/>
          <w:spacing w:val="-7"/>
          <w:kern w:val="0"/>
          <w:sz w:val="24"/>
          <w:szCs w:val="20"/>
          <w:highlight w:val="none"/>
          <w:lang w:val="en-US" w:eastAsia="zh-CN" w:bidi="ar-SA"/>
        </w:rPr>
        <w:t>表2.</w:t>
      </w:r>
      <w:r>
        <w:rPr>
          <w:rFonts w:hint="eastAsia" w:eastAsia="宋体" w:cs="Times New Roman"/>
          <w:b/>
          <w:bCs/>
          <w:spacing w:val="-7"/>
          <w:kern w:val="0"/>
          <w:sz w:val="24"/>
          <w:szCs w:val="20"/>
          <w:highlight w:val="none"/>
          <w:lang w:val="en-US" w:eastAsia="zh-CN" w:bidi="ar-SA"/>
        </w:rPr>
        <w:t>4</w:t>
      </w:r>
      <w:r>
        <w:rPr>
          <w:rFonts w:hint="eastAsia" w:ascii="Times New Roman" w:hAnsi="Times New Roman" w:eastAsia="宋体" w:cs="Times New Roman"/>
          <w:b/>
          <w:bCs/>
          <w:spacing w:val="-7"/>
          <w:kern w:val="0"/>
          <w:sz w:val="24"/>
          <w:szCs w:val="20"/>
          <w:highlight w:val="none"/>
          <w:lang w:val="en-US" w:eastAsia="zh-CN" w:bidi="ar-SA"/>
        </w:rPr>
        <w:t>-2  地表水环境质量标准    (单位：mg/L，pH值除外)</w:t>
      </w:r>
    </w:p>
    <w:tbl>
      <w:tblPr>
        <w:tblStyle w:val="23"/>
        <w:tblW w:w="4998"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64"/>
        <w:gridCol w:w="2080"/>
        <w:gridCol w:w="1414"/>
        <w:gridCol w:w="845"/>
        <w:gridCol w:w="1993"/>
        <w:gridCol w:w="1416"/>
      </w:tblGrid>
      <w:tr w14:paraId="157FAE39">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1F0285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221" w:type="pct"/>
            <w:tcBorders>
              <w:tl2br w:val="nil"/>
              <w:tr2bl w:val="nil"/>
            </w:tcBorders>
            <w:noWrap w:val="0"/>
            <w:vAlign w:val="center"/>
          </w:tcPr>
          <w:p w14:paraId="462FE8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830" w:type="pct"/>
            <w:tcBorders>
              <w:tl2br w:val="nil"/>
              <w:tr2bl w:val="nil"/>
            </w:tcBorders>
            <w:noWrap w:val="0"/>
            <w:vAlign w:val="center"/>
          </w:tcPr>
          <w:p w14:paraId="329EEF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Ⅲ类标准</w:t>
            </w:r>
          </w:p>
        </w:tc>
        <w:tc>
          <w:tcPr>
            <w:tcW w:w="496" w:type="pct"/>
            <w:tcBorders>
              <w:tl2br w:val="nil"/>
              <w:tr2bl w:val="nil"/>
            </w:tcBorders>
            <w:noWrap w:val="0"/>
            <w:vAlign w:val="center"/>
          </w:tcPr>
          <w:p w14:paraId="3FFD3C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170" w:type="pct"/>
            <w:tcBorders>
              <w:tl2br w:val="nil"/>
              <w:tr2bl w:val="nil"/>
            </w:tcBorders>
            <w:noWrap w:val="0"/>
            <w:vAlign w:val="center"/>
          </w:tcPr>
          <w:p w14:paraId="1EDD4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831" w:type="pct"/>
            <w:tcBorders>
              <w:tl2br w:val="nil"/>
              <w:tr2bl w:val="nil"/>
            </w:tcBorders>
            <w:noWrap w:val="0"/>
            <w:vAlign w:val="center"/>
          </w:tcPr>
          <w:p w14:paraId="678444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Ⅲ类标准</w:t>
            </w:r>
          </w:p>
        </w:tc>
      </w:tr>
      <w:tr w14:paraId="094D5896">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63DEAB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221" w:type="pct"/>
            <w:tcBorders>
              <w:tl2br w:val="nil"/>
              <w:tr2bl w:val="nil"/>
            </w:tcBorders>
            <w:noWrap w:val="0"/>
            <w:vAlign w:val="center"/>
          </w:tcPr>
          <w:p w14:paraId="09874E57">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pH(无量纲)</w:t>
            </w:r>
          </w:p>
        </w:tc>
        <w:tc>
          <w:tcPr>
            <w:tcW w:w="830" w:type="pct"/>
            <w:tcBorders>
              <w:tl2br w:val="nil"/>
              <w:tr2bl w:val="nil"/>
            </w:tcBorders>
            <w:noWrap w:val="0"/>
            <w:vAlign w:val="center"/>
          </w:tcPr>
          <w:p w14:paraId="1B3741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napToGrid w:val="0"/>
                <w:color w:val="auto"/>
                <w:sz w:val="21"/>
                <w:szCs w:val="21"/>
                <w:highlight w:val="none"/>
              </w:rPr>
              <w:t>6-9</w:t>
            </w:r>
          </w:p>
        </w:tc>
        <w:tc>
          <w:tcPr>
            <w:tcW w:w="845" w:type="dxa"/>
            <w:tcBorders>
              <w:tl2br w:val="nil"/>
              <w:tr2bl w:val="nil"/>
            </w:tcBorders>
            <w:noWrap w:val="0"/>
            <w:vAlign w:val="center"/>
          </w:tcPr>
          <w:p w14:paraId="668CA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993" w:type="dxa"/>
            <w:tcBorders>
              <w:tl2br w:val="nil"/>
              <w:tr2bl w:val="nil"/>
            </w:tcBorders>
            <w:noWrap w:val="0"/>
            <w:vAlign w:val="center"/>
          </w:tcPr>
          <w:p w14:paraId="1B5E2056">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镍</w:t>
            </w:r>
          </w:p>
        </w:tc>
        <w:tc>
          <w:tcPr>
            <w:tcW w:w="1416" w:type="dxa"/>
            <w:tcBorders>
              <w:tl2br w:val="nil"/>
              <w:tr2bl w:val="nil"/>
            </w:tcBorders>
            <w:noWrap w:val="0"/>
            <w:vAlign w:val="center"/>
          </w:tcPr>
          <w:p w14:paraId="7AF685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eastAsia" w:eastAsia="宋体" w:cs="Times New Roman"/>
                <w:snapToGrid w:val="0"/>
                <w:color w:val="auto"/>
                <w:sz w:val="21"/>
                <w:szCs w:val="21"/>
                <w:highlight w:val="none"/>
                <w:lang w:val="en-US" w:eastAsia="zh-CN"/>
              </w:rPr>
              <w:t>0.02</w:t>
            </w:r>
          </w:p>
        </w:tc>
      </w:tr>
      <w:tr w14:paraId="418E10B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07F3E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221" w:type="pct"/>
            <w:tcBorders>
              <w:tl2br w:val="nil"/>
              <w:tr2bl w:val="nil"/>
            </w:tcBorders>
            <w:noWrap w:val="0"/>
            <w:vAlign w:val="center"/>
          </w:tcPr>
          <w:p w14:paraId="6C9CECC1">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溶解氧</w:t>
            </w:r>
          </w:p>
        </w:tc>
        <w:tc>
          <w:tcPr>
            <w:tcW w:w="830" w:type="pct"/>
            <w:tcBorders>
              <w:tl2br w:val="nil"/>
              <w:tr2bl w:val="nil"/>
            </w:tcBorders>
            <w:noWrap w:val="0"/>
            <w:vAlign w:val="center"/>
          </w:tcPr>
          <w:p w14:paraId="71EF4E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≥5</w:t>
            </w:r>
          </w:p>
        </w:tc>
        <w:tc>
          <w:tcPr>
            <w:tcW w:w="845" w:type="dxa"/>
            <w:tcBorders>
              <w:tl2br w:val="nil"/>
              <w:tr2bl w:val="nil"/>
            </w:tcBorders>
            <w:noWrap w:val="0"/>
            <w:vAlign w:val="center"/>
          </w:tcPr>
          <w:p w14:paraId="7C9F23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993" w:type="dxa"/>
            <w:tcBorders>
              <w:tl2br w:val="nil"/>
              <w:tr2bl w:val="nil"/>
            </w:tcBorders>
            <w:noWrap w:val="0"/>
            <w:vAlign w:val="center"/>
          </w:tcPr>
          <w:p w14:paraId="22EB0BF5">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氟化物</w:t>
            </w:r>
          </w:p>
        </w:tc>
        <w:tc>
          <w:tcPr>
            <w:tcW w:w="1416" w:type="dxa"/>
            <w:tcBorders>
              <w:tl2br w:val="nil"/>
              <w:tr2bl w:val="nil"/>
            </w:tcBorders>
            <w:noWrap w:val="0"/>
            <w:vAlign w:val="center"/>
          </w:tcPr>
          <w:p w14:paraId="07FC2F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≤1.0</w:t>
            </w:r>
          </w:p>
        </w:tc>
      </w:tr>
      <w:tr w14:paraId="58383C71">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00BC8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221" w:type="pct"/>
            <w:tcBorders>
              <w:tl2br w:val="nil"/>
              <w:tr2bl w:val="nil"/>
            </w:tcBorders>
            <w:noWrap w:val="0"/>
            <w:vAlign w:val="center"/>
          </w:tcPr>
          <w:p w14:paraId="428FE81F">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高锰酸盐指数</w:t>
            </w:r>
          </w:p>
        </w:tc>
        <w:tc>
          <w:tcPr>
            <w:tcW w:w="830" w:type="pct"/>
            <w:tcBorders>
              <w:tl2br w:val="nil"/>
              <w:tr2bl w:val="nil"/>
            </w:tcBorders>
            <w:noWrap w:val="0"/>
            <w:vAlign w:val="center"/>
          </w:tcPr>
          <w:p w14:paraId="60C18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≤6</w:t>
            </w:r>
          </w:p>
        </w:tc>
        <w:tc>
          <w:tcPr>
            <w:tcW w:w="845" w:type="dxa"/>
            <w:tcBorders>
              <w:tl2br w:val="nil"/>
              <w:tr2bl w:val="nil"/>
            </w:tcBorders>
            <w:noWrap w:val="0"/>
            <w:vAlign w:val="center"/>
          </w:tcPr>
          <w:p w14:paraId="50383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993" w:type="dxa"/>
            <w:tcBorders>
              <w:tl2br w:val="nil"/>
              <w:tr2bl w:val="nil"/>
            </w:tcBorders>
            <w:noWrap w:val="0"/>
            <w:vAlign w:val="center"/>
          </w:tcPr>
          <w:p w14:paraId="2EFF506E">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砷</w:t>
            </w:r>
          </w:p>
        </w:tc>
        <w:tc>
          <w:tcPr>
            <w:tcW w:w="1416" w:type="dxa"/>
            <w:tcBorders>
              <w:tl2br w:val="nil"/>
              <w:tr2bl w:val="nil"/>
            </w:tcBorders>
            <w:noWrap w:val="0"/>
            <w:vAlign w:val="center"/>
          </w:tcPr>
          <w:p w14:paraId="0FF72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≤0.05</w:t>
            </w:r>
          </w:p>
        </w:tc>
      </w:tr>
      <w:tr w14:paraId="3AC9D2A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7F1EF3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221" w:type="pct"/>
            <w:tcBorders>
              <w:tl2br w:val="nil"/>
              <w:tr2bl w:val="nil"/>
            </w:tcBorders>
            <w:noWrap w:val="0"/>
            <w:vAlign w:val="center"/>
          </w:tcPr>
          <w:p w14:paraId="30BD0F36">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生化需氧量</w:t>
            </w:r>
          </w:p>
        </w:tc>
        <w:tc>
          <w:tcPr>
            <w:tcW w:w="830" w:type="pct"/>
            <w:tcBorders>
              <w:tl2br w:val="nil"/>
              <w:tr2bl w:val="nil"/>
            </w:tcBorders>
            <w:noWrap w:val="0"/>
            <w:vAlign w:val="center"/>
          </w:tcPr>
          <w:p w14:paraId="38CDF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≤4</w:t>
            </w:r>
          </w:p>
        </w:tc>
        <w:tc>
          <w:tcPr>
            <w:tcW w:w="845" w:type="dxa"/>
            <w:tcBorders>
              <w:tl2br w:val="nil"/>
              <w:tr2bl w:val="nil"/>
            </w:tcBorders>
            <w:noWrap w:val="0"/>
            <w:vAlign w:val="center"/>
          </w:tcPr>
          <w:p w14:paraId="193E6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993" w:type="dxa"/>
            <w:tcBorders>
              <w:tl2br w:val="nil"/>
              <w:tr2bl w:val="nil"/>
            </w:tcBorders>
            <w:noWrap w:val="0"/>
            <w:vAlign w:val="center"/>
          </w:tcPr>
          <w:p w14:paraId="7FF62411">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w:t>
            </w:r>
          </w:p>
        </w:tc>
        <w:tc>
          <w:tcPr>
            <w:tcW w:w="1416" w:type="dxa"/>
            <w:tcBorders>
              <w:tl2br w:val="nil"/>
              <w:tr2bl w:val="nil"/>
            </w:tcBorders>
            <w:noWrap w:val="0"/>
            <w:vAlign w:val="center"/>
          </w:tcPr>
          <w:p w14:paraId="28104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≤0.005</w:t>
            </w:r>
          </w:p>
        </w:tc>
      </w:tr>
      <w:tr w14:paraId="616567CE">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674AF2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221" w:type="pct"/>
            <w:tcBorders>
              <w:tl2br w:val="nil"/>
              <w:tr2bl w:val="nil"/>
            </w:tcBorders>
            <w:noWrap w:val="0"/>
            <w:vAlign w:val="center"/>
          </w:tcPr>
          <w:p w14:paraId="373E2F12">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化学需氧量</w:t>
            </w:r>
          </w:p>
        </w:tc>
        <w:tc>
          <w:tcPr>
            <w:tcW w:w="830" w:type="pct"/>
            <w:tcBorders>
              <w:tl2br w:val="nil"/>
              <w:tr2bl w:val="nil"/>
            </w:tcBorders>
            <w:noWrap w:val="0"/>
            <w:vAlign w:val="center"/>
          </w:tcPr>
          <w:p w14:paraId="35B6C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≤20</w:t>
            </w:r>
          </w:p>
        </w:tc>
        <w:tc>
          <w:tcPr>
            <w:tcW w:w="845" w:type="dxa"/>
            <w:tcBorders>
              <w:tl2br w:val="nil"/>
              <w:tr2bl w:val="nil"/>
            </w:tcBorders>
            <w:noWrap w:val="0"/>
            <w:vAlign w:val="center"/>
          </w:tcPr>
          <w:p w14:paraId="6D7CC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1993" w:type="dxa"/>
            <w:tcBorders>
              <w:tl2br w:val="nil"/>
              <w:tr2bl w:val="nil"/>
            </w:tcBorders>
            <w:noWrap w:val="0"/>
            <w:vAlign w:val="center"/>
          </w:tcPr>
          <w:p w14:paraId="10D319D8">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六价铬</w:t>
            </w:r>
          </w:p>
        </w:tc>
        <w:tc>
          <w:tcPr>
            <w:tcW w:w="1416" w:type="dxa"/>
            <w:tcBorders>
              <w:tl2br w:val="nil"/>
              <w:tr2bl w:val="nil"/>
            </w:tcBorders>
            <w:noWrap w:val="0"/>
            <w:vAlign w:val="center"/>
          </w:tcPr>
          <w:p w14:paraId="1D0DE3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≤0.05</w:t>
            </w:r>
          </w:p>
        </w:tc>
      </w:tr>
      <w:tr w14:paraId="4695369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0C4F7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221" w:type="pct"/>
            <w:tcBorders>
              <w:tl2br w:val="nil"/>
              <w:tr2bl w:val="nil"/>
            </w:tcBorders>
            <w:noWrap w:val="0"/>
            <w:vAlign w:val="center"/>
          </w:tcPr>
          <w:p w14:paraId="3B916E8F">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氨氮</w:t>
            </w:r>
          </w:p>
        </w:tc>
        <w:tc>
          <w:tcPr>
            <w:tcW w:w="830" w:type="pct"/>
            <w:tcBorders>
              <w:tl2br w:val="nil"/>
              <w:tr2bl w:val="nil"/>
            </w:tcBorders>
            <w:noWrap w:val="0"/>
            <w:vAlign w:val="center"/>
          </w:tcPr>
          <w:p w14:paraId="3DD03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≤1.0</w:t>
            </w:r>
          </w:p>
        </w:tc>
        <w:tc>
          <w:tcPr>
            <w:tcW w:w="845" w:type="dxa"/>
            <w:tcBorders>
              <w:tl2br w:val="nil"/>
              <w:tr2bl w:val="nil"/>
            </w:tcBorders>
            <w:noWrap w:val="0"/>
            <w:vAlign w:val="center"/>
          </w:tcPr>
          <w:p w14:paraId="4E6E84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993" w:type="dxa"/>
            <w:tcBorders>
              <w:tl2br w:val="nil"/>
              <w:tr2bl w:val="nil"/>
            </w:tcBorders>
            <w:noWrap w:val="0"/>
            <w:vAlign w:val="center"/>
          </w:tcPr>
          <w:p w14:paraId="27816BFF">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氰化物</w:t>
            </w:r>
          </w:p>
        </w:tc>
        <w:tc>
          <w:tcPr>
            <w:tcW w:w="1416" w:type="dxa"/>
            <w:tcBorders>
              <w:tl2br w:val="nil"/>
              <w:tr2bl w:val="nil"/>
            </w:tcBorders>
            <w:noWrap w:val="0"/>
            <w:vAlign w:val="center"/>
          </w:tcPr>
          <w:p w14:paraId="708A5400">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color w:val="auto"/>
                <w:kern w:val="0"/>
                <w:sz w:val="21"/>
                <w:szCs w:val="21"/>
                <w:highlight w:val="none"/>
              </w:rPr>
              <w:t>0.2</w:t>
            </w:r>
          </w:p>
        </w:tc>
      </w:tr>
      <w:tr w14:paraId="550C2B62">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050A02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221" w:type="pct"/>
            <w:tcBorders>
              <w:tl2br w:val="nil"/>
              <w:tr2bl w:val="nil"/>
            </w:tcBorders>
            <w:noWrap w:val="0"/>
            <w:vAlign w:val="center"/>
          </w:tcPr>
          <w:p w14:paraId="1D69A742">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汞</w:t>
            </w:r>
          </w:p>
        </w:tc>
        <w:tc>
          <w:tcPr>
            <w:tcW w:w="830" w:type="pct"/>
            <w:tcBorders>
              <w:tl2br w:val="nil"/>
              <w:tr2bl w:val="nil"/>
            </w:tcBorders>
            <w:noWrap w:val="0"/>
            <w:vAlign w:val="center"/>
          </w:tcPr>
          <w:p w14:paraId="70FC13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≤0.0001</w:t>
            </w:r>
          </w:p>
        </w:tc>
        <w:tc>
          <w:tcPr>
            <w:tcW w:w="845" w:type="dxa"/>
            <w:tcBorders>
              <w:tl2br w:val="nil"/>
              <w:tr2bl w:val="nil"/>
            </w:tcBorders>
            <w:noWrap w:val="0"/>
            <w:vAlign w:val="center"/>
          </w:tcPr>
          <w:p w14:paraId="7DCEF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993" w:type="dxa"/>
            <w:tcBorders>
              <w:tl2br w:val="nil"/>
              <w:tr2bl w:val="nil"/>
            </w:tcBorders>
            <w:noWrap w:val="0"/>
            <w:vAlign w:val="center"/>
          </w:tcPr>
          <w:p w14:paraId="4D61D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阴离子表面活性剂</w:t>
            </w:r>
          </w:p>
        </w:tc>
        <w:tc>
          <w:tcPr>
            <w:tcW w:w="1416" w:type="dxa"/>
            <w:tcBorders>
              <w:tl2br w:val="nil"/>
              <w:tr2bl w:val="nil"/>
            </w:tcBorders>
            <w:noWrap w:val="0"/>
            <w:vAlign w:val="center"/>
          </w:tcPr>
          <w:p w14:paraId="449F1E11">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color w:val="auto"/>
                <w:kern w:val="0"/>
                <w:sz w:val="21"/>
                <w:szCs w:val="21"/>
                <w:highlight w:val="none"/>
              </w:rPr>
              <w:t>0.2</w:t>
            </w:r>
          </w:p>
        </w:tc>
      </w:tr>
      <w:tr w14:paraId="22C7E050">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0A978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221" w:type="pct"/>
            <w:tcBorders>
              <w:tl2br w:val="nil"/>
              <w:tr2bl w:val="nil"/>
            </w:tcBorders>
            <w:noWrap w:val="0"/>
            <w:vAlign w:val="center"/>
          </w:tcPr>
          <w:p w14:paraId="10126240">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w:t>
            </w:r>
          </w:p>
        </w:tc>
        <w:tc>
          <w:tcPr>
            <w:tcW w:w="830" w:type="pct"/>
            <w:tcBorders>
              <w:tl2br w:val="nil"/>
              <w:tr2bl w:val="nil"/>
            </w:tcBorders>
            <w:noWrap w:val="0"/>
            <w:vAlign w:val="center"/>
          </w:tcPr>
          <w:p w14:paraId="391A62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≤0.05</w:t>
            </w:r>
          </w:p>
        </w:tc>
        <w:tc>
          <w:tcPr>
            <w:tcW w:w="845" w:type="dxa"/>
            <w:tcBorders>
              <w:tl2br w:val="nil"/>
              <w:tr2bl w:val="nil"/>
            </w:tcBorders>
            <w:noWrap w:val="0"/>
            <w:vAlign w:val="center"/>
          </w:tcPr>
          <w:p w14:paraId="798AD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22</w:t>
            </w:r>
          </w:p>
        </w:tc>
        <w:tc>
          <w:tcPr>
            <w:tcW w:w="1993" w:type="dxa"/>
            <w:tcBorders>
              <w:tl2br w:val="nil"/>
              <w:tr2bl w:val="nil"/>
            </w:tcBorders>
            <w:noWrap w:val="0"/>
            <w:vAlign w:val="center"/>
          </w:tcPr>
          <w:p w14:paraId="1AFBB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硫化物</w:t>
            </w:r>
          </w:p>
        </w:tc>
        <w:tc>
          <w:tcPr>
            <w:tcW w:w="1416" w:type="dxa"/>
            <w:tcBorders>
              <w:tl2br w:val="nil"/>
              <w:tr2bl w:val="nil"/>
            </w:tcBorders>
            <w:noWrap w:val="0"/>
            <w:vAlign w:val="center"/>
          </w:tcPr>
          <w:p w14:paraId="0E9EF2B6">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color w:val="auto"/>
                <w:kern w:val="0"/>
                <w:sz w:val="21"/>
                <w:szCs w:val="21"/>
                <w:highlight w:val="none"/>
              </w:rPr>
              <w:t>0.2</w:t>
            </w:r>
          </w:p>
        </w:tc>
      </w:tr>
      <w:tr w14:paraId="6C68D6FC">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58B23A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221" w:type="pct"/>
            <w:tcBorders>
              <w:tl2br w:val="nil"/>
              <w:tr2bl w:val="nil"/>
            </w:tcBorders>
            <w:noWrap w:val="0"/>
            <w:vAlign w:val="center"/>
          </w:tcPr>
          <w:p w14:paraId="2808D3F2">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挥发酚</w:t>
            </w:r>
          </w:p>
        </w:tc>
        <w:tc>
          <w:tcPr>
            <w:tcW w:w="830" w:type="pct"/>
            <w:tcBorders>
              <w:tl2br w:val="nil"/>
              <w:tr2bl w:val="nil"/>
            </w:tcBorders>
            <w:noWrap w:val="0"/>
            <w:vAlign w:val="center"/>
          </w:tcPr>
          <w:p w14:paraId="2A6210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≤0.005</w:t>
            </w:r>
          </w:p>
        </w:tc>
        <w:tc>
          <w:tcPr>
            <w:tcW w:w="845" w:type="dxa"/>
            <w:tcBorders>
              <w:tl2br w:val="nil"/>
              <w:tr2bl w:val="nil"/>
            </w:tcBorders>
            <w:noWrap w:val="0"/>
            <w:vAlign w:val="center"/>
          </w:tcPr>
          <w:p w14:paraId="5017E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23</w:t>
            </w:r>
          </w:p>
        </w:tc>
        <w:tc>
          <w:tcPr>
            <w:tcW w:w="1993" w:type="dxa"/>
            <w:tcBorders>
              <w:tl2br w:val="nil"/>
              <w:tr2bl w:val="nil"/>
            </w:tcBorders>
            <w:noWrap w:val="0"/>
            <w:vAlign w:val="center"/>
          </w:tcPr>
          <w:p w14:paraId="42C65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粪大肠杆菌</w:t>
            </w:r>
          </w:p>
        </w:tc>
        <w:tc>
          <w:tcPr>
            <w:tcW w:w="1416" w:type="dxa"/>
            <w:tcBorders>
              <w:tl2br w:val="nil"/>
              <w:tr2bl w:val="nil"/>
            </w:tcBorders>
            <w:noWrap w:val="0"/>
            <w:vAlign w:val="center"/>
          </w:tcPr>
          <w:p w14:paraId="603A3B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eastAsia" w:eastAsia="宋体" w:cs="Times New Roman"/>
                <w:snapToGrid w:val="0"/>
                <w:color w:val="auto"/>
                <w:sz w:val="21"/>
                <w:szCs w:val="21"/>
                <w:highlight w:val="none"/>
                <w:lang w:val="en-US" w:eastAsia="zh-CN"/>
              </w:rPr>
              <w:t>10000</w:t>
            </w:r>
          </w:p>
        </w:tc>
      </w:tr>
      <w:tr w14:paraId="401CDBFB">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73F5F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21" w:type="pct"/>
            <w:tcBorders>
              <w:tl2br w:val="nil"/>
              <w:tr2bl w:val="nil"/>
            </w:tcBorders>
            <w:noWrap w:val="0"/>
            <w:vAlign w:val="center"/>
          </w:tcPr>
          <w:p w14:paraId="48C91CEB">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830" w:type="pct"/>
            <w:tcBorders>
              <w:tl2br w:val="nil"/>
              <w:tr2bl w:val="nil"/>
            </w:tcBorders>
            <w:noWrap w:val="0"/>
            <w:vAlign w:val="center"/>
          </w:tcPr>
          <w:p w14:paraId="7864D065">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bCs/>
                <w:color w:val="auto"/>
                <w:sz w:val="21"/>
                <w:szCs w:val="21"/>
                <w:highlight w:val="none"/>
              </w:rPr>
              <w:t>0.05</w:t>
            </w:r>
          </w:p>
        </w:tc>
        <w:tc>
          <w:tcPr>
            <w:tcW w:w="845" w:type="dxa"/>
            <w:tcBorders>
              <w:tl2br w:val="nil"/>
              <w:tr2bl w:val="nil"/>
            </w:tcBorders>
            <w:noWrap w:val="0"/>
            <w:vAlign w:val="center"/>
          </w:tcPr>
          <w:p w14:paraId="53C133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24</w:t>
            </w:r>
          </w:p>
        </w:tc>
        <w:tc>
          <w:tcPr>
            <w:tcW w:w="1993" w:type="dxa"/>
            <w:tcBorders>
              <w:tl2br w:val="nil"/>
              <w:tr2bl w:val="nil"/>
            </w:tcBorders>
            <w:noWrap w:val="0"/>
            <w:vAlign w:val="center"/>
          </w:tcPr>
          <w:p w14:paraId="7A135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bCs/>
                <w:color w:val="auto"/>
                <w:sz w:val="21"/>
                <w:szCs w:val="21"/>
                <w:highlight w:val="none"/>
                <w:lang w:val="en-US" w:eastAsia="zh-CN"/>
              </w:rPr>
              <w:t>氯化物</w:t>
            </w:r>
          </w:p>
        </w:tc>
        <w:tc>
          <w:tcPr>
            <w:tcW w:w="1416" w:type="dxa"/>
            <w:tcBorders>
              <w:tl2br w:val="nil"/>
              <w:tr2bl w:val="nil"/>
            </w:tcBorders>
            <w:noWrap w:val="0"/>
            <w:vAlign w:val="center"/>
          </w:tcPr>
          <w:p w14:paraId="5D7464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napToGrid w:val="0"/>
                <w:color w:val="auto"/>
                <w:sz w:val="21"/>
                <w:szCs w:val="21"/>
                <w:highlight w:val="none"/>
              </w:rPr>
              <w:t>≤</w:t>
            </w:r>
            <w:r>
              <w:rPr>
                <w:rFonts w:hint="eastAsia" w:eastAsia="宋体" w:cs="Times New Roman"/>
                <w:snapToGrid w:val="0"/>
                <w:color w:val="auto"/>
                <w:sz w:val="21"/>
                <w:szCs w:val="21"/>
                <w:highlight w:val="none"/>
                <w:lang w:val="en-US" w:eastAsia="zh-CN"/>
              </w:rPr>
              <w:t>250</w:t>
            </w:r>
          </w:p>
        </w:tc>
      </w:tr>
      <w:tr w14:paraId="04C98824">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4D881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221" w:type="pct"/>
            <w:tcBorders>
              <w:tl2br w:val="nil"/>
              <w:tr2bl w:val="nil"/>
            </w:tcBorders>
            <w:noWrap w:val="0"/>
            <w:vAlign w:val="center"/>
          </w:tcPr>
          <w:p w14:paraId="1C624142">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830" w:type="pct"/>
            <w:tcBorders>
              <w:tl2br w:val="nil"/>
              <w:tr2bl w:val="nil"/>
            </w:tcBorders>
            <w:noWrap w:val="0"/>
            <w:vAlign w:val="center"/>
          </w:tcPr>
          <w:p w14:paraId="1D54C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eastAsia" w:eastAsia="宋体" w:cs="Times New Roman"/>
                <w:snapToGrid w:val="0"/>
                <w:color w:val="auto"/>
                <w:sz w:val="21"/>
                <w:szCs w:val="21"/>
                <w:highlight w:val="none"/>
                <w:lang w:val="en-US" w:eastAsia="zh-CN"/>
              </w:rPr>
              <w:t>0.2</w:t>
            </w:r>
          </w:p>
        </w:tc>
        <w:tc>
          <w:tcPr>
            <w:tcW w:w="845" w:type="dxa"/>
            <w:tcBorders>
              <w:tl2br w:val="nil"/>
              <w:tr2bl w:val="nil"/>
            </w:tcBorders>
            <w:noWrap w:val="0"/>
            <w:vAlign w:val="center"/>
          </w:tcPr>
          <w:p w14:paraId="18CEB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25</w:t>
            </w:r>
          </w:p>
        </w:tc>
        <w:tc>
          <w:tcPr>
            <w:tcW w:w="1993" w:type="dxa"/>
            <w:tcBorders>
              <w:tl2br w:val="nil"/>
              <w:tr2bl w:val="nil"/>
            </w:tcBorders>
            <w:noWrap w:val="0"/>
            <w:vAlign w:val="center"/>
          </w:tcPr>
          <w:p w14:paraId="4E405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eastAsia="宋体" w:cs="Times New Roman"/>
                <w:sz w:val="21"/>
                <w:szCs w:val="21"/>
                <w:highlight w:val="none"/>
                <w:lang w:val="en-US" w:eastAsia="zh-CN"/>
              </w:rPr>
              <w:t>苯</w:t>
            </w:r>
          </w:p>
        </w:tc>
        <w:tc>
          <w:tcPr>
            <w:tcW w:w="1416" w:type="dxa"/>
            <w:tcBorders>
              <w:tl2br w:val="nil"/>
              <w:tr2bl w:val="nil"/>
            </w:tcBorders>
            <w:noWrap w:val="0"/>
            <w:vAlign w:val="center"/>
          </w:tcPr>
          <w:p w14:paraId="64009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eastAsia" w:eastAsia="宋体" w:cs="Times New Roman"/>
                <w:snapToGrid w:val="0"/>
                <w:color w:val="auto"/>
                <w:sz w:val="21"/>
                <w:szCs w:val="21"/>
                <w:highlight w:val="none"/>
                <w:lang w:val="en-US" w:eastAsia="zh-CN"/>
              </w:rPr>
              <w:t>0.01</w:t>
            </w:r>
          </w:p>
        </w:tc>
      </w:tr>
      <w:tr w14:paraId="53A004D3">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61CD7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221" w:type="pct"/>
            <w:tcBorders>
              <w:tl2br w:val="nil"/>
              <w:tr2bl w:val="nil"/>
            </w:tcBorders>
            <w:noWrap w:val="0"/>
            <w:vAlign w:val="center"/>
          </w:tcPr>
          <w:p w14:paraId="470FE228">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总氮</w:t>
            </w:r>
          </w:p>
        </w:tc>
        <w:tc>
          <w:tcPr>
            <w:tcW w:w="830" w:type="pct"/>
            <w:tcBorders>
              <w:tl2br w:val="nil"/>
              <w:tr2bl w:val="nil"/>
            </w:tcBorders>
            <w:noWrap w:val="0"/>
            <w:vAlign w:val="center"/>
          </w:tcPr>
          <w:p w14:paraId="15A89B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eastAsia" w:eastAsia="宋体" w:cs="Times New Roman"/>
                <w:snapToGrid w:val="0"/>
                <w:color w:val="auto"/>
                <w:sz w:val="21"/>
                <w:szCs w:val="21"/>
                <w:highlight w:val="none"/>
                <w:lang w:val="en-US" w:eastAsia="zh-CN"/>
              </w:rPr>
              <w:t>1</w:t>
            </w:r>
          </w:p>
        </w:tc>
        <w:tc>
          <w:tcPr>
            <w:tcW w:w="845" w:type="dxa"/>
            <w:tcBorders>
              <w:tl2br w:val="nil"/>
              <w:tr2bl w:val="nil"/>
            </w:tcBorders>
            <w:noWrap w:val="0"/>
            <w:vAlign w:val="center"/>
          </w:tcPr>
          <w:p w14:paraId="3543D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26</w:t>
            </w:r>
          </w:p>
        </w:tc>
        <w:tc>
          <w:tcPr>
            <w:tcW w:w="1993" w:type="dxa"/>
            <w:tcBorders>
              <w:tl2br w:val="nil"/>
              <w:tr2bl w:val="nil"/>
            </w:tcBorders>
            <w:noWrap w:val="0"/>
            <w:vAlign w:val="center"/>
          </w:tcPr>
          <w:p w14:paraId="1ADCA454">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sz w:val="21"/>
                <w:szCs w:val="21"/>
                <w:highlight w:val="none"/>
                <w:lang w:val="en-US" w:eastAsia="zh-CN"/>
              </w:rPr>
              <w:t>硫酸盐</w:t>
            </w:r>
          </w:p>
        </w:tc>
        <w:tc>
          <w:tcPr>
            <w:tcW w:w="1416" w:type="dxa"/>
            <w:tcBorders>
              <w:tl2br w:val="nil"/>
              <w:tr2bl w:val="nil"/>
            </w:tcBorders>
            <w:noWrap w:val="0"/>
            <w:vAlign w:val="center"/>
          </w:tcPr>
          <w:p w14:paraId="2654B6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w:t>
            </w:r>
            <w:r>
              <w:rPr>
                <w:rFonts w:hint="eastAsia" w:eastAsia="宋体" w:cs="Times New Roman"/>
                <w:snapToGrid w:val="0"/>
                <w:color w:val="auto"/>
                <w:sz w:val="21"/>
                <w:szCs w:val="21"/>
                <w:highlight w:val="none"/>
                <w:lang w:val="en-US" w:eastAsia="zh-CN"/>
              </w:rPr>
              <w:t>250</w:t>
            </w:r>
          </w:p>
        </w:tc>
      </w:tr>
      <w:tr w14:paraId="6CB6CC0F">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50E1B6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221" w:type="pct"/>
            <w:tcBorders>
              <w:tl2br w:val="nil"/>
              <w:tr2bl w:val="nil"/>
            </w:tcBorders>
            <w:noWrap w:val="0"/>
            <w:vAlign w:val="center"/>
          </w:tcPr>
          <w:p w14:paraId="373903AB">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铜</w:t>
            </w:r>
          </w:p>
        </w:tc>
        <w:tc>
          <w:tcPr>
            <w:tcW w:w="830" w:type="pct"/>
            <w:tcBorders>
              <w:tl2br w:val="nil"/>
              <w:tr2bl w:val="nil"/>
            </w:tcBorders>
            <w:noWrap w:val="0"/>
            <w:vAlign w:val="center"/>
          </w:tcPr>
          <w:p w14:paraId="56383C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≤1.0</w:t>
            </w:r>
          </w:p>
        </w:tc>
        <w:tc>
          <w:tcPr>
            <w:tcW w:w="496" w:type="pct"/>
            <w:tcBorders>
              <w:tl2br w:val="nil"/>
              <w:tr2bl w:val="nil"/>
            </w:tcBorders>
            <w:noWrap w:val="0"/>
            <w:vAlign w:val="center"/>
          </w:tcPr>
          <w:p w14:paraId="2F493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27</w:t>
            </w:r>
          </w:p>
        </w:tc>
        <w:tc>
          <w:tcPr>
            <w:tcW w:w="1993" w:type="dxa"/>
            <w:tcBorders>
              <w:tl2br w:val="nil"/>
              <w:tr2bl w:val="nil"/>
            </w:tcBorders>
            <w:noWrap w:val="0"/>
            <w:vAlign w:val="center"/>
          </w:tcPr>
          <w:p w14:paraId="507D5960">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SS</w:t>
            </w:r>
          </w:p>
        </w:tc>
        <w:tc>
          <w:tcPr>
            <w:tcW w:w="1416" w:type="dxa"/>
            <w:tcBorders>
              <w:tl2br w:val="nil"/>
              <w:tr2bl w:val="nil"/>
            </w:tcBorders>
            <w:noWrap w:val="0"/>
            <w:vAlign w:val="center"/>
          </w:tcPr>
          <w:p w14:paraId="4E455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w:t>
            </w:r>
          </w:p>
        </w:tc>
      </w:tr>
      <w:tr w14:paraId="07A0DAAA">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64" w:type="dxa"/>
            <w:tcBorders>
              <w:tl2br w:val="nil"/>
              <w:tr2bl w:val="nil"/>
            </w:tcBorders>
            <w:noWrap w:val="0"/>
            <w:vAlign w:val="center"/>
          </w:tcPr>
          <w:p w14:paraId="10A31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2080" w:type="dxa"/>
            <w:tcBorders>
              <w:tl2br w:val="nil"/>
              <w:tr2bl w:val="nil"/>
            </w:tcBorders>
            <w:noWrap w:val="0"/>
            <w:vAlign w:val="center"/>
          </w:tcPr>
          <w:p w14:paraId="49ECA773">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锌</w:t>
            </w:r>
          </w:p>
        </w:tc>
        <w:tc>
          <w:tcPr>
            <w:tcW w:w="1414" w:type="dxa"/>
            <w:tcBorders>
              <w:tl2br w:val="nil"/>
              <w:tr2bl w:val="nil"/>
            </w:tcBorders>
            <w:noWrap w:val="0"/>
            <w:vAlign w:val="center"/>
          </w:tcPr>
          <w:p w14:paraId="72954F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≤1.0</w:t>
            </w:r>
          </w:p>
        </w:tc>
        <w:tc>
          <w:tcPr>
            <w:tcW w:w="496" w:type="pct"/>
            <w:tcBorders>
              <w:tl2br w:val="nil"/>
              <w:tr2bl w:val="nil"/>
            </w:tcBorders>
            <w:noWrap w:val="0"/>
            <w:vAlign w:val="center"/>
          </w:tcPr>
          <w:p w14:paraId="7A864A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Cs/>
                <w:color w:val="auto"/>
                <w:sz w:val="21"/>
                <w:szCs w:val="21"/>
                <w:highlight w:val="none"/>
                <w:lang w:val="en-US" w:eastAsia="zh-CN"/>
              </w:rPr>
            </w:pPr>
          </w:p>
        </w:tc>
        <w:tc>
          <w:tcPr>
            <w:tcW w:w="1993" w:type="dxa"/>
            <w:tcBorders>
              <w:tl2br w:val="nil"/>
              <w:tr2bl w:val="nil"/>
            </w:tcBorders>
            <w:noWrap w:val="0"/>
            <w:vAlign w:val="center"/>
          </w:tcPr>
          <w:p w14:paraId="0D3EE237">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eastAsia="宋体" w:cs="Times New Roman"/>
                <w:sz w:val="21"/>
                <w:szCs w:val="21"/>
                <w:highlight w:val="none"/>
                <w:lang w:val="en-US" w:eastAsia="zh-CN"/>
              </w:rPr>
            </w:pPr>
          </w:p>
        </w:tc>
        <w:tc>
          <w:tcPr>
            <w:tcW w:w="1416" w:type="dxa"/>
            <w:tcBorders>
              <w:tl2br w:val="nil"/>
              <w:tr2bl w:val="nil"/>
            </w:tcBorders>
            <w:noWrap w:val="0"/>
            <w:vAlign w:val="center"/>
          </w:tcPr>
          <w:p w14:paraId="3BD6E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rPr>
            </w:pPr>
          </w:p>
        </w:tc>
      </w:tr>
    </w:tbl>
    <w:p w14:paraId="1B91A74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（3）地下水环境质量标准</w:t>
      </w:r>
    </w:p>
    <w:p w14:paraId="5F38A0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项目所在区域地下水水质执行《地下水质量标准》（GB/T 14848—2017）</w:t>
      </w:r>
      <w:r>
        <w:rPr>
          <w:rFonts w:hint="default" w:ascii="Times New Roman" w:hAnsi="Times New Roman" w:eastAsia="宋体" w:cs="Times New Roman"/>
          <w:color w:val="auto"/>
          <w:kern w:val="0"/>
          <w:sz w:val="24"/>
          <w:szCs w:val="20"/>
          <w:highlight w:val="none"/>
          <w:lang w:val="en-US" w:eastAsia="zh-CN" w:bidi="ar-SA"/>
        </w:rPr>
        <w:t>Ⅲ</w:t>
      </w:r>
      <w:r>
        <w:rPr>
          <w:rFonts w:hint="eastAsia" w:eastAsia="宋体" w:cs="Times New Roman"/>
          <w:color w:val="auto"/>
          <w:kern w:val="0"/>
          <w:sz w:val="24"/>
          <w:szCs w:val="20"/>
          <w:highlight w:val="none"/>
          <w:lang w:val="en-US" w:eastAsia="zh-CN" w:bidi="ar-SA"/>
        </w:rPr>
        <w:t>类标准。</w:t>
      </w:r>
    </w:p>
    <w:p w14:paraId="790B66A5">
      <w:pPr>
        <w:keepNext w:val="0"/>
        <w:keepLines w:val="0"/>
        <w:pageBreakBefore w:val="0"/>
        <w:widowControl w:val="0"/>
        <w:kinsoku/>
        <w:wordWrap/>
        <w:overflowPunct/>
        <w:topLinePunct w:val="0"/>
        <w:autoSpaceDE/>
        <w:autoSpaceDN/>
        <w:bidi w:val="0"/>
        <w:adjustRightInd/>
        <w:snapToGrid/>
        <w:spacing w:line="360" w:lineRule="auto"/>
        <w:ind w:left="0" w:firstLine="454" w:firstLineChars="200"/>
        <w:jc w:val="center"/>
        <w:textAlignment w:val="auto"/>
        <w:rPr>
          <w:rFonts w:hint="eastAsia" w:eastAsia="宋体" w:cs="Times New Roman"/>
          <w:color w:val="auto"/>
          <w:kern w:val="0"/>
          <w:sz w:val="24"/>
          <w:szCs w:val="20"/>
          <w:highlight w:val="none"/>
          <w:lang w:val="en-US" w:eastAsia="zh-CN" w:bidi="ar-SA"/>
        </w:rPr>
      </w:pPr>
      <w:r>
        <w:rPr>
          <w:rFonts w:hint="eastAsia" w:ascii="Times New Roman" w:hAnsi="Times New Roman" w:eastAsia="宋体" w:cs="Times New Roman"/>
          <w:b/>
          <w:bCs/>
          <w:spacing w:val="-7"/>
          <w:kern w:val="0"/>
          <w:sz w:val="24"/>
          <w:szCs w:val="20"/>
          <w:highlight w:val="none"/>
          <w:lang w:val="en-US" w:eastAsia="zh-CN" w:bidi="ar-SA"/>
        </w:rPr>
        <w:t>表 2.</w:t>
      </w:r>
      <w:r>
        <w:rPr>
          <w:rFonts w:hint="eastAsia" w:eastAsia="宋体" w:cs="Times New Roman"/>
          <w:b/>
          <w:bCs/>
          <w:spacing w:val="-7"/>
          <w:kern w:val="0"/>
          <w:sz w:val="24"/>
          <w:szCs w:val="20"/>
          <w:highlight w:val="none"/>
          <w:lang w:val="en-US" w:eastAsia="zh-CN" w:bidi="ar-SA"/>
        </w:rPr>
        <w:t>4</w:t>
      </w:r>
      <w:r>
        <w:rPr>
          <w:rFonts w:hint="eastAsia" w:ascii="Times New Roman" w:hAnsi="Times New Roman" w:eastAsia="宋体" w:cs="Times New Roman"/>
          <w:b/>
          <w:bCs/>
          <w:spacing w:val="-7"/>
          <w:kern w:val="0"/>
          <w:sz w:val="24"/>
          <w:szCs w:val="20"/>
          <w:highlight w:val="none"/>
          <w:lang w:val="en-US" w:eastAsia="zh-CN" w:bidi="ar-SA"/>
        </w:rPr>
        <w:t>-3  地下水质量标准   单位：mg/L（pH 无量纲</w:t>
      </w:r>
      <w:r>
        <w:rPr>
          <w:rFonts w:ascii="黑体" w:hAnsi="黑体" w:eastAsia="黑体" w:cs="黑体"/>
          <w:spacing w:val="-1"/>
          <w:sz w:val="24"/>
          <w:szCs w:val="24"/>
          <w:highlight w:val="none"/>
        </w:rPr>
        <w:t>）</w:t>
      </w:r>
    </w:p>
    <w:tbl>
      <w:tblPr>
        <w:tblStyle w:val="37"/>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43"/>
        <w:gridCol w:w="2711"/>
        <w:gridCol w:w="4069"/>
      </w:tblGrid>
      <w:tr w14:paraId="3D592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jc w:val="center"/>
        </w:trPr>
        <w:tc>
          <w:tcPr>
            <w:tcW w:w="927" w:type="pct"/>
            <w:tcBorders>
              <w:top w:val="single" w:color="000000" w:sz="10" w:space="0"/>
              <w:left w:val="single" w:color="000000" w:sz="10" w:space="0"/>
            </w:tcBorders>
            <w:vAlign w:val="center"/>
          </w:tcPr>
          <w:p w14:paraId="2BB20AA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序号</w:t>
            </w:r>
          </w:p>
        </w:tc>
        <w:tc>
          <w:tcPr>
            <w:tcW w:w="1628" w:type="pct"/>
            <w:tcBorders>
              <w:top w:val="single" w:color="000000" w:sz="10" w:space="0"/>
            </w:tcBorders>
            <w:vAlign w:val="center"/>
          </w:tcPr>
          <w:p w14:paraId="6EF96E4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6"/>
                <w:sz w:val="21"/>
                <w:szCs w:val="21"/>
                <w:highlight w:val="none"/>
              </w:rPr>
              <w:t>污染物</w:t>
            </w:r>
          </w:p>
        </w:tc>
        <w:tc>
          <w:tcPr>
            <w:tcW w:w="2444" w:type="pct"/>
            <w:tcBorders>
              <w:top w:val="single" w:color="000000" w:sz="10" w:space="0"/>
              <w:right w:val="single" w:color="000000" w:sz="10" w:space="0"/>
            </w:tcBorders>
            <w:vAlign w:val="center"/>
          </w:tcPr>
          <w:p w14:paraId="4678F0A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4"/>
                <w:sz w:val="21"/>
                <w:szCs w:val="21"/>
                <w:highlight w:val="none"/>
              </w:rPr>
              <w:t>（</w:t>
            </w:r>
            <w:r>
              <w:rPr>
                <w:rFonts w:ascii="Times New Roman" w:hAnsi="Times New Roman" w:eastAsia="Times New Roman" w:cs="Times New Roman"/>
                <w:sz w:val="21"/>
                <w:szCs w:val="21"/>
                <w:highlight w:val="none"/>
              </w:rPr>
              <w:t>GB</w:t>
            </w:r>
            <w:r>
              <w:rPr>
                <w:rFonts w:ascii="Times New Roman" w:hAnsi="Times New Roman" w:eastAsia="Times New Roman" w:cs="Times New Roman"/>
                <w:spacing w:val="4"/>
                <w:sz w:val="21"/>
                <w:szCs w:val="21"/>
                <w:highlight w:val="none"/>
              </w:rPr>
              <w:t>/T</w:t>
            </w:r>
            <w:r>
              <w:rPr>
                <w:rFonts w:ascii="Times New Roman" w:hAnsi="Times New Roman" w:eastAsia="Times New Roman" w:cs="Times New Roman"/>
                <w:spacing w:val="31"/>
                <w:sz w:val="21"/>
                <w:szCs w:val="21"/>
                <w:highlight w:val="none"/>
              </w:rPr>
              <w:t xml:space="preserve"> </w:t>
            </w:r>
            <w:r>
              <w:rPr>
                <w:rFonts w:ascii="Times New Roman" w:hAnsi="Times New Roman" w:eastAsia="Times New Roman" w:cs="Times New Roman"/>
                <w:spacing w:val="4"/>
                <w:sz w:val="21"/>
                <w:szCs w:val="21"/>
                <w:highlight w:val="none"/>
              </w:rPr>
              <w:t>14848-2017</w:t>
            </w:r>
            <w:r>
              <w:rPr>
                <w:spacing w:val="4"/>
                <w:sz w:val="21"/>
                <w:szCs w:val="21"/>
                <w:highlight w:val="none"/>
              </w:rPr>
              <w:t>）中</w:t>
            </w:r>
            <w:r>
              <w:rPr>
                <w:rFonts w:ascii="Times New Roman" w:hAnsi="Times New Roman" w:eastAsia="Times New Roman" w:cs="Times New Roman"/>
                <w:spacing w:val="4"/>
                <w:sz w:val="21"/>
                <w:szCs w:val="21"/>
                <w:highlight w:val="none"/>
              </w:rPr>
              <w:t>Ⅲ</w:t>
            </w:r>
            <w:r>
              <w:rPr>
                <w:spacing w:val="4"/>
                <w:sz w:val="21"/>
                <w:szCs w:val="21"/>
                <w:highlight w:val="none"/>
              </w:rPr>
              <w:t>类</w:t>
            </w:r>
          </w:p>
        </w:tc>
      </w:tr>
      <w:tr w14:paraId="7CAF3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7AC24F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628" w:type="pct"/>
            <w:vAlign w:val="center"/>
          </w:tcPr>
          <w:p w14:paraId="3E1D8E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pH</w:t>
            </w:r>
          </w:p>
        </w:tc>
        <w:tc>
          <w:tcPr>
            <w:tcW w:w="2444" w:type="pct"/>
            <w:tcBorders>
              <w:right w:val="single" w:color="000000" w:sz="10" w:space="0"/>
            </w:tcBorders>
            <w:vAlign w:val="center"/>
          </w:tcPr>
          <w:p w14:paraId="0A6E02B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6.5≤</w:t>
            </w:r>
            <w:r>
              <w:rPr>
                <w:rFonts w:ascii="Times New Roman" w:hAnsi="Times New Roman" w:eastAsia="Times New Roman" w:cs="Times New Roman"/>
                <w:sz w:val="21"/>
                <w:szCs w:val="21"/>
                <w:highlight w:val="none"/>
              </w:rPr>
              <w:t>pH</w:t>
            </w:r>
            <w:r>
              <w:rPr>
                <w:rFonts w:ascii="Times New Roman" w:hAnsi="Times New Roman" w:eastAsia="Times New Roman" w:cs="Times New Roman"/>
                <w:spacing w:val="4"/>
                <w:sz w:val="21"/>
                <w:szCs w:val="21"/>
                <w:highlight w:val="none"/>
              </w:rPr>
              <w:t>≤8.5</w:t>
            </w:r>
          </w:p>
        </w:tc>
      </w:tr>
      <w:tr w14:paraId="596C7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79048BE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w:t>
            </w:r>
          </w:p>
        </w:tc>
        <w:tc>
          <w:tcPr>
            <w:tcW w:w="1628" w:type="pct"/>
            <w:vAlign w:val="center"/>
          </w:tcPr>
          <w:p w14:paraId="3BAE3E2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z w:val="21"/>
                <w:szCs w:val="21"/>
                <w:highlight w:val="none"/>
              </w:rPr>
              <w:t>钾</w:t>
            </w:r>
          </w:p>
        </w:tc>
        <w:tc>
          <w:tcPr>
            <w:tcW w:w="2444" w:type="pct"/>
            <w:tcBorders>
              <w:right w:val="single" w:color="000000" w:sz="10" w:space="0"/>
            </w:tcBorders>
            <w:vAlign w:val="center"/>
          </w:tcPr>
          <w:p w14:paraId="7392FD9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w:t>
            </w:r>
          </w:p>
        </w:tc>
      </w:tr>
      <w:tr w14:paraId="37E51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7801CF8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w:t>
            </w:r>
          </w:p>
        </w:tc>
        <w:tc>
          <w:tcPr>
            <w:tcW w:w="1628" w:type="pct"/>
            <w:vAlign w:val="center"/>
          </w:tcPr>
          <w:p w14:paraId="27E3E76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sz w:val="21"/>
                <w:szCs w:val="21"/>
                <w:highlight w:val="none"/>
                <w:lang w:eastAsia="zh-CN"/>
              </w:rPr>
            </w:pPr>
            <w:r>
              <w:rPr>
                <w:rFonts w:hint="eastAsia"/>
                <w:sz w:val="21"/>
                <w:szCs w:val="21"/>
                <w:highlight w:val="none"/>
                <w:lang w:val="en-US" w:eastAsia="zh-CN"/>
              </w:rPr>
              <w:t>钠</w:t>
            </w:r>
          </w:p>
        </w:tc>
        <w:tc>
          <w:tcPr>
            <w:tcW w:w="2444" w:type="pct"/>
            <w:tcBorders>
              <w:right w:val="single" w:color="000000" w:sz="10" w:space="0"/>
            </w:tcBorders>
            <w:vAlign w:val="center"/>
          </w:tcPr>
          <w:p w14:paraId="411318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≤200</w:t>
            </w:r>
          </w:p>
        </w:tc>
      </w:tr>
      <w:tr w14:paraId="445EC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51665A3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1628" w:type="pct"/>
            <w:vAlign w:val="center"/>
          </w:tcPr>
          <w:p w14:paraId="5FA57C1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1"/>
                <w:sz w:val="21"/>
                <w:szCs w:val="21"/>
                <w:highlight w:val="none"/>
              </w:rPr>
              <w:t>钙</w:t>
            </w:r>
          </w:p>
        </w:tc>
        <w:tc>
          <w:tcPr>
            <w:tcW w:w="2444" w:type="pct"/>
            <w:tcBorders>
              <w:right w:val="single" w:color="000000" w:sz="10" w:space="0"/>
            </w:tcBorders>
            <w:vAlign w:val="center"/>
          </w:tcPr>
          <w:p w14:paraId="0498CAF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w:t>
            </w:r>
          </w:p>
        </w:tc>
      </w:tr>
      <w:tr w14:paraId="118A9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272FC1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6</w:t>
            </w:r>
          </w:p>
        </w:tc>
        <w:tc>
          <w:tcPr>
            <w:tcW w:w="1628" w:type="pct"/>
            <w:vAlign w:val="center"/>
          </w:tcPr>
          <w:p w14:paraId="39E2CDC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1"/>
                <w:sz w:val="21"/>
                <w:szCs w:val="21"/>
                <w:highlight w:val="none"/>
              </w:rPr>
              <w:t>镁</w:t>
            </w:r>
          </w:p>
        </w:tc>
        <w:tc>
          <w:tcPr>
            <w:tcW w:w="2444" w:type="pct"/>
            <w:tcBorders>
              <w:right w:val="single" w:color="000000" w:sz="10" w:space="0"/>
            </w:tcBorders>
            <w:vAlign w:val="center"/>
          </w:tcPr>
          <w:p w14:paraId="7BD41E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w:t>
            </w:r>
          </w:p>
        </w:tc>
      </w:tr>
      <w:tr w14:paraId="14802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0773C38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7</w:t>
            </w:r>
          </w:p>
        </w:tc>
        <w:tc>
          <w:tcPr>
            <w:tcW w:w="1628" w:type="pct"/>
            <w:vAlign w:val="center"/>
          </w:tcPr>
          <w:p w14:paraId="09E19ED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4"/>
                <w:sz w:val="21"/>
                <w:szCs w:val="21"/>
                <w:highlight w:val="none"/>
              </w:rPr>
              <w:t>氨氮</w:t>
            </w:r>
          </w:p>
        </w:tc>
        <w:tc>
          <w:tcPr>
            <w:tcW w:w="2444" w:type="pct"/>
            <w:tcBorders>
              <w:right w:val="single" w:color="000000" w:sz="10" w:space="0"/>
            </w:tcBorders>
            <w:vAlign w:val="center"/>
          </w:tcPr>
          <w:p w14:paraId="209D4C1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≤0.50</w:t>
            </w:r>
          </w:p>
        </w:tc>
      </w:tr>
      <w:tr w14:paraId="1581B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229B8F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8</w:t>
            </w:r>
          </w:p>
        </w:tc>
        <w:tc>
          <w:tcPr>
            <w:tcW w:w="1628" w:type="pct"/>
            <w:vAlign w:val="center"/>
          </w:tcPr>
          <w:p w14:paraId="3F5A16E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6"/>
                <w:sz w:val="21"/>
                <w:szCs w:val="21"/>
                <w:highlight w:val="none"/>
              </w:rPr>
              <w:t>硝酸盐</w:t>
            </w:r>
          </w:p>
        </w:tc>
        <w:tc>
          <w:tcPr>
            <w:tcW w:w="2444" w:type="pct"/>
            <w:tcBorders>
              <w:right w:val="single" w:color="000000" w:sz="10" w:space="0"/>
            </w:tcBorders>
            <w:vAlign w:val="center"/>
          </w:tcPr>
          <w:p w14:paraId="5B173B1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≤20.0</w:t>
            </w:r>
          </w:p>
        </w:tc>
      </w:tr>
      <w:tr w14:paraId="24652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22A7CD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9</w:t>
            </w:r>
          </w:p>
        </w:tc>
        <w:tc>
          <w:tcPr>
            <w:tcW w:w="1628" w:type="pct"/>
            <w:vAlign w:val="center"/>
          </w:tcPr>
          <w:p w14:paraId="5854A82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6"/>
                <w:sz w:val="21"/>
                <w:szCs w:val="21"/>
                <w:highlight w:val="none"/>
              </w:rPr>
              <w:t>亚硝酸盐</w:t>
            </w:r>
          </w:p>
        </w:tc>
        <w:tc>
          <w:tcPr>
            <w:tcW w:w="2444" w:type="pct"/>
            <w:tcBorders>
              <w:right w:val="single" w:color="000000" w:sz="10" w:space="0"/>
            </w:tcBorders>
            <w:vAlign w:val="center"/>
          </w:tcPr>
          <w:p w14:paraId="2A0825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≤1.00</w:t>
            </w:r>
          </w:p>
        </w:tc>
      </w:tr>
      <w:tr w14:paraId="1560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48CC697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10</w:t>
            </w:r>
          </w:p>
        </w:tc>
        <w:tc>
          <w:tcPr>
            <w:tcW w:w="1628" w:type="pct"/>
            <w:vAlign w:val="center"/>
          </w:tcPr>
          <w:p w14:paraId="4F2B1CB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7"/>
                <w:sz w:val="21"/>
                <w:szCs w:val="21"/>
                <w:highlight w:val="none"/>
              </w:rPr>
              <w:t>氰化物</w:t>
            </w:r>
          </w:p>
        </w:tc>
        <w:tc>
          <w:tcPr>
            <w:tcW w:w="2444" w:type="pct"/>
            <w:tcBorders>
              <w:right w:val="single" w:color="000000" w:sz="10" w:space="0"/>
            </w:tcBorders>
            <w:vAlign w:val="center"/>
          </w:tcPr>
          <w:p w14:paraId="11D40EF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≤0.05</w:t>
            </w:r>
          </w:p>
        </w:tc>
      </w:tr>
      <w:tr w14:paraId="64A6D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38E0F89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10"/>
                <w:sz w:val="21"/>
                <w:szCs w:val="21"/>
                <w:highlight w:val="none"/>
              </w:rPr>
              <w:t>11</w:t>
            </w:r>
          </w:p>
        </w:tc>
        <w:tc>
          <w:tcPr>
            <w:tcW w:w="1628" w:type="pct"/>
            <w:vAlign w:val="center"/>
          </w:tcPr>
          <w:p w14:paraId="0E2B471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1"/>
                <w:sz w:val="21"/>
                <w:szCs w:val="21"/>
                <w:highlight w:val="none"/>
              </w:rPr>
              <w:t>砷</w:t>
            </w:r>
          </w:p>
        </w:tc>
        <w:tc>
          <w:tcPr>
            <w:tcW w:w="2444" w:type="pct"/>
            <w:tcBorders>
              <w:right w:val="single" w:color="000000" w:sz="10" w:space="0"/>
            </w:tcBorders>
            <w:vAlign w:val="center"/>
          </w:tcPr>
          <w:p w14:paraId="6B3FE1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≤0.01</w:t>
            </w:r>
          </w:p>
        </w:tc>
      </w:tr>
      <w:tr w14:paraId="1B963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470FA4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12</w:t>
            </w:r>
          </w:p>
        </w:tc>
        <w:tc>
          <w:tcPr>
            <w:tcW w:w="1628" w:type="pct"/>
            <w:vAlign w:val="center"/>
          </w:tcPr>
          <w:p w14:paraId="4A9BF2F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z w:val="21"/>
                <w:szCs w:val="21"/>
                <w:highlight w:val="none"/>
              </w:rPr>
              <w:t>汞</w:t>
            </w:r>
          </w:p>
        </w:tc>
        <w:tc>
          <w:tcPr>
            <w:tcW w:w="2444" w:type="pct"/>
            <w:tcBorders>
              <w:right w:val="single" w:color="000000" w:sz="10" w:space="0"/>
            </w:tcBorders>
            <w:vAlign w:val="center"/>
          </w:tcPr>
          <w:p w14:paraId="59969F3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≤0.001</w:t>
            </w:r>
          </w:p>
        </w:tc>
      </w:tr>
      <w:tr w14:paraId="7AF57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558486B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13</w:t>
            </w:r>
          </w:p>
        </w:tc>
        <w:tc>
          <w:tcPr>
            <w:tcW w:w="1628" w:type="pct"/>
            <w:vAlign w:val="center"/>
          </w:tcPr>
          <w:p w14:paraId="03E1784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sz w:val="21"/>
                <w:szCs w:val="21"/>
                <w:highlight w:val="none"/>
                <w:lang w:eastAsia="zh-CN"/>
              </w:rPr>
            </w:pPr>
            <w:r>
              <w:rPr>
                <w:spacing w:val="1"/>
                <w:sz w:val="21"/>
                <w:szCs w:val="21"/>
                <w:highlight w:val="none"/>
              </w:rPr>
              <w:t>铬</w:t>
            </w:r>
            <w:r>
              <w:rPr>
                <w:rFonts w:hint="eastAsia"/>
                <w:spacing w:val="1"/>
                <w:sz w:val="21"/>
                <w:szCs w:val="21"/>
                <w:highlight w:val="none"/>
                <w:lang w:eastAsia="zh-CN"/>
              </w:rPr>
              <w:t>（</w:t>
            </w:r>
            <w:r>
              <w:rPr>
                <w:rFonts w:hint="eastAsia"/>
                <w:spacing w:val="1"/>
                <w:sz w:val="21"/>
                <w:szCs w:val="21"/>
                <w:highlight w:val="none"/>
                <w:lang w:val="en-US" w:eastAsia="zh-CN"/>
              </w:rPr>
              <w:t>六价</w:t>
            </w:r>
            <w:r>
              <w:rPr>
                <w:rFonts w:hint="eastAsia"/>
                <w:spacing w:val="1"/>
                <w:sz w:val="21"/>
                <w:szCs w:val="21"/>
                <w:highlight w:val="none"/>
                <w:lang w:eastAsia="zh-CN"/>
              </w:rPr>
              <w:t>）</w:t>
            </w:r>
          </w:p>
        </w:tc>
        <w:tc>
          <w:tcPr>
            <w:tcW w:w="2444" w:type="pct"/>
            <w:tcBorders>
              <w:right w:val="single" w:color="000000" w:sz="10" w:space="0"/>
            </w:tcBorders>
            <w:vAlign w:val="center"/>
          </w:tcPr>
          <w:p w14:paraId="3F1728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≤0.05</w:t>
            </w:r>
          </w:p>
        </w:tc>
      </w:tr>
      <w:tr w14:paraId="5F299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3F608E1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15</w:t>
            </w:r>
          </w:p>
        </w:tc>
        <w:tc>
          <w:tcPr>
            <w:tcW w:w="1628" w:type="pct"/>
            <w:vAlign w:val="center"/>
          </w:tcPr>
          <w:p w14:paraId="54C087E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6"/>
                <w:sz w:val="21"/>
                <w:szCs w:val="21"/>
                <w:highlight w:val="none"/>
              </w:rPr>
              <w:t>碳酸根</w:t>
            </w:r>
          </w:p>
        </w:tc>
        <w:tc>
          <w:tcPr>
            <w:tcW w:w="2444" w:type="pct"/>
            <w:tcBorders>
              <w:right w:val="single" w:color="000000" w:sz="10" w:space="0"/>
            </w:tcBorders>
            <w:vAlign w:val="center"/>
          </w:tcPr>
          <w:p w14:paraId="1DAA57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z w:val="21"/>
                <w:szCs w:val="21"/>
                <w:highlight w:val="none"/>
                <w:lang w:eastAsia="zh-CN"/>
              </w:rPr>
            </w:pPr>
            <w:r>
              <w:rPr>
                <w:rFonts w:hint="eastAsia" w:eastAsia="宋体" w:cs="Times New Roman"/>
                <w:spacing w:val="4"/>
                <w:sz w:val="21"/>
                <w:szCs w:val="21"/>
                <w:highlight w:val="none"/>
                <w:lang w:val="en-US" w:eastAsia="zh-CN"/>
              </w:rPr>
              <w:t>/</w:t>
            </w:r>
          </w:p>
        </w:tc>
      </w:tr>
      <w:tr w14:paraId="55587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649FA5A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17</w:t>
            </w:r>
          </w:p>
        </w:tc>
        <w:tc>
          <w:tcPr>
            <w:tcW w:w="1628" w:type="pct"/>
            <w:vAlign w:val="center"/>
          </w:tcPr>
          <w:p w14:paraId="77C762B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总硬度</w:t>
            </w:r>
          </w:p>
        </w:tc>
        <w:tc>
          <w:tcPr>
            <w:tcW w:w="2444" w:type="pct"/>
            <w:tcBorders>
              <w:right w:val="single" w:color="000000" w:sz="10" w:space="0"/>
            </w:tcBorders>
            <w:vAlign w:val="center"/>
          </w:tcPr>
          <w:p w14:paraId="57F53B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ascii="Times New Roman" w:hAnsi="Times New Roman" w:eastAsia="Times New Roman" w:cs="Times New Roman"/>
                <w:spacing w:val="4"/>
                <w:sz w:val="21"/>
                <w:szCs w:val="21"/>
                <w:highlight w:val="none"/>
              </w:rPr>
              <w:t>≤</w:t>
            </w:r>
            <w:r>
              <w:rPr>
                <w:rFonts w:hint="eastAsia" w:eastAsia="宋体" w:cs="Times New Roman"/>
                <w:spacing w:val="4"/>
                <w:sz w:val="21"/>
                <w:szCs w:val="21"/>
                <w:highlight w:val="none"/>
                <w:lang w:val="en-US" w:eastAsia="zh-CN"/>
              </w:rPr>
              <w:t>450</w:t>
            </w:r>
          </w:p>
        </w:tc>
      </w:tr>
      <w:tr w14:paraId="0DFE3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213F74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18</w:t>
            </w:r>
          </w:p>
        </w:tc>
        <w:tc>
          <w:tcPr>
            <w:tcW w:w="1628" w:type="pct"/>
            <w:vAlign w:val="center"/>
          </w:tcPr>
          <w:p w14:paraId="6965674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氯化物</w:t>
            </w:r>
          </w:p>
        </w:tc>
        <w:tc>
          <w:tcPr>
            <w:tcW w:w="2444" w:type="pct"/>
            <w:tcBorders>
              <w:right w:val="single" w:color="000000" w:sz="10" w:space="0"/>
            </w:tcBorders>
            <w:vAlign w:val="center"/>
          </w:tcPr>
          <w:p w14:paraId="78C6C0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ascii="Times New Roman" w:hAnsi="Times New Roman" w:eastAsia="Times New Roman" w:cs="Times New Roman"/>
                <w:spacing w:val="4"/>
                <w:sz w:val="21"/>
                <w:szCs w:val="21"/>
                <w:highlight w:val="none"/>
              </w:rPr>
              <w:t>≤</w:t>
            </w:r>
            <w:r>
              <w:rPr>
                <w:rFonts w:hint="eastAsia" w:eastAsia="宋体" w:cs="Times New Roman"/>
                <w:spacing w:val="4"/>
                <w:sz w:val="21"/>
                <w:szCs w:val="21"/>
                <w:highlight w:val="none"/>
                <w:lang w:val="en-US" w:eastAsia="zh-CN"/>
              </w:rPr>
              <w:t>250</w:t>
            </w:r>
          </w:p>
        </w:tc>
      </w:tr>
      <w:tr w14:paraId="3C9F7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1409CEC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19</w:t>
            </w:r>
          </w:p>
        </w:tc>
        <w:tc>
          <w:tcPr>
            <w:tcW w:w="1628" w:type="pct"/>
            <w:vAlign w:val="center"/>
          </w:tcPr>
          <w:p w14:paraId="43969C8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7"/>
                <w:sz w:val="21"/>
                <w:szCs w:val="21"/>
                <w:highlight w:val="none"/>
              </w:rPr>
              <w:t>硫酸盐</w:t>
            </w:r>
          </w:p>
        </w:tc>
        <w:tc>
          <w:tcPr>
            <w:tcW w:w="2444" w:type="pct"/>
            <w:tcBorders>
              <w:right w:val="single" w:color="000000" w:sz="10" w:space="0"/>
            </w:tcBorders>
            <w:vAlign w:val="center"/>
          </w:tcPr>
          <w:p w14:paraId="4CD817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≤250</w:t>
            </w:r>
          </w:p>
        </w:tc>
      </w:tr>
      <w:tr w14:paraId="3BBAA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444ECD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20</w:t>
            </w:r>
          </w:p>
        </w:tc>
        <w:tc>
          <w:tcPr>
            <w:tcW w:w="1628" w:type="pct"/>
            <w:vAlign w:val="center"/>
          </w:tcPr>
          <w:p w14:paraId="2D35616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sz w:val="21"/>
                <w:szCs w:val="21"/>
                <w:highlight w:val="none"/>
                <w:lang w:val="en-US" w:eastAsia="zh-CN"/>
              </w:rPr>
            </w:pPr>
            <w:r>
              <w:rPr>
                <w:rFonts w:hint="eastAsia"/>
                <w:spacing w:val="7"/>
                <w:sz w:val="21"/>
                <w:szCs w:val="21"/>
                <w:highlight w:val="none"/>
                <w:lang w:val="en-US" w:eastAsia="zh-CN"/>
              </w:rPr>
              <w:t>溶解性总固体</w:t>
            </w:r>
          </w:p>
        </w:tc>
        <w:tc>
          <w:tcPr>
            <w:tcW w:w="2444" w:type="pct"/>
            <w:tcBorders>
              <w:right w:val="single" w:color="000000" w:sz="10" w:space="0"/>
            </w:tcBorders>
            <w:vAlign w:val="center"/>
          </w:tcPr>
          <w:p w14:paraId="69BFF3D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ascii="Times New Roman" w:hAnsi="Times New Roman" w:eastAsia="Times New Roman" w:cs="Times New Roman"/>
                <w:spacing w:val="4"/>
                <w:sz w:val="21"/>
                <w:szCs w:val="21"/>
                <w:highlight w:val="none"/>
              </w:rPr>
              <w:t>≤</w:t>
            </w:r>
            <w:r>
              <w:rPr>
                <w:rFonts w:hint="eastAsia" w:eastAsia="宋体" w:cs="Times New Roman"/>
                <w:spacing w:val="4"/>
                <w:sz w:val="21"/>
                <w:szCs w:val="21"/>
                <w:highlight w:val="none"/>
                <w:lang w:val="en-US" w:eastAsia="zh-CN"/>
              </w:rPr>
              <w:t>1000</w:t>
            </w:r>
          </w:p>
        </w:tc>
      </w:tr>
      <w:tr w14:paraId="442BA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794295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21</w:t>
            </w:r>
          </w:p>
        </w:tc>
        <w:tc>
          <w:tcPr>
            <w:tcW w:w="1628" w:type="pct"/>
            <w:vAlign w:val="center"/>
          </w:tcPr>
          <w:p w14:paraId="5475B84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6"/>
                <w:sz w:val="21"/>
                <w:szCs w:val="21"/>
                <w:highlight w:val="none"/>
              </w:rPr>
              <w:t>氟化物</w:t>
            </w:r>
          </w:p>
        </w:tc>
        <w:tc>
          <w:tcPr>
            <w:tcW w:w="2444" w:type="pct"/>
            <w:tcBorders>
              <w:right w:val="single" w:color="000000" w:sz="10" w:space="0"/>
            </w:tcBorders>
            <w:vAlign w:val="center"/>
          </w:tcPr>
          <w:p w14:paraId="362718C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Times New Roman" w:cs="Times New Roman"/>
                <w:spacing w:val="4"/>
                <w:sz w:val="21"/>
                <w:szCs w:val="21"/>
                <w:highlight w:val="none"/>
              </w:rPr>
              <w:t>≤</w:t>
            </w:r>
            <w:r>
              <w:rPr>
                <w:rFonts w:hint="eastAsia" w:eastAsia="宋体" w:cs="Times New Roman"/>
                <w:spacing w:val="4"/>
                <w:sz w:val="21"/>
                <w:szCs w:val="21"/>
                <w:highlight w:val="none"/>
                <w:lang w:val="en-US" w:eastAsia="zh-CN"/>
              </w:rPr>
              <w:t>1</w:t>
            </w:r>
          </w:p>
        </w:tc>
      </w:tr>
      <w:tr w14:paraId="41BA4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5D9F99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22</w:t>
            </w:r>
          </w:p>
        </w:tc>
        <w:tc>
          <w:tcPr>
            <w:tcW w:w="1628" w:type="pct"/>
            <w:vAlign w:val="center"/>
          </w:tcPr>
          <w:p w14:paraId="61E004C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sz w:val="21"/>
                <w:szCs w:val="21"/>
                <w:highlight w:val="none"/>
                <w:lang w:val="en-US" w:eastAsia="zh-CN"/>
              </w:rPr>
            </w:pPr>
            <w:r>
              <w:rPr>
                <w:spacing w:val="7"/>
                <w:sz w:val="21"/>
                <w:szCs w:val="21"/>
                <w:highlight w:val="none"/>
              </w:rPr>
              <w:t>挥发</w:t>
            </w:r>
            <w:r>
              <w:rPr>
                <w:rFonts w:hint="eastAsia"/>
                <w:spacing w:val="7"/>
                <w:sz w:val="21"/>
                <w:szCs w:val="21"/>
                <w:highlight w:val="none"/>
                <w:lang w:val="en-US" w:eastAsia="zh-CN"/>
              </w:rPr>
              <w:t>性</w:t>
            </w:r>
            <w:r>
              <w:rPr>
                <w:spacing w:val="7"/>
                <w:sz w:val="21"/>
                <w:szCs w:val="21"/>
                <w:highlight w:val="none"/>
              </w:rPr>
              <w:t>酚</w:t>
            </w:r>
            <w:r>
              <w:rPr>
                <w:rFonts w:hint="eastAsia"/>
                <w:spacing w:val="7"/>
                <w:sz w:val="21"/>
                <w:szCs w:val="21"/>
                <w:highlight w:val="none"/>
                <w:lang w:val="en-US" w:eastAsia="zh-CN"/>
              </w:rPr>
              <w:t>类</w:t>
            </w:r>
          </w:p>
        </w:tc>
        <w:tc>
          <w:tcPr>
            <w:tcW w:w="2444" w:type="pct"/>
            <w:tcBorders>
              <w:right w:val="single" w:color="000000" w:sz="10" w:space="0"/>
            </w:tcBorders>
            <w:vAlign w:val="center"/>
          </w:tcPr>
          <w:p w14:paraId="35F52EA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w:t>
            </w:r>
            <w:r>
              <w:rPr>
                <w:rFonts w:ascii="Times New Roman" w:hAnsi="Times New Roman" w:eastAsia="Times New Roman" w:cs="Times New Roman"/>
                <w:spacing w:val="3"/>
                <w:sz w:val="20"/>
                <w:szCs w:val="20"/>
                <w:highlight w:val="none"/>
              </w:rPr>
              <w:t>0.002</w:t>
            </w:r>
          </w:p>
        </w:tc>
      </w:tr>
      <w:tr w14:paraId="2B8D0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68679A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23</w:t>
            </w:r>
          </w:p>
        </w:tc>
        <w:tc>
          <w:tcPr>
            <w:tcW w:w="1628" w:type="pct"/>
            <w:vAlign w:val="center"/>
          </w:tcPr>
          <w:p w14:paraId="77B5658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2"/>
                <w:sz w:val="21"/>
                <w:szCs w:val="21"/>
                <w:highlight w:val="none"/>
              </w:rPr>
              <w:t>镉</w:t>
            </w:r>
          </w:p>
        </w:tc>
        <w:tc>
          <w:tcPr>
            <w:tcW w:w="2444" w:type="pct"/>
            <w:tcBorders>
              <w:right w:val="single" w:color="000000" w:sz="10" w:space="0"/>
            </w:tcBorders>
            <w:vAlign w:val="center"/>
          </w:tcPr>
          <w:p w14:paraId="245D9E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z w:val="21"/>
                <w:szCs w:val="21"/>
                <w:highlight w:val="none"/>
                <w:lang w:eastAsia="zh-CN"/>
              </w:rPr>
            </w:pPr>
            <w:r>
              <w:rPr>
                <w:rFonts w:ascii="Times New Roman" w:hAnsi="Times New Roman" w:eastAsia="Times New Roman" w:cs="Times New Roman"/>
                <w:spacing w:val="4"/>
                <w:sz w:val="21"/>
                <w:szCs w:val="21"/>
                <w:highlight w:val="none"/>
              </w:rPr>
              <w:t>≤0.00</w:t>
            </w:r>
            <w:r>
              <w:rPr>
                <w:rFonts w:hint="eastAsia" w:eastAsia="宋体" w:cs="Times New Roman"/>
                <w:spacing w:val="4"/>
                <w:sz w:val="21"/>
                <w:szCs w:val="21"/>
                <w:highlight w:val="none"/>
                <w:lang w:val="en-US" w:eastAsia="zh-CN"/>
              </w:rPr>
              <w:t>5</w:t>
            </w:r>
          </w:p>
        </w:tc>
      </w:tr>
      <w:tr w14:paraId="70C17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4AD3869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24</w:t>
            </w:r>
          </w:p>
        </w:tc>
        <w:tc>
          <w:tcPr>
            <w:tcW w:w="1628" w:type="pct"/>
            <w:vAlign w:val="center"/>
          </w:tcPr>
          <w:p w14:paraId="1681CF9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1"/>
                <w:sz w:val="21"/>
                <w:szCs w:val="21"/>
                <w:highlight w:val="none"/>
              </w:rPr>
              <w:t>铁</w:t>
            </w:r>
          </w:p>
        </w:tc>
        <w:tc>
          <w:tcPr>
            <w:tcW w:w="2444" w:type="pct"/>
            <w:tcBorders>
              <w:right w:val="single" w:color="000000" w:sz="10" w:space="0"/>
            </w:tcBorders>
            <w:vAlign w:val="center"/>
          </w:tcPr>
          <w:p w14:paraId="17ED54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≤0.3</w:t>
            </w:r>
          </w:p>
        </w:tc>
      </w:tr>
      <w:tr w14:paraId="5AF87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jc w:val="center"/>
        </w:trPr>
        <w:tc>
          <w:tcPr>
            <w:tcW w:w="927" w:type="pct"/>
            <w:tcBorders>
              <w:left w:val="single" w:color="000000" w:sz="10" w:space="0"/>
            </w:tcBorders>
            <w:vAlign w:val="center"/>
          </w:tcPr>
          <w:p w14:paraId="13B248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25</w:t>
            </w:r>
          </w:p>
        </w:tc>
        <w:tc>
          <w:tcPr>
            <w:tcW w:w="1628" w:type="pct"/>
            <w:vAlign w:val="center"/>
          </w:tcPr>
          <w:p w14:paraId="3C89144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z w:val="21"/>
                <w:szCs w:val="21"/>
                <w:highlight w:val="none"/>
              </w:rPr>
              <w:t>铅</w:t>
            </w:r>
          </w:p>
        </w:tc>
        <w:tc>
          <w:tcPr>
            <w:tcW w:w="2444" w:type="pct"/>
            <w:tcBorders>
              <w:right w:val="single" w:color="000000" w:sz="10" w:space="0"/>
            </w:tcBorders>
            <w:vAlign w:val="center"/>
          </w:tcPr>
          <w:p w14:paraId="040A119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4"/>
                <w:sz w:val="21"/>
                <w:szCs w:val="21"/>
                <w:highlight w:val="none"/>
              </w:rPr>
              <w:t>≤0.01</w:t>
            </w:r>
          </w:p>
        </w:tc>
      </w:tr>
      <w:tr w14:paraId="6FC38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927" w:type="pct"/>
            <w:tcBorders>
              <w:left w:val="single" w:color="000000" w:sz="10" w:space="0"/>
            </w:tcBorders>
            <w:vAlign w:val="center"/>
          </w:tcPr>
          <w:p w14:paraId="1E7289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26</w:t>
            </w:r>
          </w:p>
        </w:tc>
        <w:tc>
          <w:tcPr>
            <w:tcW w:w="1628" w:type="pct"/>
            <w:vAlign w:val="center"/>
          </w:tcPr>
          <w:p w14:paraId="29386DC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z w:val="21"/>
                <w:szCs w:val="21"/>
                <w:highlight w:val="none"/>
              </w:rPr>
              <w:t>锰</w:t>
            </w:r>
          </w:p>
        </w:tc>
        <w:tc>
          <w:tcPr>
            <w:tcW w:w="2444" w:type="pct"/>
            <w:tcBorders>
              <w:right w:val="single" w:color="000000" w:sz="10" w:space="0"/>
            </w:tcBorders>
            <w:vAlign w:val="center"/>
          </w:tcPr>
          <w:p w14:paraId="1662EB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z w:val="21"/>
                <w:szCs w:val="21"/>
                <w:highlight w:val="none"/>
                <w:lang w:eastAsia="zh-CN"/>
              </w:rPr>
            </w:pPr>
            <w:r>
              <w:rPr>
                <w:rFonts w:ascii="Times New Roman" w:hAnsi="Times New Roman" w:eastAsia="Times New Roman" w:cs="Times New Roman"/>
                <w:spacing w:val="4"/>
                <w:sz w:val="21"/>
                <w:szCs w:val="21"/>
                <w:highlight w:val="none"/>
              </w:rPr>
              <w:t>≤0.</w:t>
            </w:r>
            <w:r>
              <w:rPr>
                <w:rFonts w:hint="eastAsia" w:eastAsia="宋体" w:cs="Times New Roman"/>
                <w:spacing w:val="4"/>
                <w:sz w:val="21"/>
                <w:szCs w:val="21"/>
                <w:highlight w:val="none"/>
                <w:lang w:val="en-US" w:eastAsia="zh-CN"/>
              </w:rPr>
              <w:t>1</w:t>
            </w:r>
          </w:p>
        </w:tc>
      </w:tr>
      <w:tr w14:paraId="0F308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927" w:type="pct"/>
            <w:tcBorders>
              <w:left w:val="single" w:color="000000" w:sz="10" w:space="0"/>
            </w:tcBorders>
            <w:vAlign w:val="center"/>
          </w:tcPr>
          <w:p w14:paraId="5072B1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27</w:t>
            </w:r>
          </w:p>
        </w:tc>
        <w:tc>
          <w:tcPr>
            <w:tcW w:w="1628" w:type="pct"/>
            <w:vAlign w:val="center"/>
          </w:tcPr>
          <w:p w14:paraId="6A5464D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7"/>
                <w:sz w:val="21"/>
                <w:szCs w:val="21"/>
                <w:highlight w:val="none"/>
              </w:rPr>
              <w:t>总大肠菌群</w:t>
            </w:r>
          </w:p>
        </w:tc>
        <w:tc>
          <w:tcPr>
            <w:tcW w:w="2444" w:type="pct"/>
            <w:tcBorders>
              <w:right w:val="single" w:color="000000" w:sz="10" w:space="0"/>
            </w:tcBorders>
            <w:vAlign w:val="center"/>
          </w:tcPr>
          <w:p w14:paraId="70F934E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ascii="Times New Roman" w:hAnsi="Times New Roman" w:eastAsia="Times New Roman" w:cs="Times New Roman"/>
                <w:spacing w:val="4"/>
                <w:sz w:val="21"/>
                <w:szCs w:val="21"/>
                <w:highlight w:val="none"/>
              </w:rPr>
              <w:t>≤</w:t>
            </w:r>
            <w:r>
              <w:rPr>
                <w:rFonts w:ascii="Times New Roman" w:hAnsi="Times New Roman" w:eastAsia="Times New Roman" w:cs="Times New Roman"/>
                <w:spacing w:val="7"/>
                <w:sz w:val="20"/>
                <w:szCs w:val="20"/>
                <w:highlight w:val="none"/>
              </w:rPr>
              <w:t>3</w:t>
            </w:r>
            <w:r>
              <w:rPr>
                <w:rFonts w:ascii="Times New Roman" w:hAnsi="Times New Roman" w:eastAsia="Times New Roman" w:cs="Times New Roman"/>
                <w:sz w:val="20"/>
                <w:szCs w:val="20"/>
                <w:highlight w:val="none"/>
              </w:rPr>
              <w:t>MPN</w:t>
            </w:r>
            <w:r>
              <w:rPr>
                <w:rFonts w:ascii="Times New Roman" w:hAnsi="Times New Roman" w:eastAsia="Times New Roman" w:cs="Times New Roman"/>
                <w:spacing w:val="7"/>
                <w:sz w:val="20"/>
                <w:szCs w:val="20"/>
                <w:highlight w:val="none"/>
              </w:rPr>
              <w:t>/</w:t>
            </w:r>
            <w:r>
              <w:rPr>
                <w:rFonts w:hint="eastAsia" w:ascii="Times New Roman" w:hAnsi="Times New Roman" w:eastAsia="宋体" w:cs="Times New Roman"/>
                <w:spacing w:val="7"/>
                <w:sz w:val="20"/>
                <w:szCs w:val="20"/>
                <w:highlight w:val="none"/>
                <w:lang w:val="en-US" w:eastAsia="zh-CN"/>
              </w:rPr>
              <w:t>100mL</w:t>
            </w:r>
          </w:p>
        </w:tc>
      </w:tr>
      <w:tr w14:paraId="0B29F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927" w:type="pct"/>
            <w:tcBorders>
              <w:left w:val="single" w:color="000000" w:sz="10" w:space="0"/>
            </w:tcBorders>
            <w:vAlign w:val="center"/>
          </w:tcPr>
          <w:p w14:paraId="58131F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lang w:val="en-US" w:eastAsia="zh-CN"/>
              </w:rPr>
            </w:pPr>
            <w:r>
              <w:rPr>
                <w:rFonts w:hint="eastAsia" w:eastAsia="宋体" w:cs="Times New Roman"/>
                <w:spacing w:val="2"/>
                <w:sz w:val="21"/>
                <w:szCs w:val="21"/>
                <w:highlight w:val="none"/>
                <w:lang w:val="en-US" w:eastAsia="zh-CN"/>
              </w:rPr>
              <w:t>28</w:t>
            </w:r>
          </w:p>
        </w:tc>
        <w:tc>
          <w:tcPr>
            <w:tcW w:w="1628" w:type="pct"/>
            <w:vAlign w:val="center"/>
          </w:tcPr>
          <w:p w14:paraId="042B62D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spacing w:val="7"/>
                <w:sz w:val="21"/>
                <w:szCs w:val="21"/>
                <w:highlight w:val="none"/>
                <w:lang w:val="en-US" w:eastAsia="zh-CN"/>
              </w:rPr>
            </w:pPr>
            <w:r>
              <w:rPr>
                <w:rFonts w:hint="eastAsia"/>
                <w:spacing w:val="7"/>
                <w:sz w:val="21"/>
                <w:szCs w:val="21"/>
                <w:highlight w:val="none"/>
                <w:lang w:val="en-US" w:eastAsia="zh-CN"/>
              </w:rPr>
              <w:t>耗氧量</w:t>
            </w:r>
          </w:p>
        </w:tc>
        <w:tc>
          <w:tcPr>
            <w:tcW w:w="2444" w:type="pct"/>
            <w:tcBorders>
              <w:right w:val="single" w:color="000000" w:sz="10" w:space="0"/>
            </w:tcBorders>
            <w:vAlign w:val="center"/>
          </w:tcPr>
          <w:p w14:paraId="39E057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pacing w:val="4"/>
                <w:sz w:val="21"/>
                <w:szCs w:val="21"/>
                <w:highlight w:val="none"/>
                <w:lang w:val="en-US" w:eastAsia="zh-CN"/>
              </w:rPr>
            </w:pPr>
            <w:r>
              <w:rPr>
                <w:rFonts w:ascii="Times New Roman" w:hAnsi="Times New Roman" w:eastAsia="Times New Roman" w:cs="Times New Roman"/>
                <w:spacing w:val="4"/>
                <w:sz w:val="21"/>
                <w:szCs w:val="21"/>
                <w:highlight w:val="none"/>
              </w:rPr>
              <w:t>≤</w:t>
            </w:r>
            <w:r>
              <w:rPr>
                <w:rFonts w:hint="eastAsia" w:eastAsia="宋体" w:cs="Times New Roman"/>
                <w:spacing w:val="4"/>
                <w:sz w:val="21"/>
                <w:szCs w:val="21"/>
                <w:highlight w:val="none"/>
                <w:lang w:val="en-US" w:eastAsia="zh-CN"/>
              </w:rPr>
              <w:t>3</w:t>
            </w:r>
          </w:p>
        </w:tc>
      </w:tr>
      <w:tr w14:paraId="482BD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927" w:type="pct"/>
            <w:tcBorders>
              <w:left w:val="single" w:color="000000" w:sz="10" w:space="0"/>
            </w:tcBorders>
            <w:vAlign w:val="center"/>
          </w:tcPr>
          <w:p w14:paraId="16B91E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lang w:val="en-US" w:eastAsia="zh-CN"/>
              </w:rPr>
            </w:pPr>
            <w:r>
              <w:rPr>
                <w:rFonts w:hint="eastAsia" w:eastAsia="宋体" w:cs="Times New Roman"/>
                <w:spacing w:val="2"/>
                <w:sz w:val="21"/>
                <w:szCs w:val="21"/>
                <w:highlight w:val="none"/>
                <w:lang w:val="en-US" w:eastAsia="zh-CN"/>
              </w:rPr>
              <w:t>29</w:t>
            </w:r>
          </w:p>
        </w:tc>
        <w:tc>
          <w:tcPr>
            <w:tcW w:w="1628" w:type="pct"/>
            <w:vAlign w:val="center"/>
          </w:tcPr>
          <w:p w14:paraId="017B879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spacing w:val="7"/>
                <w:sz w:val="21"/>
                <w:szCs w:val="21"/>
                <w:highlight w:val="none"/>
                <w:lang w:val="en-US" w:eastAsia="zh-CN"/>
              </w:rPr>
            </w:pPr>
            <w:r>
              <w:rPr>
                <w:rFonts w:hint="eastAsia"/>
                <w:spacing w:val="7"/>
                <w:sz w:val="21"/>
                <w:szCs w:val="21"/>
                <w:highlight w:val="none"/>
                <w:lang w:val="en-US" w:eastAsia="zh-CN"/>
              </w:rPr>
              <w:t>细菌总数</w:t>
            </w:r>
          </w:p>
        </w:tc>
        <w:tc>
          <w:tcPr>
            <w:tcW w:w="2444" w:type="pct"/>
            <w:tcBorders>
              <w:right w:val="single" w:color="000000" w:sz="10" w:space="0"/>
            </w:tcBorders>
            <w:vAlign w:val="center"/>
          </w:tcPr>
          <w:p w14:paraId="32F7F76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4"/>
                <w:sz w:val="21"/>
                <w:szCs w:val="21"/>
                <w:highlight w:val="none"/>
                <w:lang w:val="en-US" w:eastAsia="zh-CN"/>
              </w:rPr>
            </w:pPr>
            <w:r>
              <w:rPr>
                <w:rFonts w:ascii="Times New Roman" w:hAnsi="Times New Roman" w:eastAsia="Times New Roman" w:cs="Times New Roman"/>
                <w:spacing w:val="4"/>
                <w:sz w:val="21"/>
                <w:szCs w:val="21"/>
                <w:highlight w:val="none"/>
              </w:rPr>
              <w:t>≤</w:t>
            </w:r>
            <w:r>
              <w:rPr>
                <w:rFonts w:hint="eastAsia" w:eastAsia="宋体" w:cs="Times New Roman"/>
                <w:spacing w:val="4"/>
                <w:sz w:val="21"/>
                <w:szCs w:val="21"/>
                <w:highlight w:val="none"/>
                <w:lang w:val="en-US" w:eastAsia="zh-CN"/>
              </w:rPr>
              <w:t>100CFU/mL</w:t>
            </w:r>
          </w:p>
        </w:tc>
      </w:tr>
      <w:tr w14:paraId="30B15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927" w:type="pct"/>
            <w:tcBorders>
              <w:left w:val="single" w:color="000000" w:sz="10" w:space="0"/>
            </w:tcBorders>
            <w:vAlign w:val="center"/>
          </w:tcPr>
          <w:p w14:paraId="293C99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lang w:val="en-US" w:eastAsia="zh-CN"/>
              </w:rPr>
            </w:pPr>
            <w:r>
              <w:rPr>
                <w:rFonts w:hint="eastAsia" w:eastAsia="宋体" w:cs="Times New Roman"/>
                <w:spacing w:val="2"/>
                <w:sz w:val="21"/>
                <w:szCs w:val="21"/>
                <w:highlight w:val="none"/>
                <w:lang w:val="en-US" w:eastAsia="zh-CN"/>
              </w:rPr>
              <w:t>30</w:t>
            </w:r>
          </w:p>
        </w:tc>
        <w:tc>
          <w:tcPr>
            <w:tcW w:w="1628" w:type="pct"/>
            <w:vAlign w:val="center"/>
          </w:tcPr>
          <w:p w14:paraId="334745B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spacing w:val="7"/>
                <w:sz w:val="21"/>
                <w:szCs w:val="21"/>
                <w:highlight w:val="none"/>
                <w:lang w:val="en-US" w:eastAsia="zh-CN"/>
              </w:rPr>
            </w:pPr>
            <w:r>
              <w:rPr>
                <w:rFonts w:hint="eastAsia" w:eastAsia="宋体" w:cs="Times New Roman"/>
                <w:sz w:val="21"/>
                <w:szCs w:val="21"/>
                <w:highlight w:val="none"/>
                <w:lang w:val="en-US" w:eastAsia="zh-CN"/>
              </w:rPr>
              <w:t>阴离子表面活性剂</w:t>
            </w:r>
          </w:p>
        </w:tc>
        <w:tc>
          <w:tcPr>
            <w:tcW w:w="2444" w:type="pct"/>
            <w:tcBorders>
              <w:right w:val="single" w:color="000000" w:sz="10" w:space="0"/>
            </w:tcBorders>
            <w:vAlign w:val="center"/>
          </w:tcPr>
          <w:p w14:paraId="32EEAF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4"/>
                <w:sz w:val="21"/>
                <w:szCs w:val="21"/>
                <w:highlight w:val="none"/>
                <w:lang w:val="en-US" w:eastAsia="zh-CN"/>
              </w:rPr>
            </w:pPr>
            <w:r>
              <w:rPr>
                <w:rFonts w:ascii="Times New Roman" w:hAnsi="Times New Roman" w:eastAsia="Times New Roman" w:cs="Times New Roman"/>
                <w:spacing w:val="4"/>
                <w:sz w:val="21"/>
                <w:szCs w:val="21"/>
                <w:highlight w:val="none"/>
              </w:rPr>
              <w:t>≤</w:t>
            </w:r>
            <w:r>
              <w:rPr>
                <w:rFonts w:hint="eastAsia" w:eastAsia="宋体" w:cs="Times New Roman"/>
                <w:spacing w:val="4"/>
                <w:sz w:val="21"/>
                <w:szCs w:val="21"/>
                <w:highlight w:val="none"/>
                <w:lang w:val="en-US" w:eastAsia="zh-CN"/>
              </w:rPr>
              <w:t>0.3</w:t>
            </w:r>
          </w:p>
        </w:tc>
      </w:tr>
      <w:tr w14:paraId="09FBD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927" w:type="pct"/>
            <w:tcBorders>
              <w:left w:val="single" w:color="000000" w:sz="10" w:space="0"/>
              <w:bottom w:val="single" w:color="000000" w:sz="10" w:space="0"/>
            </w:tcBorders>
            <w:vAlign w:val="center"/>
          </w:tcPr>
          <w:p w14:paraId="7C179C6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
                <w:sz w:val="21"/>
                <w:szCs w:val="21"/>
                <w:highlight w:val="none"/>
                <w:lang w:val="en-US" w:eastAsia="zh-CN"/>
              </w:rPr>
            </w:pPr>
            <w:r>
              <w:rPr>
                <w:rFonts w:hint="eastAsia" w:eastAsia="宋体" w:cs="Times New Roman"/>
                <w:spacing w:val="2"/>
                <w:sz w:val="21"/>
                <w:szCs w:val="21"/>
                <w:highlight w:val="none"/>
                <w:lang w:val="en-US" w:eastAsia="zh-CN"/>
              </w:rPr>
              <w:t>31</w:t>
            </w:r>
          </w:p>
        </w:tc>
        <w:tc>
          <w:tcPr>
            <w:tcW w:w="1628" w:type="pct"/>
            <w:tcBorders>
              <w:bottom w:val="single" w:color="000000" w:sz="10" w:space="0"/>
            </w:tcBorders>
            <w:vAlign w:val="center"/>
          </w:tcPr>
          <w:p w14:paraId="6B5D0A7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sz w:val="21"/>
                <w:szCs w:val="21"/>
                <w:highlight w:val="none"/>
                <w:lang w:val="en-US" w:eastAsia="zh-CN"/>
              </w:rPr>
            </w:pPr>
            <w:r>
              <w:rPr>
                <w:rFonts w:hint="eastAsia" w:cs="Times New Roman"/>
                <w:sz w:val="21"/>
                <w:szCs w:val="21"/>
                <w:highlight w:val="none"/>
                <w:lang w:val="en-US" w:eastAsia="zh-CN"/>
              </w:rPr>
              <w:t>石油类</w:t>
            </w:r>
          </w:p>
        </w:tc>
        <w:tc>
          <w:tcPr>
            <w:tcW w:w="2444" w:type="pct"/>
            <w:tcBorders>
              <w:bottom w:val="single" w:color="000000" w:sz="10" w:space="0"/>
              <w:right w:val="single" w:color="000000" w:sz="10" w:space="0"/>
            </w:tcBorders>
            <w:vAlign w:val="center"/>
          </w:tcPr>
          <w:p w14:paraId="518F25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pacing w:val="4"/>
                <w:sz w:val="21"/>
                <w:szCs w:val="21"/>
                <w:highlight w:val="none"/>
                <w:lang w:val="en-US" w:eastAsia="zh-CN"/>
              </w:rPr>
            </w:pPr>
            <w:r>
              <w:rPr>
                <w:rFonts w:hint="eastAsia" w:eastAsia="宋体" w:cs="Times New Roman"/>
                <w:spacing w:val="4"/>
                <w:sz w:val="21"/>
                <w:szCs w:val="21"/>
                <w:highlight w:val="none"/>
                <w:lang w:val="en-US" w:eastAsia="zh-CN"/>
              </w:rPr>
              <w:t>/</w:t>
            </w:r>
          </w:p>
        </w:tc>
      </w:tr>
    </w:tbl>
    <w:p w14:paraId="576CC8F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（3）声环境质量标准</w:t>
      </w:r>
    </w:p>
    <w:p w14:paraId="1FD40D8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厂址200米范围内居民敏感点执行《声环境质量标准》（GB3096-2008）中的 2 类标准，东厂界、北厂界、南厂界执行《声环境质量标准》（GB3096-2008）中的3 类区标准；西厂界靠近二级公路和高铁铁路干线，因此西厂界执行《声环境质量标准》（GB3096-2008）中的4 b类区标准。</w:t>
      </w:r>
    </w:p>
    <w:p w14:paraId="6D16869F">
      <w:pPr>
        <w:keepNext w:val="0"/>
        <w:keepLines w:val="0"/>
        <w:pageBreakBefore w:val="0"/>
        <w:widowControl w:val="0"/>
        <w:kinsoku/>
        <w:wordWrap/>
        <w:overflowPunct/>
        <w:topLinePunct w:val="0"/>
        <w:autoSpaceDE/>
        <w:autoSpaceDN/>
        <w:bidi w:val="0"/>
        <w:adjustRightInd/>
        <w:snapToGrid/>
        <w:spacing w:line="360" w:lineRule="auto"/>
        <w:ind w:left="0" w:firstLine="454" w:firstLineChars="200"/>
        <w:jc w:val="center"/>
        <w:textAlignment w:val="auto"/>
        <w:rPr>
          <w:rFonts w:hint="eastAsia" w:ascii="Times New Roman" w:hAnsi="Times New Roman" w:eastAsia="宋体" w:cs="Times New Roman"/>
          <w:b/>
          <w:bCs/>
          <w:spacing w:val="-7"/>
          <w:kern w:val="0"/>
          <w:sz w:val="24"/>
          <w:szCs w:val="20"/>
          <w:highlight w:val="none"/>
          <w:lang w:val="en-US" w:eastAsia="zh-CN" w:bidi="ar-SA"/>
        </w:rPr>
      </w:pPr>
      <w:r>
        <w:rPr>
          <w:rFonts w:hint="eastAsia" w:ascii="Times New Roman" w:hAnsi="Times New Roman" w:eastAsia="宋体" w:cs="Times New Roman"/>
          <w:b/>
          <w:bCs/>
          <w:spacing w:val="-7"/>
          <w:kern w:val="0"/>
          <w:sz w:val="24"/>
          <w:szCs w:val="20"/>
          <w:highlight w:val="none"/>
          <w:lang w:val="en-US" w:eastAsia="zh-CN" w:bidi="ar-SA"/>
        </w:rPr>
        <w:t>表 2.4-</w:t>
      </w:r>
      <w:r>
        <w:rPr>
          <w:rFonts w:hint="eastAsia" w:eastAsia="宋体" w:cs="Times New Roman"/>
          <w:b/>
          <w:bCs/>
          <w:spacing w:val="-7"/>
          <w:kern w:val="0"/>
          <w:sz w:val="24"/>
          <w:szCs w:val="20"/>
          <w:highlight w:val="none"/>
          <w:lang w:val="en-US" w:eastAsia="zh-CN" w:bidi="ar-SA"/>
        </w:rPr>
        <w:t>4</w:t>
      </w:r>
      <w:r>
        <w:rPr>
          <w:rFonts w:hint="eastAsia" w:ascii="Times New Roman" w:hAnsi="Times New Roman" w:eastAsia="宋体" w:cs="Times New Roman"/>
          <w:b/>
          <w:bCs/>
          <w:spacing w:val="-7"/>
          <w:kern w:val="0"/>
          <w:sz w:val="24"/>
          <w:szCs w:val="20"/>
          <w:highlight w:val="none"/>
          <w:lang w:val="en-US" w:eastAsia="zh-CN" w:bidi="ar-SA"/>
        </w:rPr>
        <w:t xml:space="preserve">    声环境质量标准    单位：dB（A）</w:t>
      </w:r>
    </w:p>
    <w:p w14:paraId="26AAE2F1">
      <w:pPr>
        <w:spacing w:line="66" w:lineRule="exact"/>
        <w:rPr>
          <w:highlight w:val="none"/>
        </w:rPr>
      </w:pP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784"/>
        <w:gridCol w:w="1948"/>
        <w:gridCol w:w="1590"/>
      </w:tblGrid>
      <w:tr w14:paraId="438A6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2873" w:type="pct"/>
            <w:tcBorders>
              <w:top w:val="single" w:color="000000" w:sz="10" w:space="0"/>
              <w:left w:val="single" w:color="000000" w:sz="10" w:space="0"/>
            </w:tcBorders>
            <w:vAlign w:val="center"/>
          </w:tcPr>
          <w:p w14:paraId="7BCDE71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pacing w:val="4"/>
                <w:highlight w:val="none"/>
              </w:rPr>
              <w:t>类别</w:t>
            </w:r>
          </w:p>
        </w:tc>
        <w:tc>
          <w:tcPr>
            <w:tcW w:w="1170" w:type="pct"/>
            <w:tcBorders>
              <w:top w:val="single" w:color="000000" w:sz="10" w:space="0"/>
            </w:tcBorders>
            <w:vAlign w:val="center"/>
          </w:tcPr>
          <w:p w14:paraId="5750305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pacing w:val="5"/>
                <w:highlight w:val="none"/>
              </w:rPr>
              <w:t>昼间</w:t>
            </w:r>
          </w:p>
        </w:tc>
        <w:tc>
          <w:tcPr>
            <w:tcW w:w="955" w:type="pct"/>
            <w:tcBorders>
              <w:top w:val="single" w:color="000000" w:sz="10" w:space="0"/>
              <w:right w:val="single" w:color="000000" w:sz="10" w:space="0"/>
            </w:tcBorders>
            <w:vAlign w:val="center"/>
          </w:tcPr>
          <w:p w14:paraId="5A14522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spacing w:val="3"/>
                <w:highlight w:val="none"/>
              </w:rPr>
              <w:t>夜间</w:t>
            </w:r>
          </w:p>
        </w:tc>
      </w:tr>
      <w:tr w14:paraId="7E4B3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2873" w:type="pct"/>
            <w:tcBorders>
              <w:left w:val="single" w:color="000000" w:sz="10" w:space="0"/>
            </w:tcBorders>
            <w:vAlign w:val="center"/>
          </w:tcPr>
          <w:p w14:paraId="5902C209">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highlight w:val="none"/>
              </w:rPr>
            </w:pPr>
            <w:r>
              <w:rPr>
                <w:rFonts w:ascii="Times New Roman" w:hAnsi="Times New Roman" w:eastAsia="Times New Roman" w:cs="Times New Roman"/>
                <w:highlight w:val="none"/>
              </w:rPr>
              <w:t>GB</w:t>
            </w:r>
            <w:r>
              <w:rPr>
                <w:rFonts w:ascii="Times New Roman" w:hAnsi="Times New Roman" w:eastAsia="Times New Roman" w:cs="Times New Roman"/>
                <w:spacing w:val="4"/>
                <w:highlight w:val="none"/>
              </w:rPr>
              <w:t>3096-2008</w:t>
            </w:r>
            <w:r>
              <w:rPr>
                <w:rFonts w:ascii="Times New Roman" w:hAnsi="Times New Roman" w:eastAsia="Times New Roman" w:cs="Times New Roman"/>
                <w:spacing w:val="32"/>
                <w:highlight w:val="none"/>
              </w:rPr>
              <w:t xml:space="preserve"> </w:t>
            </w:r>
            <w:r>
              <w:rPr>
                <w:spacing w:val="4"/>
                <w:highlight w:val="none"/>
              </w:rPr>
              <w:t>中</w:t>
            </w:r>
            <w:r>
              <w:rPr>
                <w:spacing w:val="-43"/>
                <w:highlight w:val="none"/>
              </w:rPr>
              <w:t xml:space="preserve"> </w:t>
            </w:r>
            <w:r>
              <w:rPr>
                <w:rFonts w:ascii="Times New Roman" w:hAnsi="Times New Roman" w:eastAsia="Times New Roman" w:cs="Times New Roman"/>
                <w:spacing w:val="4"/>
                <w:highlight w:val="none"/>
              </w:rPr>
              <w:t xml:space="preserve">2 </w:t>
            </w:r>
            <w:r>
              <w:rPr>
                <w:spacing w:val="4"/>
                <w:highlight w:val="none"/>
              </w:rPr>
              <w:t>类标准</w:t>
            </w:r>
          </w:p>
        </w:tc>
        <w:tc>
          <w:tcPr>
            <w:tcW w:w="1170" w:type="pct"/>
            <w:vAlign w:val="center"/>
          </w:tcPr>
          <w:p w14:paraId="220B76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4"/>
                <w:sz w:val="20"/>
                <w:szCs w:val="20"/>
                <w:highlight w:val="none"/>
              </w:rPr>
            </w:pPr>
            <w:r>
              <w:rPr>
                <w:rFonts w:ascii="Times New Roman" w:hAnsi="Times New Roman" w:eastAsia="Times New Roman" w:cs="Times New Roman"/>
                <w:spacing w:val="3"/>
                <w:sz w:val="20"/>
                <w:szCs w:val="20"/>
                <w:highlight w:val="none"/>
              </w:rPr>
              <w:t>≤60</w:t>
            </w:r>
          </w:p>
        </w:tc>
        <w:tc>
          <w:tcPr>
            <w:tcW w:w="955" w:type="pct"/>
            <w:tcBorders>
              <w:right w:val="single" w:color="000000" w:sz="10" w:space="0"/>
            </w:tcBorders>
            <w:vAlign w:val="center"/>
          </w:tcPr>
          <w:p w14:paraId="2CE6D9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4"/>
                <w:sz w:val="20"/>
                <w:szCs w:val="20"/>
                <w:highlight w:val="none"/>
              </w:rPr>
            </w:pPr>
            <w:r>
              <w:rPr>
                <w:rFonts w:ascii="Times New Roman" w:hAnsi="Times New Roman" w:eastAsia="Times New Roman" w:cs="Times New Roman"/>
                <w:spacing w:val="4"/>
                <w:sz w:val="20"/>
                <w:szCs w:val="20"/>
                <w:highlight w:val="none"/>
              </w:rPr>
              <w:t>≤50</w:t>
            </w:r>
          </w:p>
        </w:tc>
      </w:tr>
      <w:tr w14:paraId="0F70E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2873" w:type="pct"/>
            <w:tcBorders>
              <w:left w:val="single" w:color="000000" w:sz="10" w:space="0"/>
            </w:tcBorders>
            <w:vAlign w:val="center"/>
          </w:tcPr>
          <w:p w14:paraId="583AE60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GB</w:t>
            </w:r>
            <w:r>
              <w:rPr>
                <w:rFonts w:hint="default" w:ascii="Times New Roman" w:hAnsi="Times New Roman" w:eastAsia="宋体" w:cs="Times New Roman"/>
                <w:spacing w:val="3"/>
                <w:highlight w:val="none"/>
              </w:rPr>
              <w:t>3096-2008</w:t>
            </w:r>
            <w:r>
              <w:rPr>
                <w:rFonts w:hint="default" w:ascii="Times New Roman" w:hAnsi="Times New Roman" w:eastAsia="宋体" w:cs="Times New Roman"/>
                <w:spacing w:val="42"/>
                <w:w w:val="101"/>
                <w:highlight w:val="none"/>
              </w:rPr>
              <w:t xml:space="preserve"> </w:t>
            </w:r>
            <w:r>
              <w:rPr>
                <w:rFonts w:hint="default" w:ascii="Times New Roman" w:hAnsi="Times New Roman" w:eastAsia="宋体" w:cs="Times New Roman"/>
                <w:spacing w:val="3"/>
                <w:highlight w:val="none"/>
              </w:rPr>
              <w:t>中</w:t>
            </w:r>
            <w:r>
              <w:rPr>
                <w:rFonts w:hint="default" w:ascii="Times New Roman" w:hAnsi="Times New Roman" w:eastAsia="宋体" w:cs="Times New Roman"/>
                <w:spacing w:val="-39"/>
                <w:highlight w:val="none"/>
              </w:rPr>
              <w:t xml:space="preserve"> </w:t>
            </w:r>
            <w:r>
              <w:rPr>
                <w:rFonts w:hint="default" w:ascii="Times New Roman" w:hAnsi="Times New Roman" w:eastAsia="宋体" w:cs="Times New Roman"/>
                <w:spacing w:val="3"/>
                <w:highlight w:val="none"/>
              </w:rPr>
              <w:t>3 类标准</w:t>
            </w:r>
          </w:p>
        </w:tc>
        <w:tc>
          <w:tcPr>
            <w:tcW w:w="1170" w:type="pct"/>
            <w:vAlign w:val="center"/>
          </w:tcPr>
          <w:p w14:paraId="7C40E95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≤65</w:t>
            </w:r>
          </w:p>
        </w:tc>
        <w:tc>
          <w:tcPr>
            <w:tcW w:w="955" w:type="pct"/>
            <w:tcBorders>
              <w:right w:val="single" w:color="000000" w:sz="10" w:space="0"/>
            </w:tcBorders>
            <w:vAlign w:val="center"/>
          </w:tcPr>
          <w:p w14:paraId="7136E6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0"/>
                <w:szCs w:val="20"/>
                <w:highlight w:val="none"/>
              </w:rPr>
            </w:pPr>
            <w:r>
              <w:rPr>
                <w:rFonts w:hint="default" w:ascii="Times New Roman" w:hAnsi="Times New Roman" w:eastAsia="宋体" w:cs="Times New Roman"/>
                <w:spacing w:val="4"/>
                <w:sz w:val="20"/>
                <w:szCs w:val="20"/>
                <w:highlight w:val="none"/>
              </w:rPr>
              <w:t>≤55</w:t>
            </w:r>
          </w:p>
        </w:tc>
      </w:tr>
      <w:tr w14:paraId="0B1FF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2873" w:type="pct"/>
            <w:tcBorders>
              <w:left w:val="single" w:color="000000" w:sz="10" w:space="0"/>
              <w:bottom w:val="single" w:color="000000" w:sz="10" w:space="0"/>
            </w:tcBorders>
            <w:vAlign w:val="center"/>
          </w:tcPr>
          <w:p w14:paraId="738CE2B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GB</w:t>
            </w:r>
            <w:r>
              <w:rPr>
                <w:rFonts w:hint="default" w:ascii="Times New Roman" w:hAnsi="Times New Roman" w:eastAsia="宋体" w:cs="Times New Roman"/>
                <w:spacing w:val="4"/>
                <w:highlight w:val="none"/>
              </w:rPr>
              <w:t>3096-2008</w:t>
            </w:r>
            <w:r>
              <w:rPr>
                <w:rFonts w:hint="default" w:ascii="Times New Roman" w:hAnsi="Times New Roman" w:eastAsia="宋体" w:cs="Times New Roman"/>
                <w:spacing w:val="32"/>
                <w:highlight w:val="none"/>
              </w:rPr>
              <w:t xml:space="preserve"> </w:t>
            </w:r>
            <w:r>
              <w:rPr>
                <w:rFonts w:hint="default" w:ascii="Times New Roman" w:hAnsi="Times New Roman" w:eastAsia="宋体" w:cs="Times New Roman"/>
                <w:spacing w:val="4"/>
                <w:highlight w:val="none"/>
              </w:rPr>
              <w:t>中</w:t>
            </w:r>
            <w:r>
              <w:rPr>
                <w:rFonts w:hint="default" w:ascii="Times New Roman" w:hAnsi="Times New Roman" w:eastAsia="宋体" w:cs="Times New Roman"/>
                <w:spacing w:val="-43"/>
                <w:highlight w:val="none"/>
                <w:lang w:val="en-US" w:eastAsia="zh-CN"/>
              </w:rPr>
              <w:t>4</w:t>
            </w:r>
            <w:r>
              <w:rPr>
                <w:rFonts w:hint="default" w:ascii="Times New Roman" w:hAnsi="Times New Roman" w:eastAsia="宋体" w:cs="Times New Roman"/>
                <w:spacing w:val="4"/>
                <w:highlight w:val="none"/>
              </w:rPr>
              <w:t xml:space="preserve"> 类标准</w:t>
            </w:r>
          </w:p>
        </w:tc>
        <w:tc>
          <w:tcPr>
            <w:tcW w:w="1170" w:type="pct"/>
            <w:tcBorders>
              <w:bottom w:val="single" w:color="000000" w:sz="10" w:space="0"/>
            </w:tcBorders>
            <w:vAlign w:val="center"/>
          </w:tcPr>
          <w:p w14:paraId="377F30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pacing w:val="3"/>
                <w:sz w:val="20"/>
                <w:szCs w:val="20"/>
                <w:highlight w:val="none"/>
              </w:rPr>
              <w:t>≤</w:t>
            </w:r>
            <w:r>
              <w:rPr>
                <w:rFonts w:hint="default" w:ascii="Times New Roman" w:hAnsi="Times New Roman" w:eastAsia="宋体" w:cs="Times New Roman"/>
                <w:spacing w:val="3"/>
                <w:sz w:val="20"/>
                <w:szCs w:val="20"/>
                <w:highlight w:val="none"/>
                <w:lang w:val="en-US" w:eastAsia="zh-CN"/>
              </w:rPr>
              <w:t>70</w:t>
            </w:r>
          </w:p>
        </w:tc>
        <w:tc>
          <w:tcPr>
            <w:tcW w:w="955" w:type="pct"/>
            <w:tcBorders>
              <w:bottom w:val="single" w:color="000000" w:sz="10" w:space="0"/>
              <w:right w:val="single" w:color="000000" w:sz="10" w:space="0"/>
            </w:tcBorders>
            <w:vAlign w:val="center"/>
          </w:tcPr>
          <w:p w14:paraId="4FE393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default" w:ascii="Times New Roman" w:hAnsi="Times New Roman" w:eastAsia="宋体" w:cs="Times New Roman"/>
                <w:spacing w:val="4"/>
                <w:sz w:val="20"/>
                <w:szCs w:val="20"/>
                <w:highlight w:val="none"/>
              </w:rPr>
              <w:t>≤</w:t>
            </w:r>
            <w:r>
              <w:rPr>
                <w:rFonts w:hint="default" w:ascii="Times New Roman" w:hAnsi="Times New Roman" w:eastAsia="宋体" w:cs="Times New Roman"/>
                <w:spacing w:val="4"/>
                <w:sz w:val="20"/>
                <w:szCs w:val="20"/>
                <w:highlight w:val="none"/>
                <w:lang w:val="en-US" w:eastAsia="zh-CN"/>
              </w:rPr>
              <w:t>55</w:t>
            </w:r>
          </w:p>
        </w:tc>
      </w:tr>
    </w:tbl>
    <w:p w14:paraId="7CF917F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（4）土壤环境质量标准</w:t>
      </w:r>
    </w:p>
    <w:p w14:paraId="4D36D13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eastAsia="宋体" w:cs="Times New Roman"/>
          <w:color w:val="auto"/>
          <w:kern w:val="0"/>
          <w:sz w:val="24"/>
          <w:szCs w:val="20"/>
          <w:highlight w:val="none"/>
          <w:lang w:val="en-US" w:eastAsia="zh-CN" w:bidi="ar-SA"/>
        </w:rPr>
      </w:pPr>
      <w:r>
        <w:rPr>
          <w:rFonts w:hint="eastAsia" w:eastAsia="宋体" w:cs="Times New Roman"/>
          <w:color w:val="auto"/>
          <w:kern w:val="0"/>
          <w:sz w:val="24"/>
          <w:szCs w:val="20"/>
          <w:highlight w:val="none"/>
          <w:lang w:val="en-US" w:eastAsia="zh-CN" w:bidi="ar-SA"/>
        </w:rPr>
        <w:t>拟建地土壤执行《土壤环境质量建设用地土壤污染风险管控标准（试行）（GB36600-2018）</w:t>
      </w:r>
      <w:r>
        <w:rPr>
          <w:rFonts w:hint="default" w:eastAsia="宋体" w:cs="Times New Roman"/>
          <w:color w:val="auto"/>
          <w:kern w:val="0"/>
          <w:sz w:val="24"/>
          <w:szCs w:val="20"/>
          <w:highlight w:val="none"/>
          <w:lang w:val="en-US" w:eastAsia="zh-CN" w:bidi="ar-SA"/>
        </w:rPr>
        <w:t>第</w:t>
      </w:r>
      <w:r>
        <w:rPr>
          <w:rFonts w:hint="eastAsia" w:eastAsia="宋体" w:cs="Times New Roman"/>
          <w:color w:val="auto"/>
          <w:kern w:val="0"/>
          <w:sz w:val="24"/>
          <w:szCs w:val="20"/>
          <w:highlight w:val="none"/>
          <w:lang w:val="en-US" w:eastAsia="zh-CN" w:bidi="ar-SA"/>
        </w:rPr>
        <w:t>二</w:t>
      </w:r>
      <w:r>
        <w:rPr>
          <w:rFonts w:hint="default" w:eastAsia="宋体" w:cs="Times New Roman"/>
          <w:color w:val="auto"/>
          <w:kern w:val="0"/>
          <w:sz w:val="24"/>
          <w:szCs w:val="20"/>
          <w:highlight w:val="none"/>
          <w:lang w:val="en-US" w:eastAsia="zh-CN" w:bidi="ar-SA"/>
        </w:rPr>
        <w:t>类用地筛选值标准；厂区外</w:t>
      </w:r>
      <w:r>
        <w:rPr>
          <w:rFonts w:hint="eastAsia" w:eastAsia="宋体" w:cs="Times New Roman"/>
          <w:color w:val="auto"/>
          <w:kern w:val="0"/>
          <w:sz w:val="24"/>
          <w:szCs w:val="20"/>
          <w:highlight w:val="none"/>
          <w:lang w:val="en-US" w:eastAsia="zh-CN" w:bidi="ar-SA"/>
        </w:rPr>
        <w:t>农田</w:t>
      </w:r>
      <w:r>
        <w:rPr>
          <w:rFonts w:hint="default" w:eastAsia="宋体" w:cs="Times New Roman"/>
          <w:color w:val="auto"/>
          <w:kern w:val="0"/>
          <w:sz w:val="24"/>
          <w:szCs w:val="20"/>
          <w:highlight w:val="none"/>
          <w:lang w:val="en-US" w:eastAsia="zh-CN" w:bidi="ar-SA"/>
        </w:rPr>
        <w:t>土壤执行《土壤环境质量 农用地土壤污染风险管控标准（试行）》（GB15618-2018）筛选值标准</w:t>
      </w:r>
      <w:r>
        <w:rPr>
          <w:rFonts w:hint="eastAsia" w:eastAsia="宋体" w:cs="Times New Roman"/>
          <w:color w:val="auto"/>
          <w:kern w:val="0"/>
          <w:sz w:val="24"/>
          <w:szCs w:val="20"/>
          <w:highlight w:val="none"/>
          <w:lang w:val="en-US" w:eastAsia="zh-CN" w:bidi="ar-SA"/>
        </w:rPr>
        <w:t>。</w:t>
      </w:r>
    </w:p>
    <w:p w14:paraId="32F5619E">
      <w:pPr>
        <w:keepNext w:val="0"/>
        <w:keepLines w:val="0"/>
        <w:pageBreakBefore w:val="0"/>
        <w:widowControl w:val="0"/>
        <w:kinsoku/>
        <w:wordWrap/>
        <w:overflowPunct/>
        <w:topLinePunct w:val="0"/>
        <w:autoSpaceDE/>
        <w:autoSpaceDN/>
        <w:bidi w:val="0"/>
        <w:adjustRightInd/>
        <w:snapToGrid/>
        <w:spacing w:line="360" w:lineRule="auto"/>
        <w:ind w:left="0" w:firstLine="454" w:firstLineChars="200"/>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b/>
          <w:bCs/>
          <w:spacing w:val="-7"/>
          <w:kern w:val="0"/>
          <w:sz w:val="24"/>
          <w:szCs w:val="20"/>
          <w:highlight w:val="none"/>
          <w:lang w:val="en-US" w:eastAsia="zh-CN" w:bidi="ar-SA"/>
        </w:rPr>
        <w:t>表 2.</w:t>
      </w:r>
      <w:r>
        <w:rPr>
          <w:rFonts w:hint="eastAsia" w:eastAsia="宋体" w:cs="Times New Roman"/>
          <w:b/>
          <w:bCs/>
          <w:spacing w:val="-7"/>
          <w:kern w:val="0"/>
          <w:sz w:val="24"/>
          <w:szCs w:val="20"/>
          <w:highlight w:val="none"/>
          <w:lang w:val="en-US" w:eastAsia="zh-CN" w:bidi="ar-SA"/>
        </w:rPr>
        <w:t>4</w:t>
      </w:r>
      <w:r>
        <w:rPr>
          <w:rFonts w:hint="eastAsia" w:ascii="Times New Roman" w:hAnsi="Times New Roman" w:eastAsia="宋体" w:cs="Times New Roman"/>
          <w:b/>
          <w:bCs/>
          <w:spacing w:val="-7"/>
          <w:kern w:val="0"/>
          <w:sz w:val="24"/>
          <w:szCs w:val="20"/>
          <w:highlight w:val="none"/>
          <w:lang w:val="en-US" w:eastAsia="zh-CN" w:bidi="ar-SA"/>
        </w:rPr>
        <w:t>-5    建设用地土壤污染风险筛选值     单位：mg/kg</w:t>
      </w: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9"/>
        <w:gridCol w:w="1636"/>
        <w:gridCol w:w="1148"/>
        <w:gridCol w:w="1245"/>
        <w:gridCol w:w="1262"/>
        <w:gridCol w:w="1195"/>
        <w:gridCol w:w="1287"/>
      </w:tblGrid>
      <w:tr w14:paraId="1A331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330" w:type="pct"/>
            <w:vMerge w:val="restart"/>
            <w:tcBorders>
              <w:top w:val="single" w:color="000000" w:sz="10" w:space="0"/>
              <w:left w:val="single" w:color="000000" w:sz="10" w:space="0"/>
              <w:bottom w:val="nil"/>
            </w:tcBorders>
            <w:textDirection w:val="tbRlV"/>
            <w:vAlign w:val="center"/>
          </w:tcPr>
          <w:p w14:paraId="2A95762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序</w:t>
            </w:r>
            <w:r>
              <w:rPr>
                <w:spacing w:val="-35"/>
                <w:highlight w:val="none"/>
              </w:rPr>
              <w:t xml:space="preserve"> </w:t>
            </w:r>
            <w:r>
              <w:rPr>
                <w:spacing w:val="8"/>
                <w:highlight w:val="none"/>
              </w:rPr>
              <w:t>号</w:t>
            </w:r>
          </w:p>
        </w:tc>
        <w:tc>
          <w:tcPr>
            <w:tcW w:w="983" w:type="pct"/>
            <w:vMerge w:val="restart"/>
            <w:tcBorders>
              <w:top w:val="single" w:color="000000" w:sz="10" w:space="0"/>
              <w:bottom w:val="nil"/>
            </w:tcBorders>
            <w:vAlign w:val="center"/>
          </w:tcPr>
          <w:p w14:paraId="4956736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7"/>
                <w:highlight w:val="none"/>
              </w:rPr>
              <w:t>污染物项目</w:t>
            </w:r>
          </w:p>
        </w:tc>
        <w:tc>
          <w:tcPr>
            <w:tcW w:w="690" w:type="pct"/>
            <w:vMerge w:val="restart"/>
            <w:tcBorders>
              <w:top w:val="single" w:color="000000" w:sz="10" w:space="0"/>
              <w:bottom w:val="nil"/>
            </w:tcBorders>
            <w:vAlign w:val="center"/>
          </w:tcPr>
          <w:p w14:paraId="6A1A240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rFonts w:ascii="Times New Roman" w:hAnsi="Times New Roman" w:eastAsia="Times New Roman" w:cs="Times New Roman"/>
                <w:highlight w:val="none"/>
              </w:rPr>
              <w:t>CAS</w:t>
            </w:r>
            <w:r>
              <w:rPr>
                <w:rFonts w:ascii="Times New Roman" w:hAnsi="Times New Roman" w:eastAsia="Times New Roman" w:cs="Times New Roman"/>
                <w:spacing w:val="15"/>
                <w:highlight w:val="none"/>
              </w:rPr>
              <w:t xml:space="preserve"> </w:t>
            </w:r>
            <w:r>
              <w:rPr>
                <w:spacing w:val="8"/>
                <w:highlight w:val="none"/>
              </w:rPr>
              <w:t>编号</w:t>
            </w:r>
          </w:p>
        </w:tc>
        <w:tc>
          <w:tcPr>
            <w:tcW w:w="1506" w:type="pct"/>
            <w:gridSpan w:val="2"/>
            <w:tcBorders>
              <w:top w:val="single" w:color="000000" w:sz="10" w:space="0"/>
            </w:tcBorders>
            <w:vAlign w:val="center"/>
          </w:tcPr>
          <w:p w14:paraId="76583B9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6"/>
                <w:highlight w:val="none"/>
              </w:rPr>
              <w:t>筛选值</w:t>
            </w:r>
          </w:p>
        </w:tc>
        <w:tc>
          <w:tcPr>
            <w:tcW w:w="1489" w:type="pct"/>
            <w:gridSpan w:val="2"/>
            <w:tcBorders>
              <w:top w:val="single" w:color="000000" w:sz="10" w:space="0"/>
              <w:right w:val="single" w:color="000000" w:sz="10" w:space="0"/>
            </w:tcBorders>
            <w:vAlign w:val="center"/>
          </w:tcPr>
          <w:p w14:paraId="4236B6C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5"/>
                <w:highlight w:val="none"/>
              </w:rPr>
              <w:t>管制值</w:t>
            </w:r>
          </w:p>
        </w:tc>
      </w:tr>
      <w:tr w14:paraId="21B0E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30" w:type="pct"/>
            <w:vMerge w:val="continue"/>
            <w:tcBorders>
              <w:top w:val="nil"/>
              <w:left w:val="single" w:color="000000" w:sz="10" w:space="0"/>
            </w:tcBorders>
            <w:textDirection w:val="tbRlV"/>
            <w:vAlign w:val="center"/>
          </w:tcPr>
          <w:p w14:paraId="61BD49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983" w:type="pct"/>
            <w:vMerge w:val="continue"/>
            <w:tcBorders>
              <w:top w:val="nil"/>
            </w:tcBorders>
            <w:vAlign w:val="center"/>
          </w:tcPr>
          <w:p w14:paraId="030837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690" w:type="pct"/>
            <w:vMerge w:val="continue"/>
            <w:tcBorders>
              <w:top w:val="nil"/>
            </w:tcBorders>
            <w:vAlign w:val="center"/>
          </w:tcPr>
          <w:p w14:paraId="1264E7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748" w:type="pct"/>
            <w:vAlign w:val="center"/>
          </w:tcPr>
          <w:p w14:paraId="16A4211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第一类用地</w:t>
            </w:r>
          </w:p>
        </w:tc>
        <w:tc>
          <w:tcPr>
            <w:tcW w:w="757" w:type="pct"/>
            <w:vAlign w:val="center"/>
          </w:tcPr>
          <w:p w14:paraId="0F7D80B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第二类用地</w:t>
            </w:r>
          </w:p>
        </w:tc>
        <w:tc>
          <w:tcPr>
            <w:tcW w:w="718" w:type="pct"/>
            <w:vAlign w:val="center"/>
          </w:tcPr>
          <w:p w14:paraId="08A7C99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第一类用地</w:t>
            </w:r>
          </w:p>
        </w:tc>
        <w:tc>
          <w:tcPr>
            <w:tcW w:w="770" w:type="pct"/>
            <w:tcBorders>
              <w:right w:val="single" w:color="000000" w:sz="10" w:space="0"/>
            </w:tcBorders>
            <w:vAlign w:val="center"/>
          </w:tcPr>
          <w:p w14:paraId="6EC22FB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第二类用地</w:t>
            </w:r>
          </w:p>
        </w:tc>
      </w:tr>
      <w:tr w14:paraId="44127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5000" w:type="pct"/>
            <w:gridSpan w:val="7"/>
            <w:tcBorders>
              <w:left w:val="single" w:color="000000" w:sz="10" w:space="0"/>
              <w:right w:val="single" w:color="000000" w:sz="10" w:space="0"/>
            </w:tcBorders>
            <w:vAlign w:val="center"/>
          </w:tcPr>
          <w:p w14:paraId="290511A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重金属和无机物</w:t>
            </w:r>
          </w:p>
        </w:tc>
      </w:tr>
      <w:tr w14:paraId="026FE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30" w:type="pct"/>
            <w:tcBorders>
              <w:left w:val="single" w:color="000000" w:sz="10" w:space="0"/>
            </w:tcBorders>
            <w:vAlign w:val="center"/>
          </w:tcPr>
          <w:p w14:paraId="790E6F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1</w:t>
            </w:r>
          </w:p>
        </w:tc>
        <w:tc>
          <w:tcPr>
            <w:tcW w:w="983" w:type="pct"/>
            <w:vAlign w:val="center"/>
          </w:tcPr>
          <w:p w14:paraId="5A2E1EF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
                <w:highlight w:val="none"/>
              </w:rPr>
              <w:t>砷</w:t>
            </w:r>
          </w:p>
        </w:tc>
        <w:tc>
          <w:tcPr>
            <w:tcW w:w="690" w:type="pct"/>
            <w:vAlign w:val="center"/>
          </w:tcPr>
          <w:p w14:paraId="732558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7440-38-2</w:t>
            </w:r>
          </w:p>
        </w:tc>
        <w:tc>
          <w:tcPr>
            <w:tcW w:w="748" w:type="pct"/>
            <w:vAlign w:val="center"/>
          </w:tcPr>
          <w:p w14:paraId="32F3AD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20</w:t>
            </w:r>
          </w:p>
        </w:tc>
        <w:tc>
          <w:tcPr>
            <w:tcW w:w="757" w:type="pct"/>
            <w:vAlign w:val="center"/>
          </w:tcPr>
          <w:p w14:paraId="72A1B2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60</w:t>
            </w:r>
          </w:p>
        </w:tc>
        <w:tc>
          <w:tcPr>
            <w:tcW w:w="718" w:type="pct"/>
            <w:vAlign w:val="center"/>
          </w:tcPr>
          <w:p w14:paraId="5B6622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120</w:t>
            </w:r>
          </w:p>
        </w:tc>
        <w:tc>
          <w:tcPr>
            <w:tcW w:w="770" w:type="pct"/>
            <w:tcBorders>
              <w:right w:val="single" w:color="000000" w:sz="10" w:space="0"/>
            </w:tcBorders>
            <w:vAlign w:val="center"/>
          </w:tcPr>
          <w:p w14:paraId="31113C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140</w:t>
            </w:r>
          </w:p>
        </w:tc>
      </w:tr>
      <w:tr w14:paraId="0C36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30" w:type="pct"/>
            <w:tcBorders>
              <w:left w:val="single" w:color="000000" w:sz="10" w:space="0"/>
            </w:tcBorders>
            <w:vAlign w:val="center"/>
          </w:tcPr>
          <w:p w14:paraId="3C8862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2</w:t>
            </w:r>
          </w:p>
        </w:tc>
        <w:tc>
          <w:tcPr>
            <w:tcW w:w="983" w:type="pct"/>
            <w:vAlign w:val="center"/>
          </w:tcPr>
          <w:p w14:paraId="496587B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2"/>
                <w:highlight w:val="none"/>
              </w:rPr>
              <w:t>镉</w:t>
            </w:r>
          </w:p>
        </w:tc>
        <w:tc>
          <w:tcPr>
            <w:tcW w:w="690" w:type="pct"/>
            <w:vAlign w:val="center"/>
          </w:tcPr>
          <w:p w14:paraId="500D4C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7440-43-9</w:t>
            </w:r>
          </w:p>
        </w:tc>
        <w:tc>
          <w:tcPr>
            <w:tcW w:w="748" w:type="pct"/>
            <w:vAlign w:val="center"/>
          </w:tcPr>
          <w:p w14:paraId="5556D1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20</w:t>
            </w:r>
          </w:p>
        </w:tc>
        <w:tc>
          <w:tcPr>
            <w:tcW w:w="757" w:type="pct"/>
            <w:vAlign w:val="center"/>
          </w:tcPr>
          <w:p w14:paraId="037946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65</w:t>
            </w:r>
          </w:p>
        </w:tc>
        <w:tc>
          <w:tcPr>
            <w:tcW w:w="718" w:type="pct"/>
            <w:vAlign w:val="center"/>
          </w:tcPr>
          <w:p w14:paraId="32A8AE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47</w:t>
            </w:r>
          </w:p>
        </w:tc>
        <w:tc>
          <w:tcPr>
            <w:tcW w:w="770" w:type="pct"/>
            <w:tcBorders>
              <w:right w:val="single" w:color="000000" w:sz="10" w:space="0"/>
            </w:tcBorders>
            <w:vAlign w:val="center"/>
          </w:tcPr>
          <w:p w14:paraId="474B8E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172</w:t>
            </w:r>
          </w:p>
        </w:tc>
      </w:tr>
      <w:tr w14:paraId="63D87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4F33E3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w:t>
            </w:r>
          </w:p>
        </w:tc>
        <w:tc>
          <w:tcPr>
            <w:tcW w:w="983" w:type="pct"/>
            <w:vAlign w:val="center"/>
          </w:tcPr>
          <w:p w14:paraId="6E995B7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6"/>
                <w:highlight w:val="none"/>
              </w:rPr>
              <w:t>铬（六价）</w:t>
            </w:r>
          </w:p>
        </w:tc>
        <w:tc>
          <w:tcPr>
            <w:tcW w:w="690" w:type="pct"/>
            <w:vAlign w:val="center"/>
          </w:tcPr>
          <w:p w14:paraId="5C6AA4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18540-29-9</w:t>
            </w:r>
          </w:p>
        </w:tc>
        <w:tc>
          <w:tcPr>
            <w:tcW w:w="748" w:type="pct"/>
            <w:vAlign w:val="center"/>
          </w:tcPr>
          <w:p w14:paraId="3F47A4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3.0</w:t>
            </w:r>
          </w:p>
        </w:tc>
        <w:tc>
          <w:tcPr>
            <w:tcW w:w="757" w:type="pct"/>
            <w:vAlign w:val="center"/>
          </w:tcPr>
          <w:p w14:paraId="5B19153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5.7</w:t>
            </w:r>
          </w:p>
        </w:tc>
        <w:tc>
          <w:tcPr>
            <w:tcW w:w="718" w:type="pct"/>
            <w:vAlign w:val="center"/>
          </w:tcPr>
          <w:p w14:paraId="06E12B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30</w:t>
            </w:r>
          </w:p>
        </w:tc>
        <w:tc>
          <w:tcPr>
            <w:tcW w:w="770" w:type="pct"/>
            <w:tcBorders>
              <w:right w:val="single" w:color="000000" w:sz="10" w:space="0"/>
            </w:tcBorders>
            <w:vAlign w:val="center"/>
          </w:tcPr>
          <w:p w14:paraId="6AAF2B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78</w:t>
            </w:r>
          </w:p>
        </w:tc>
      </w:tr>
      <w:tr w14:paraId="21F27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30" w:type="pct"/>
            <w:tcBorders>
              <w:left w:val="single" w:color="000000" w:sz="10" w:space="0"/>
            </w:tcBorders>
            <w:vAlign w:val="center"/>
          </w:tcPr>
          <w:p w14:paraId="0E9F20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4</w:t>
            </w:r>
          </w:p>
        </w:tc>
        <w:tc>
          <w:tcPr>
            <w:tcW w:w="983" w:type="pct"/>
            <w:vAlign w:val="center"/>
          </w:tcPr>
          <w:p w14:paraId="6BFA541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铜</w:t>
            </w:r>
          </w:p>
        </w:tc>
        <w:tc>
          <w:tcPr>
            <w:tcW w:w="690" w:type="pct"/>
            <w:vAlign w:val="center"/>
          </w:tcPr>
          <w:p w14:paraId="220EF6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7440-50-8</w:t>
            </w:r>
          </w:p>
        </w:tc>
        <w:tc>
          <w:tcPr>
            <w:tcW w:w="748" w:type="pct"/>
            <w:vAlign w:val="center"/>
          </w:tcPr>
          <w:p w14:paraId="4DD71D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2000</w:t>
            </w:r>
          </w:p>
        </w:tc>
        <w:tc>
          <w:tcPr>
            <w:tcW w:w="757" w:type="pct"/>
            <w:vAlign w:val="center"/>
          </w:tcPr>
          <w:p w14:paraId="45277A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18000</w:t>
            </w:r>
          </w:p>
        </w:tc>
        <w:tc>
          <w:tcPr>
            <w:tcW w:w="718" w:type="pct"/>
            <w:vAlign w:val="center"/>
          </w:tcPr>
          <w:p w14:paraId="70C4ED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8000</w:t>
            </w:r>
          </w:p>
        </w:tc>
        <w:tc>
          <w:tcPr>
            <w:tcW w:w="770" w:type="pct"/>
            <w:tcBorders>
              <w:right w:val="single" w:color="000000" w:sz="10" w:space="0"/>
            </w:tcBorders>
            <w:vAlign w:val="center"/>
          </w:tcPr>
          <w:p w14:paraId="70090C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36000</w:t>
            </w:r>
          </w:p>
        </w:tc>
      </w:tr>
      <w:tr w14:paraId="75622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3285B0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983" w:type="pct"/>
            <w:vAlign w:val="center"/>
          </w:tcPr>
          <w:p w14:paraId="700F7BC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铅</w:t>
            </w:r>
          </w:p>
        </w:tc>
        <w:tc>
          <w:tcPr>
            <w:tcW w:w="690" w:type="pct"/>
            <w:vAlign w:val="center"/>
          </w:tcPr>
          <w:p w14:paraId="5E2655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7439-92-1</w:t>
            </w:r>
          </w:p>
        </w:tc>
        <w:tc>
          <w:tcPr>
            <w:tcW w:w="748" w:type="pct"/>
            <w:vAlign w:val="center"/>
          </w:tcPr>
          <w:p w14:paraId="46C9FC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400</w:t>
            </w:r>
          </w:p>
        </w:tc>
        <w:tc>
          <w:tcPr>
            <w:tcW w:w="757" w:type="pct"/>
            <w:vAlign w:val="center"/>
          </w:tcPr>
          <w:p w14:paraId="2F4162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800</w:t>
            </w:r>
          </w:p>
        </w:tc>
        <w:tc>
          <w:tcPr>
            <w:tcW w:w="718" w:type="pct"/>
            <w:vAlign w:val="center"/>
          </w:tcPr>
          <w:p w14:paraId="3AEDA76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800</w:t>
            </w:r>
          </w:p>
        </w:tc>
        <w:tc>
          <w:tcPr>
            <w:tcW w:w="770" w:type="pct"/>
            <w:tcBorders>
              <w:right w:val="single" w:color="000000" w:sz="10" w:space="0"/>
            </w:tcBorders>
            <w:vAlign w:val="center"/>
          </w:tcPr>
          <w:p w14:paraId="3B9026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2500</w:t>
            </w:r>
          </w:p>
        </w:tc>
      </w:tr>
      <w:tr w14:paraId="1B7C2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7D36CB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w:t>
            </w:r>
          </w:p>
        </w:tc>
        <w:tc>
          <w:tcPr>
            <w:tcW w:w="983" w:type="pct"/>
            <w:vAlign w:val="center"/>
          </w:tcPr>
          <w:p w14:paraId="2EF459E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汞</w:t>
            </w:r>
          </w:p>
        </w:tc>
        <w:tc>
          <w:tcPr>
            <w:tcW w:w="690" w:type="pct"/>
            <w:vAlign w:val="center"/>
          </w:tcPr>
          <w:p w14:paraId="59324C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7439-97-6</w:t>
            </w:r>
          </w:p>
        </w:tc>
        <w:tc>
          <w:tcPr>
            <w:tcW w:w="748" w:type="pct"/>
            <w:vAlign w:val="center"/>
          </w:tcPr>
          <w:p w14:paraId="664111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w:t>
            </w:r>
          </w:p>
        </w:tc>
        <w:tc>
          <w:tcPr>
            <w:tcW w:w="757" w:type="pct"/>
            <w:vAlign w:val="center"/>
          </w:tcPr>
          <w:p w14:paraId="648111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38</w:t>
            </w:r>
          </w:p>
        </w:tc>
        <w:tc>
          <w:tcPr>
            <w:tcW w:w="718" w:type="pct"/>
            <w:vAlign w:val="center"/>
          </w:tcPr>
          <w:p w14:paraId="2C962B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33</w:t>
            </w:r>
          </w:p>
        </w:tc>
        <w:tc>
          <w:tcPr>
            <w:tcW w:w="770" w:type="pct"/>
            <w:tcBorders>
              <w:right w:val="single" w:color="000000" w:sz="10" w:space="0"/>
            </w:tcBorders>
            <w:vAlign w:val="center"/>
          </w:tcPr>
          <w:p w14:paraId="4E6E01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82</w:t>
            </w:r>
          </w:p>
        </w:tc>
      </w:tr>
      <w:tr w14:paraId="51C48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1EDB0D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7</w:t>
            </w:r>
          </w:p>
        </w:tc>
        <w:tc>
          <w:tcPr>
            <w:tcW w:w="983" w:type="pct"/>
            <w:vAlign w:val="center"/>
          </w:tcPr>
          <w:p w14:paraId="1CD01FD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
                <w:highlight w:val="none"/>
              </w:rPr>
              <w:t>镍</w:t>
            </w:r>
          </w:p>
        </w:tc>
        <w:tc>
          <w:tcPr>
            <w:tcW w:w="690" w:type="pct"/>
            <w:vAlign w:val="center"/>
          </w:tcPr>
          <w:p w14:paraId="7BACA2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7440-02-0</w:t>
            </w:r>
          </w:p>
        </w:tc>
        <w:tc>
          <w:tcPr>
            <w:tcW w:w="748" w:type="pct"/>
            <w:vAlign w:val="center"/>
          </w:tcPr>
          <w:p w14:paraId="53F186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150</w:t>
            </w:r>
          </w:p>
        </w:tc>
        <w:tc>
          <w:tcPr>
            <w:tcW w:w="757" w:type="pct"/>
            <w:vAlign w:val="center"/>
          </w:tcPr>
          <w:p w14:paraId="1DF7C7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900</w:t>
            </w:r>
          </w:p>
        </w:tc>
        <w:tc>
          <w:tcPr>
            <w:tcW w:w="718" w:type="pct"/>
            <w:vAlign w:val="center"/>
          </w:tcPr>
          <w:p w14:paraId="7DD65C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600</w:t>
            </w:r>
          </w:p>
        </w:tc>
        <w:tc>
          <w:tcPr>
            <w:tcW w:w="770" w:type="pct"/>
            <w:tcBorders>
              <w:right w:val="single" w:color="000000" w:sz="10" w:space="0"/>
            </w:tcBorders>
            <w:vAlign w:val="center"/>
          </w:tcPr>
          <w:p w14:paraId="4B0544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2000</w:t>
            </w:r>
          </w:p>
        </w:tc>
      </w:tr>
      <w:tr w14:paraId="29B3F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000" w:type="pct"/>
            <w:gridSpan w:val="7"/>
            <w:tcBorders>
              <w:left w:val="single" w:color="000000" w:sz="10" w:space="0"/>
              <w:right w:val="single" w:color="000000" w:sz="10" w:space="0"/>
            </w:tcBorders>
            <w:vAlign w:val="center"/>
          </w:tcPr>
          <w:p w14:paraId="6B466F4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8"/>
                <w:highlight w:val="none"/>
              </w:rPr>
              <w:t>挥发性有机物</w:t>
            </w:r>
          </w:p>
        </w:tc>
      </w:tr>
      <w:tr w14:paraId="22E87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755DA7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w:t>
            </w:r>
          </w:p>
        </w:tc>
        <w:tc>
          <w:tcPr>
            <w:tcW w:w="983" w:type="pct"/>
            <w:vAlign w:val="center"/>
          </w:tcPr>
          <w:p w14:paraId="301C99D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2"/>
                <w:highlight w:val="none"/>
              </w:rPr>
              <w:t>四氯化碳</w:t>
            </w:r>
          </w:p>
        </w:tc>
        <w:tc>
          <w:tcPr>
            <w:tcW w:w="690" w:type="pct"/>
            <w:vAlign w:val="center"/>
          </w:tcPr>
          <w:p w14:paraId="1CDFC6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56-23-5</w:t>
            </w:r>
          </w:p>
        </w:tc>
        <w:tc>
          <w:tcPr>
            <w:tcW w:w="748" w:type="pct"/>
            <w:vAlign w:val="center"/>
          </w:tcPr>
          <w:p w14:paraId="49B102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0.9</w:t>
            </w:r>
          </w:p>
        </w:tc>
        <w:tc>
          <w:tcPr>
            <w:tcW w:w="757" w:type="pct"/>
            <w:vAlign w:val="center"/>
          </w:tcPr>
          <w:p w14:paraId="313ACF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2.8</w:t>
            </w:r>
          </w:p>
        </w:tc>
        <w:tc>
          <w:tcPr>
            <w:tcW w:w="718" w:type="pct"/>
            <w:vAlign w:val="center"/>
          </w:tcPr>
          <w:p w14:paraId="4CA964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9</w:t>
            </w:r>
          </w:p>
        </w:tc>
        <w:tc>
          <w:tcPr>
            <w:tcW w:w="770" w:type="pct"/>
            <w:tcBorders>
              <w:right w:val="single" w:color="000000" w:sz="10" w:space="0"/>
            </w:tcBorders>
            <w:vAlign w:val="center"/>
          </w:tcPr>
          <w:p w14:paraId="3B37A2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36</w:t>
            </w:r>
          </w:p>
        </w:tc>
      </w:tr>
      <w:tr w14:paraId="14B92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1D8724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9</w:t>
            </w:r>
          </w:p>
        </w:tc>
        <w:tc>
          <w:tcPr>
            <w:tcW w:w="983" w:type="pct"/>
            <w:vAlign w:val="center"/>
          </w:tcPr>
          <w:p w14:paraId="64B7BD3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3"/>
                <w:highlight w:val="none"/>
              </w:rPr>
              <w:t>氯仿</w:t>
            </w:r>
          </w:p>
        </w:tc>
        <w:tc>
          <w:tcPr>
            <w:tcW w:w="690" w:type="pct"/>
            <w:vAlign w:val="center"/>
          </w:tcPr>
          <w:p w14:paraId="43D6C4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67-66-3</w:t>
            </w:r>
          </w:p>
        </w:tc>
        <w:tc>
          <w:tcPr>
            <w:tcW w:w="748" w:type="pct"/>
            <w:vAlign w:val="center"/>
          </w:tcPr>
          <w:p w14:paraId="581165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0.3</w:t>
            </w:r>
          </w:p>
        </w:tc>
        <w:tc>
          <w:tcPr>
            <w:tcW w:w="757" w:type="pct"/>
            <w:vAlign w:val="center"/>
          </w:tcPr>
          <w:p w14:paraId="032400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0.9</w:t>
            </w:r>
          </w:p>
        </w:tc>
        <w:tc>
          <w:tcPr>
            <w:tcW w:w="718" w:type="pct"/>
            <w:vAlign w:val="center"/>
          </w:tcPr>
          <w:p w14:paraId="36B96C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770" w:type="pct"/>
            <w:tcBorders>
              <w:right w:val="single" w:color="000000" w:sz="10" w:space="0"/>
            </w:tcBorders>
            <w:vAlign w:val="center"/>
          </w:tcPr>
          <w:p w14:paraId="170512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10</w:t>
            </w:r>
          </w:p>
        </w:tc>
      </w:tr>
      <w:tr w14:paraId="14E30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660FE1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10</w:t>
            </w:r>
          </w:p>
        </w:tc>
        <w:tc>
          <w:tcPr>
            <w:tcW w:w="983" w:type="pct"/>
            <w:vAlign w:val="center"/>
          </w:tcPr>
          <w:p w14:paraId="6D6DCD9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5"/>
                <w:highlight w:val="none"/>
              </w:rPr>
              <w:t>氯甲烷</w:t>
            </w:r>
          </w:p>
        </w:tc>
        <w:tc>
          <w:tcPr>
            <w:tcW w:w="690" w:type="pct"/>
            <w:vAlign w:val="center"/>
          </w:tcPr>
          <w:p w14:paraId="7012D2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74-87-3</w:t>
            </w:r>
          </w:p>
        </w:tc>
        <w:tc>
          <w:tcPr>
            <w:tcW w:w="748" w:type="pct"/>
            <w:vAlign w:val="center"/>
          </w:tcPr>
          <w:p w14:paraId="3AD474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12</w:t>
            </w:r>
          </w:p>
        </w:tc>
        <w:tc>
          <w:tcPr>
            <w:tcW w:w="757" w:type="pct"/>
            <w:vAlign w:val="center"/>
          </w:tcPr>
          <w:p w14:paraId="7D2CF5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37</w:t>
            </w:r>
          </w:p>
        </w:tc>
        <w:tc>
          <w:tcPr>
            <w:tcW w:w="718" w:type="pct"/>
            <w:vAlign w:val="center"/>
          </w:tcPr>
          <w:p w14:paraId="7A20A7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21</w:t>
            </w:r>
          </w:p>
        </w:tc>
        <w:tc>
          <w:tcPr>
            <w:tcW w:w="770" w:type="pct"/>
            <w:tcBorders>
              <w:right w:val="single" w:color="000000" w:sz="10" w:space="0"/>
            </w:tcBorders>
            <w:vAlign w:val="center"/>
          </w:tcPr>
          <w:p w14:paraId="0A699B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120</w:t>
            </w:r>
          </w:p>
        </w:tc>
      </w:tr>
      <w:tr w14:paraId="53AB2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5E27DA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11</w:t>
            </w:r>
          </w:p>
        </w:tc>
        <w:tc>
          <w:tcPr>
            <w:tcW w:w="983" w:type="pct"/>
            <w:vAlign w:val="center"/>
          </w:tcPr>
          <w:p w14:paraId="41929F0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24"/>
                <w:highlight w:val="none"/>
              </w:rPr>
              <w:t xml:space="preserve"> </w:t>
            </w:r>
            <w:r>
              <w:rPr>
                <w:rFonts w:ascii="Times New Roman" w:hAnsi="Times New Roman" w:eastAsia="Times New Roman" w:cs="Times New Roman"/>
                <w:highlight w:val="none"/>
              </w:rPr>
              <w:t>1-</w:t>
            </w:r>
            <w:r>
              <w:rPr>
                <w:highlight w:val="none"/>
              </w:rPr>
              <w:t>二氯乙烷</w:t>
            </w:r>
          </w:p>
        </w:tc>
        <w:tc>
          <w:tcPr>
            <w:tcW w:w="690" w:type="pct"/>
            <w:vAlign w:val="center"/>
          </w:tcPr>
          <w:p w14:paraId="7D7B60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75-34-3</w:t>
            </w:r>
          </w:p>
        </w:tc>
        <w:tc>
          <w:tcPr>
            <w:tcW w:w="748" w:type="pct"/>
            <w:vAlign w:val="center"/>
          </w:tcPr>
          <w:p w14:paraId="40BEA7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w:t>
            </w:r>
          </w:p>
        </w:tc>
        <w:tc>
          <w:tcPr>
            <w:tcW w:w="757" w:type="pct"/>
            <w:vAlign w:val="center"/>
          </w:tcPr>
          <w:p w14:paraId="70E2AD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9</w:t>
            </w:r>
          </w:p>
        </w:tc>
        <w:tc>
          <w:tcPr>
            <w:tcW w:w="718" w:type="pct"/>
            <w:vAlign w:val="center"/>
          </w:tcPr>
          <w:p w14:paraId="41A9CC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20</w:t>
            </w:r>
          </w:p>
        </w:tc>
        <w:tc>
          <w:tcPr>
            <w:tcW w:w="770" w:type="pct"/>
            <w:tcBorders>
              <w:right w:val="single" w:color="000000" w:sz="10" w:space="0"/>
            </w:tcBorders>
            <w:vAlign w:val="center"/>
          </w:tcPr>
          <w:p w14:paraId="39D12D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100</w:t>
            </w:r>
          </w:p>
        </w:tc>
      </w:tr>
      <w:tr w14:paraId="2B30A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2BA084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12</w:t>
            </w:r>
          </w:p>
        </w:tc>
        <w:tc>
          <w:tcPr>
            <w:tcW w:w="983" w:type="pct"/>
            <w:vAlign w:val="center"/>
          </w:tcPr>
          <w:p w14:paraId="2030C8A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rFonts w:ascii="Times New Roman" w:hAnsi="Times New Roman" w:eastAsia="Times New Roman" w:cs="Times New Roman"/>
                <w:spacing w:val="3"/>
                <w:highlight w:val="none"/>
              </w:rPr>
              <w:t>1,2-</w:t>
            </w:r>
            <w:r>
              <w:rPr>
                <w:spacing w:val="3"/>
                <w:highlight w:val="none"/>
              </w:rPr>
              <w:t>二氯乙烷</w:t>
            </w:r>
          </w:p>
        </w:tc>
        <w:tc>
          <w:tcPr>
            <w:tcW w:w="690" w:type="pct"/>
            <w:vAlign w:val="center"/>
          </w:tcPr>
          <w:p w14:paraId="7E427D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107-06-2</w:t>
            </w:r>
          </w:p>
        </w:tc>
        <w:tc>
          <w:tcPr>
            <w:tcW w:w="748" w:type="pct"/>
            <w:vAlign w:val="center"/>
          </w:tcPr>
          <w:p w14:paraId="1CD0A2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0.52</w:t>
            </w:r>
          </w:p>
        </w:tc>
        <w:tc>
          <w:tcPr>
            <w:tcW w:w="757" w:type="pct"/>
            <w:vAlign w:val="center"/>
          </w:tcPr>
          <w:p w14:paraId="56DBDC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718" w:type="pct"/>
            <w:vAlign w:val="center"/>
          </w:tcPr>
          <w:p w14:paraId="01ED7D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w:t>
            </w:r>
          </w:p>
        </w:tc>
        <w:tc>
          <w:tcPr>
            <w:tcW w:w="770" w:type="pct"/>
            <w:tcBorders>
              <w:right w:val="single" w:color="000000" w:sz="10" w:space="0"/>
            </w:tcBorders>
            <w:vAlign w:val="center"/>
          </w:tcPr>
          <w:p w14:paraId="2F690F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21</w:t>
            </w:r>
          </w:p>
        </w:tc>
      </w:tr>
      <w:tr w14:paraId="0C900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32DD7E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13</w:t>
            </w:r>
          </w:p>
        </w:tc>
        <w:tc>
          <w:tcPr>
            <w:tcW w:w="983" w:type="pct"/>
            <w:vAlign w:val="center"/>
          </w:tcPr>
          <w:p w14:paraId="3ED64A0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rFonts w:ascii="Times New Roman" w:hAnsi="Times New Roman" w:eastAsia="Times New Roman" w:cs="Times New Roman"/>
                <w:spacing w:val="1"/>
                <w:highlight w:val="none"/>
              </w:rPr>
              <w:t>1</w:t>
            </w:r>
            <w:r>
              <w:rPr>
                <w:rFonts w:ascii="Times New Roman" w:hAnsi="Times New Roman" w:eastAsia="Times New Roman" w:cs="Times New Roman"/>
                <w:spacing w:val="-23"/>
                <w:highlight w:val="none"/>
              </w:rPr>
              <w:t xml:space="preserve"> </w:t>
            </w:r>
            <w:r>
              <w:rPr>
                <w:spacing w:val="1"/>
                <w:highlight w:val="none"/>
              </w:rPr>
              <w:t>，</w:t>
            </w:r>
            <w:r>
              <w:rPr>
                <w:rFonts w:ascii="Times New Roman" w:hAnsi="Times New Roman" w:eastAsia="Times New Roman" w:cs="Times New Roman"/>
                <w:spacing w:val="1"/>
                <w:highlight w:val="none"/>
              </w:rPr>
              <w:t>1-</w:t>
            </w:r>
            <w:r>
              <w:rPr>
                <w:spacing w:val="1"/>
                <w:highlight w:val="none"/>
              </w:rPr>
              <w:t>二氯乙烯</w:t>
            </w:r>
          </w:p>
        </w:tc>
        <w:tc>
          <w:tcPr>
            <w:tcW w:w="690" w:type="pct"/>
            <w:vAlign w:val="center"/>
          </w:tcPr>
          <w:p w14:paraId="6D0378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75-35-4</w:t>
            </w:r>
          </w:p>
        </w:tc>
        <w:tc>
          <w:tcPr>
            <w:tcW w:w="748" w:type="pct"/>
            <w:vAlign w:val="center"/>
          </w:tcPr>
          <w:p w14:paraId="6B43EC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12</w:t>
            </w:r>
          </w:p>
        </w:tc>
        <w:tc>
          <w:tcPr>
            <w:tcW w:w="757" w:type="pct"/>
            <w:vAlign w:val="center"/>
          </w:tcPr>
          <w:p w14:paraId="0CEE28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66</w:t>
            </w:r>
          </w:p>
        </w:tc>
        <w:tc>
          <w:tcPr>
            <w:tcW w:w="718" w:type="pct"/>
            <w:vAlign w:val="center"/>
          </w:tcPr>
          <w:p w14:paraId="20BA77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40</w:t>
            </w:r>
          </w:p>
        </w:tc>
        <w:tc>
          <w:tcPr>
            <w:tcW w:w="770" w:type="pct"/>
            <w:tcBorders>
              <w:right w:val="single" w:color="000000" w:sz="10" w:space="0"/>
            </w:tcBorders>
            <w:vAlign w:val="center"/>
          </w:tcPr>
          <w:p w14:paraId="590CBB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200</w:t>
            </w:r>
          </w:p>
        </w:tc>
      </w:tr>
      <w:tr w14:paraId="005E6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0" w:type="pct"/>
            <w:tcBorders>
              <w:left w:val="single" w:color="000000" w:sz="10" w:space="0"/>
            </w:tcBorders>
            <w:vAlign w:val="center"/>
          </w:tcPr>
          <w:p w14:paraId="63C8D7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14</w:t>
            </w:r>
          </w:p>
        </w:tc>
        <w:tc>
          <w:tcPr>
            <w:tcW w:w="983" w:type="pct"/>
            <w:vAlign w:val="center"/>
          </w:tcPr>
          <w:p w14:paraId="7961850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2"/>
                <w:highlight w:val="none"/>
              </w:rPr>
              <w:t>顺</w:t>
            </w:r>
            <w:r>
              <w:rPr>
                <w:rFonts w:ascii="Times New Roman" w:hAnsi="Times New Roman" w:eastAsia="Times New Roman" w:cs="Times New Roman"/>
                <w:spacing w:val="2"/>
                <w:highlight w:val="none"/>
              </w:rPr>
              <w:t>-1</w:t>
            </w:r>
            <w:r>
              <w:rPr>
                <w:spacing w:val="2"/>
                <w:highlight w:val="none"/>
              </w:rPr>
              <w:t>，</w:t>
            </w:r>
            <w:r>
              <w:rPr>
                <w:rFonts w:ascii="Times New Roman" w:hAnsi="Times New Roman" w:eastAsia="Times New Roman" w:cs="Times New Roman"/>
                <w:spacing w:val="2"/>
                <w:highlight w:val="none"/>
              </w:rPr>
              <w:t>2-</w:t>
            </w:r>
            <w:r>
              <w:rPr>
                <w:spacing w:val="2"/>
                <w:highlight w:val="none"/>
              </w:rPr>
              <w:t>二氯乙烯</w:t>
            </w:r>
          </w:p>
        </w:tc>
        <w:tc>
          <w:tcPr>
            <w:tcW w:w="690" w:type="pct"/>
            <w:vAlign w:val="center"/>
          </w:tcPr>
          <w:p w14:paraId="2E3102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156-59-2</w:t>
            </w:r>
          </w:p>
        </w:tc>
        <w:tc>
          <w:tcPr>
            <w:tcW w:w="748" w:type="pct"/>
            <w:vAlign w:val="center"/>
          </w:tcPr>
          <w:p w14:paraId="103786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66</w:t>
            </w:r>
          </w:p>
        </w:tc>
        <w:tc>
          <w:tcPr>
            <w:tcW w:w="757" w:type="pct"/>
            <w:vAlign w:val="center"/>
          </w:tcPr>
          <w:p w14:paraId="7C20BE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596</w:t>
            </w:r>
          </w:p>
        </w:tc>
        <w:tc>
          <w:tcPr>
            <w:tcW w:w="718" w:type="pct"/>
            <w:vAlign w:val="center"/>
          </w:tcPr>
          <w:p w14:paraId="72C019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200</w:t>
            </w:r>
          </w:p>
        </w:tc>
        <w:tc>
          <w:tcPr>
            <w:tcW w:w="770" w:type="pct"/>
            <w:tcBorders>
              <w:right w:val="single" w:color="000000" w:sz="10" w:space="0"/>
            </w:tcBorders>
            <w:vAlign w:val="center"/>
          </w:tcPr>
          <w:p w14:paraId="677E3B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2000</w:t>
            </w:r>
          </w:p>
        </w:tc>
      </w:tr>
      <w:tr w14:paraId="42017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4A6ADE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15</w:t>
            </w:r>
          </w:p>
        </w:tc>
        <w:tc>
          <w:tcPr>
            <w:tcW w:w="983" w:type="pct"/>
            <w:vAlign w:val="center"/>
          </w:tcPr>
          <w:p w14:paraId="17EC1DC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2"/>
                <w:highlight w:val="none"/>
              </w:rPr>
              <w:t>反</w:t>
            </w:r>
            <w:r>
              <w:rPr>
                <w:rFonts w:ascii="Times New Roman" w:hAnsi="Times New Roman" w:eastAsia="Times New Roman" w:cs="Times New Roman"/>
                <w:spacing w:val="2"/>
                <w:highlight w:val="none"/>
              </w:rPr>
              <w:t>-1</w:t>
            </w:r>
            <w:r>
              <w:rPr>
                <w:spacing w:val="2"/>
                <w:highlight w:val="none"/>
              </w:rPr>
              <w:t>，</w:t>
            </w:r>
            <w:r>
              <w:rPr>
                <w:rFonts w:ascii="Times New Roman" w:hAnsi="Times New Roman" w:eastAsia="Times New Roman" w:cs="Times New Roman"/>
                <w:spacing w:val="2"/>
                <w:highlight w:val="none"/>
              </w:rPr>
              <w:t>2-</w:t>
            </w:r>
            <w:r>
              <w:rPr>
                <w:spacing w:val="2"/>
                <w:highlight w:val="none"/>
              </w:rPr>
              <w:t>二氯乙烯</w:t>
            </w:r>
          </w:p>
        </w:tc>
        <w:tc>
          <w:tcPr>
            <w:tcW w:w="690" w:type="pct"/>
            <w:vAlign w:val="center"/>
          </w:tcPr>
          <w:p w14:paraId="0E842F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156-60-5</w:t>
            </w:r>
          </w:p>
        </w:tc>
        <w:tc>
          <w:tcPr>
            <w:tcW w:w="748" w:type="pct"/>
            <w:vAlign w:val="center"/>
          </w:tcPr>
          <w:p w14:paraId="2F122D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10</w:t>
            </w:r>
          </w:p>
        </w:tc>
        <w:tc>
          <w:tcPr>
            <w:tcW w:w="757" w:type="pct"/>
            <w:vAlign w:val="center"/>
          </w:tcPr>
          <w:p w14:paraId="2A6333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54</w:t>
            </w:r>
          </w:p>
        </w:tc>
        <w:tc>
          <w:tcPr>
            <w:tcW w:w="718" w:type="pct"/>
            <w:vAlign w:val="center"/>
          </w:tcPr>
          <w:p w14:paraId="5D8A2E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31</w:t>
            </w:r>
          </w:p>
        </w:tc>
        <w:tc>
          <w:tcPr>
            <w:tcW w:w="770" w:type="pct"/>
            <w:tcBorders>
              <w:right w:val="single" w:color="000000" w:sz="10" w:space="0"/>
            </w:tcBorders>
            <w:vAlign w:val="center"/>
          </w:tcPr>
          <w:p w14:paraId="05CFCA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163</w:t>
            </w:r>
          </w:p>
        </w:tc>
      </w:tr>
      <w:tr w14:paraId="56D75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0787DF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16</w:t>
            </w:r>
          </w:p>
        </w:tc>
        <w:tc>
          <w:tcPr>
            <w:tcW w:w="983" w:type="pct"/>
            <w:vAlign w:val="center"/>
          </w:tcPr>
          <w:p w14:paraId="640A557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6"/>
                <w:highlight w:val="none"/>
              </w:rPr>
              <w:t>二氯甲烷</w:t>
            </w:r>
          </w:p>
        </w:tc>
        <w:tc>
          <w:tcPr>
            <w:tcW w:w="690" w:type="pct"/>
            <w:vAlign w:val="center"/>
          </w:tcPr>
          <w:p w14:paraId="3801E05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75-09-2</w:t>
            </w:r>
          </w:p>
        </w:tc>
        <w:tc>
          <w:tcPr>
            <w:tcW w:w="748" w:type="pct"/>
            <w:vAlign w:val="center"/>
          </w:tcPr>
          <w:p w14:paraId="5334AB7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94</w:t>
            </w:r>
          </w:p>
        </w:tc>
        <w:tc>
          <w:tcPr>
            <w:tcW w:w="757" w:type="pct"/>
            <w:vAlign w:val="center"/>
          </w:tcPr>
          <w:p w14:paraId="7148A76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616</w:t>
            </w:r>
          </w:p>
        </w:tc>
        <w:tc>
          <w:tcPr>
            <w:tcW w:w="718" w:type="pct"/>
            <w:vAlign w:val="center"/>
          </w:tcPr>
          <w:p w14:paraId="02B0182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300</w:t>
            </w:r>
          </w:p>
        </w:tc>
        <w:tc>
          <w:tcPr>
            <w:tcW w:w="770" w:type="pct"/>
            <w:tcBorders>
              <w:right w:val="single" w:color="000000" w:sz="10" w:space="0"/>
            </w:tcBorders>
            <w:vAlign w:val="center"/>
          </w:tcPr>
          <w:p w14:paraId="565276B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4"/>
                <w:sz w:val="20"/>
                <w:szCs w:val="20"/>
                <w:highlight w:val="none"/>
              </w:rPr>
              <w:t>2000</w:t>
            </w:r>
          </w:p>
        </w:tc>
      </w:tr>
      <w:tr w14:paraId="30353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077FAA9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17</w:t>
            </w:r>
          </w:p>
        </w:tc>
        <w:tc>
          <w:tcPr>
            <w:tcW w:w="983" w:type="pct"/>
            <w:vAlign w:val="center"/>
          </w:tcPr>
          <w:p w14:paraId="6FF973A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spacing w:val="3"/>
                <w:highlight w:val="none"/>
              </w:rPr>
              <w:t>1,2-</w:t>
            </w:r>
            <w:r>
              <w:rPr>
                <w:spacing w:val="3"/>
                <w:highlight w:val="none"/>
              </w:rPr>
              <w:t>二氯丙烷</w:t>
            </w:r>
          </w:p>
        </w:tc>
        <w:tc>
          <w:tcPr>
            <w:tcW w:w="690" w:type="pct"/>
            <w:vAlign w:val="center"/>
          </w:tcPr>
          <w:p w14:paraId="344AB50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78-87-5</w:t>
            </w:r>
          </w:p>
        </w:tc>
        <w:tc>
          <w:tcPr>
            <w:tcW w:w="748" w:type="pct"/>
            <w:vAlign w:val="center"/>
          </w:tcPr>
          <w:p w14:paraId="505FE2C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1</w:t>
            </w:r>
          </w:p>
        </w:tc>
        <w:tc>
          <w:tcPr>
            <w:tcW w:w="757" w:type="pct"/>
            <w:vAlign w:val="center"/>
          </w:tcPr>
          <w:p w14:paraId="3A1AF88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718" w:type="pct"/>
            <w:vAlign w:val="center"/>
          </w:tcPr>
          <w:p w14:paraId="2FEF76C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770" w:type="pct"/>
            <w:tcBorders>
              <w:right w:val="single" w:color="000000" w:sz="10" w:space="0"/>
            </w:tcBorders>
            <w:vAlign w:val="center"/>
          </w:tcPr>
          <w:p w14:paraId="1A91672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3"/>
                <w:sz w:val="20"/>
                <w:szCs w:val="20"/>
                <w:highlight w:val="none"/>
              </w:rPr>
              <w:t>47</w:t>
            </w:r>
          </w:p>
        </w:tc>
      </w:tr>
      <w:tr w14:paraId="7C966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3188604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18</w:t>
            </w:r>
          </w:p>
        </w:tc>
        <w:tc>
          <w:tcPr>
            <w:tcW w:w="983" w:type="pct"/>
            <w:vAlign w:val="center"/>
          </w:tcPr>
          <w:p w14:paraId="392FB24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spacing w:val="-1"/>
                <w:highlight w:val="none"/>
              </w:rPr>
              <w:t>1,</w:t>
            </w:r>
            <w:r>
              <w:rPr>
                <w:rFonts w:ascii="Times New Roman" w:hAnsi="Times New Roman" w:eastAsia="Times New Roman" w:cs="Times New Roman"/>
                <w:spacing w:val="-20"/>
                <w:highlight w:val="none"/>
              </w:rPr>
              <w:t xml:space="preserve"> </w:t>
            </w:r>
            <w:r>
              <w:rPr>
                <w:rFonts w:ascii="Times New Roman" w:hAnsi="Times New Roman" w:eastAsia="Times New Roman" w:cs="Times New Roman"/>
                <w:spacing w:val="-1"/>
                <w:highlight w:val="none"/>
              </w:rPr>
              <w:t>1,</w:t>
            </w:r>
            <w:r>
              <w:rPr>
                <w:rFonts w:ascii="Times New Roman" w:hAnsi="Times New Roman" w:eastAsia="Times New Roman" w:cs="Times New Roman"/>
                <w:spacing w:val="-27"/>
                <w:highlight w:val="none"/>
              </w:rPr>
              <w:t xml:space="preserve"> </w:t>
            </w:r>
            <w:r>
              <w:rPr>
                <w:rFonts w:ascii="Times New Roman" w:hAnsi="Times New Roman" w:eastAsia="Times New Roman" w:cs="Times New Roman"/>
                <w:spacing w:val="-1"/>
                <w:highlight w:val="none"/>
              </w:rPr>
              <w:t>1,2-</w:t>
            </w:r>
            <w:r>
              <w:rPr>
                <w:spacing w:val="-1"/>
                <w:highlight w:val="none"/>
              </w:rPr>
              <w:t>四氯乙烷</w:t>
            </w:r>
          </w:p>
        </w:tc>
        <w:tc>
          <w:tcPr>
            <w:tcW w:w="690" w:type="pct"/>
            <w:vAlign w:val="center"/>
          </w:tcPr>
          <w:p w14:paraId="7BC2FF5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3"/>
                <w:sz w:val="20"/>
                <w:szCs w:val="20"/>
                <w:highlight w:val="none"/>
              </w:rPr>
              <w:t>630-20-6</w:t>
            </w:r>
          </w:p>
        </w:tc>
        <w:tc>
          <w:tcPr>
            <w:tcW w:w="748" w:type="pct"/>
            <w:vAlign w:val="center"/>
          </w:tcPr>
          <w:p w14:paraId="2E1C8CA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2.6</w:t>
            </w:r>
          </w:p>
        </w:tc>
        <w:tc>
          <w:tcPr>
            <w:tcW w:w="757" w:type="pct"/>
            <w:vAlign w:val="center"/>
          </w:tcPr>
          <w:p w14:paraId="5B0941F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10</w:t>
            </w:r>
          </w:p>
        </w:tc>
        <w:tc>
          <w:tcPr>
            <w:tcW w:w="718" w:type="pct"/>
            <w:vAlign w:val="center"/>
          </w:tcPr>
          <w:p w14:paraId="203AB6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26</w:t>
            </w:r>
          </w:p>
        </w:tc>
        <w:tc>
          <w:tcPr>
            <w:tcW w:w="770" w:type="pct"/>
            <w:tcBorders>
              <w:right w:val="single" w:color="000000" w:sz="10" w:space="0"/>
            </w:tcBorders>
            <w:vAlign w:val="center"/>
          </w:tcPr>
          <w:p w14:paraId="08B4CA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3"/>
                <w:sz w:val="20"/>
                <w:szCs w:val="20"/>
                <w:highlight w:val="none"/>
              </w:rPr>
              <w:t>100</w:t>
            </w:r>
          </w:p>
        </w:tc>
      </w:tr>
      <w:tr w14:paraId="21054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3EAC8B6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19</w:t>
            </w:r>
          </w:p>
        </w:tc>
        <w:tc>
          <w:tcPr>
            <w:tcW w:w="983" w:type="pct"/>
            <w:vAlign w:val="center"/>
          </w:tcPr>
          <w:p w14:paraId="273D78F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spacing w:val="1"/>
                <w:highlight w:val="none"/>
              </w:rPr>
              <w:t>1,</w:t>
            </w:r>
            <w:r>
              <w:rPr>
                <w:rFonts w:ascii="Times New Roman" w:hAnsi="Times New Roman" w:eastAsia="Times New Roman" w:cs="Times New Roman"/>
                <w:spacing w:val="-21"/>
                <w:highlight w:val="none"/>
              </w:rPr>
              <w:t xml:space="preserve"> </w:t>
            </w:r>
            <w:r>
              <w:rPr>
                <w:rFonts w:ascii="Times New Roman" w:hAnsi="Times New Roman" w:eastAsia="Times New Roman" w:cs="Times New Roman"/>
                <w:spacing w:val="1"/>
                <w:highlight w:val="none"/>
              </w:rPr>
              <w:t>1,2,2-</w:t>
            </w:r>
            <w:r>
              <w:rPr>
                <w:spacing w:val="1"/>
                <w:highlight w:val="none"/>
              </w:rPr>
              <w:t>四氯乙烷</w:t>
            </w:r>
          </w:p>
        </w:tc>
        <w:tc>
          <w:tcPr>
            <w:tcW w:w="690" w:type="pct"/>
            <w:vAlign w:val="center"/>
          </w:tcPr>
          <w:p w14:paraId="7287D42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79-34-5</w:t>
            </w:r>
          </w:p>
        </w:tc>
        <w:tc>
          <w:tcPr>
            <w:tcW w:w="748" w:type="pct"/>
            <w:vAlign w:val="center"/>
          </w:tcPr>
          <w:p w14:paraId="60C1771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4"/>
                <w:sz w:val="20"/>
                <w:szCs w:val="20"/>
                <w:highlight w:val="none"/>
              </w:rPr>
              <w:t>1.6</w:t>
            </w:r>
          </w:p>
        </w:tc>
        <w:tc>
          <w:tcPr>
            <w:tcW w:w="757" w:type="pct"/>
            <w:vAlign w:val="center"/>
          </w:tcPr>
          <w:p w14:paraId="6813B18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6.8</w:t>
            </w:r>
          </w:p>
        </w:tc>
        <w:tc>
          <w:tcPr>
            <w:tcW w:w="718" w:type="pct"/>
            <w:vAlign w:val="center"/>
          </w:tcPr>
          <w:p w14:paraId="559CED2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14</w:t>
            </w:r>
          </w:p>
        </w:tc>
        <w:tc>
          <w:tcPr>
            <w:tcW w:w="770" w:type="pct"/>
            <w:tcBorders>
              <w:right w:val="single" w:color="000000" w:sz="10" w:space="0"/>
            </w:tcBorders>
            <w:vAlign w:val="center"/>
          </w:tcPr>
          <w:p w14:paraId="1E3D100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z w:val="20"/>
                <w:szCs w:val="20"/>
                <w:highlight w:val="none"/>
              </w:rPr>
              <w:t>50</w:t>
            </w:r>
          </w:p>
        </w:tc>
      </w:tr>
      <w:tr w14:paraId="7CDC2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5CBE1F5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20</w:t>
            </w:r>
          </w:p>
        </w:tc>
        <w:tc>
          <w:tcPr>
            <w:tcW w:w="983" w:type="pct"/>
            <w:vAlign w:val="center"/>
          </w:tcPr>
          <w:p w14:paraId="1B9A684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2"/>
                <w:highlight w:val="none"/>
              </w:rPr>
              <w:t>四氯乙烯</w:t>
            </w:r>
          </w:p>
        </w:tc>
        <w:tc>
          <w:tcPr>
            <w:tcW w:w="690" w:type="pct"/>
            <w:vAlign w:val="center"/>
          </w:tcPr>
          <w:p w14:paraId="3DC9414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127-18-4</w:t>
            </w:r>
          </w:p>
        </w:tc>
        <w:tc>
          <w:tcPr>
            <w:tcW w:w="748" w:type="pct"/>
            <w:vAlign w:val="center"/>
          </w:tcPr>
          <w:p w14:paraId="5027D53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8"/>
                <w:sz w:val="20"/>
                <w:szCs w:val="20"/>
                <w:highlight w:val="none"/>
              </w:rPr>
              <w:t>11</w:t>
            </w:r>
          </w:p>
        </w:tc>
        <w:tc>
          <w:tcPr>
            <w:tcW w:w="757" w:type="pct"/>
            <w:vAlign w:val="center"/>
          </w:tcPr>
          <w:p w14:paraId="1C380B1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53</w:t>
            </w:r>
          </w:p>
        </w:tc>
        <w:tc>
          <w:tcPr>
            <w:tcW w:w="718" w:type="pct"/>
            <w:vAlign w:val="center"/>
          </w:tcPr>
          <w:p w14:paraId="521C03D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34</w:t>
            </w:r>
          </w:p>
        </w:tc>
        <w:tc>
          <w:tcPr>
            <w:tcW w:w="770" w:type="pct"/>
            <w:tcBorders>
              <w:right w:val="single" w:color="000000" w:sz="10" w:space="0"/>
            </w:tcBorders>
            <w:vAlign w:val="center"/>
          </w:tcPr>
          <w:p w14:paraId="356926F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3"/>
                <w:sz w:val="20"/>
                <w:szCs w:val="20"/>
                <w:highlight w:val="none"/>
              </w:rPr>
              <w:t>183</w:t>
            </w:r>
          </w:p>
        </w:tc>
      </w:tr>
      <w:tr w14:paraId="4E0CF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4B517E1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21</w:t>
            </w:r>
          </w:p>
        </w:tc>
        <w:tc>
          <w:tcPr>
            <w:tcW w:w="983" w:type="pct"/>
            <w:vAlign w:val="center"/>
          </w:tcPr>
          <w:p w14:paraId="4CCDBCD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spacing w:val="-2"/>
                <w:highlight w:val="none"/>
              </w:rPr>
              <w:t>1,</w:t>
            </w:r>
            <w:r>
              <w:rPr>
                <w:rFonts w:ascii="Times New Roman" w:hAnsi="Times New Roman" w:eastAsia="Times New Roman" w:cs="Times New Roman"/>
                <w:spacing w:val="-20"/>
                <w:highlight w:val="none"/>
              </w:rPr>
              <w:t xml:space="preserve"> </w:t>
            </w:r>
            <w:r>
              <w:rPr>
                <w:rFonts w:ascii="Times New Roman" w:hAnsi="Times New Roman" w:eastAsia="Times New Roman" w:cs="Times New Roman"/>
                <w:spacing w:val="-2"/>
                <w:highlight w:val="none"/>
              </w:rPr>
              <w:t>1,</w:t>
            </w:r>
            <w:r>
              <w:rPr>
                <w:rFonts w:ascii="Times New Roman" w:hAnsi="Times New Roman" w:eastAsia="Times New Roman" w:cs="Times New Roman"/>
                <w:spacing w:val="-28"/>
                <w:highlight w:val="none"/>
              </w:rPr>
              <w:t xml:space="preserve"> </w:t>
            </w:r>
            <w:r>
              <w:rPr>
                <w:rFonts w:ascii="Times New Roman" w:hAnsi="Times New Roman" w:eastAsia="Times New Roman" w:cs="Times New Roman"/>
                <w:spacing w:val="-2"/>
                <w:highlight w:val="none"/>
              </w:rPr>
              <w:t>1-</w:t>
            </w:r>
            <w:r>
              <w:rPr>
                <w:spacing w:val="-2"/>
                <w:highlight w:val="none"/>
              </w:rPr>
              <w:t>三氯乙烷</w:t>
            </w:r>
          </w:p>
        </w:tc>
        <w:tc>
          <w:tcPr>
            <w:tcW w:w="690" w:type="pct"/>
            <w:vAlign w:val="center"/>
          </w:tcPr>
          <w:p w14:paraId="5E3CBB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71-55-6</w:t>
            </w:r>
          </w:p>
        </w:tc>
        <w:tc>
          <w:tcPr>
            <w:tcW w:w="748" w:type="pct"/>
            <w:vAlign w:val="center"/>
          </w:tcPr>
          <w:p w14:paraId="3C5D89B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701</w:t>
            </w:r>
          </w:p>
        </w:tc>
        <w:tc>
          <w:tcPr>
            <w:tcW w:w="757" w:type="pct"/>
            <w:vAlign w:val="center"/>
          </w:tcPr>
          <w:p w14:paraId="032E471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840</w:t>
            </w:r>
          </w:p>
        </w:tc>
        <w:tc>
          <w:tcPr>
            <w:tcW w:w="718" w:type="pct"/>
            <w:vAlign w:val="center"/>
          </w:tcPr>
          <w:p w14:paraId="6138FE1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840</w:t>
            </w:r>
          </w:p>
        </w:tc>
        <w:tc>
          <w:tcPr>
            <w:tcW w:w="770" w:type="pct"/>
            <w:tcBorders>
              <w:right w:val="single" w:color="000000" w:sz="10" w:space="0"/>
            </w:tcBorders>
            <w:vAlign w:val="center"/>
          </w:tcPr>
          <w:p w14:paraId="62E4C4B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z w:val="20"/>
                <w:szCs w:val="20"/>
                <w:highlight w:val="none"/>
              </w:rPr>
              <w:t>840</w:t>
            </w:r>
          </w:p>
        </w:tc>
      </w:tr>
      <w:tr w14:paraId="755DB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082D0A0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22</w:t>
            </w:r>
          </w:p>
        </w:tc>
        <w:tc>
          <w:tcPr>
            <w:tcW w:w="983" w:type="pct"/>
            <w:vAlign w:val="center"/>
          </w:tcPr>
          <w:p w14:paraId="6E2BF51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highlight w:val="none"/>
              </w:rPr>
              <w:t>1,</w:t>
            </w:r>
            <w:r>
              <w:rPr>
                <w:rFonts w:ascii="Times New Roman" w:hAnsi="Times New Roman" w:eastAsia="Times New Roman" w:cs="Times New Roman"/>
                <w:spacing w:val="-18"/>
                <w:highlight w:val="none"/>
              </w:rPr>
              <w:t xml:space="preserve"> </w:t>
            </w:r>
            <w:r>
              <w:rPr>
                <w:rFonts w:ascii="Times New Roman" w:hAnsi="Times New Roman" w:eastAsia="Times New Roman" w:cs="Times New Roman"/>
                <w:highlight w:val="none"/>
              </w:rPr>
              <w:t>1,2-</w:t>
            </w:r>
            <w:r>
              <w:rPr>
                <w:highlight w:val="none"/>
              </w:rPr>
              <w:t>三氯乙烷</w:t>
            </w:r>
          </w:p>
        </w:tc>
        <w:tc>
          <w:tcPr>
            <w:tcW w:w="690" w:type="pct"/>
            <w:vAlign w:val="center"/>
          </w:tcPr>
          <w:p w14:paraId="236BBB0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79-00-5</w:t>
            </w:r>
          </w:p>
        </w:tc>
        <w:tc>
          <w:tcPr>
            <w:tcW w:w="748" w:type="pct"/>
            <w:vAlign w:val="center"/>
          </w:tcPr>
          <w:p w14:paraId="186F2DA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0.6</w:t>
            </w:r>
          </w:p>
        </w:tc>
        <w:tc>
          <w:tcPr>
            <w:tcW w:w="757" w:type="pct"/>
            <w:vAlign w:val="center"/>
          </w:tcPr>
          <w:p w14:paraId="1FEFC46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2.8</w:t>
            </w:r>
          </w:p>
        </w:tc>
        <w:tc>
          <w:tcPr>
            <w:tcW w:w="718" w:type="pct"/>
            <w:vAlign w:val="center"/>
          </w:tcPr>
          <w:p w14:paraId="50FDC1C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w:t>
            </w:r>
          </w:p>
        </w:tc>
        <w:tc>
          <w:tcPr>
            <w:tcW w:w="770" w:type="pct"/>
            <w:tcBorders>
              <w:right w:val="single" w:color="000000" w:sz="10" w:space="0"/>
            </w:tcBorders>
            <w:vAlign w:val="center"/>
          </w:tcPr>
          <w:p w14:paraId="6CD030A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8"/>
                <w:sz w:val="20"/>
                <w:szCs w:val="20"/>
                <w:highlight w:val="none"/>
              </w:rPr>
              <w:t>15</w:t>
            </w:r>
          </w:p>
        </w:tc>
      </w:tr>
      <w:tr w14:paraId="0D57C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18B4C51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23</w:t>
            </w:r>
          </w:p>
        </w:tc>
        <w:tc>
          <w:tcPr>
            <w:tcW w:w="983" w:type="pct"/>
            <w:vAlign w:val="center"/>
          </w:tcPr>
          <w:p w14:paraId="1B75E61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7"/>
                <w:highlight w:val="none"/>
              </w:rPr>
              <w:t>三氯乙烯</w:t>
            </w:r>
          </w:p>
        </w:tc>
        <w:tc>
          <w:tcPr>
            <w:tcW w:w="690" w:type="pct"/>
            <w:vAlign w:val="center"/>
          </w:tcPr>
          <w:p w14:paraId="07F9D45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79-01-6</w:t>
            </w:r>
          </w:p>
        </w:tc>
        <w:tc>
          <w:tcPr>
            <w:tcW w:w="748" w:type="pct"/>
            <w:vAlign w:val="center"/>
          </w:tcPr>
          <w:p w14:paraId="5A22F85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0.7</w:t>
            </w:r>
          </w:p>
        </w:tc>
        <w:tc>
          <w:tcPr>
            <w:tcW w:w="757" w:type="pct"/>
            <w:vAlign w:val="center"/>
          </w:tcPr>
          <w:p w14:paraId="328E446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2.8</w:t>
            </w:r>
          </w:p>
        </w:tc>
        <w:tc>
          <w:tcPr>
            <w:tcW w:w="718" w:type="pct"/>
            <w:vAlign w:val="center"/>
          </w:tcPr>
          <w:p w14:paraId="6FA88D3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7</w:t>
            </w:r>
          </w:p>
        </w:tc>
        <w:tc>
          <w:tcPr>
            <w:tcW w:w="770" w:type="pct"/>
            <w:tcBorders>
              <w:right w:val="single" w:color="000000" w:sz="10" w:space="0"/>
            </w:tcBorders>
            <w:vAlign w:val="center"/>
          </w:tcPr>
          <w:p w14:paraId="2EBFA19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2"/>
                <w:sz w:val="20"/>
                <w:szCs w:val="20"/>
                <w:highlight w:val="none"/>
              </w:rPr>
              <w:t>20</w:t>
            </w:r>
          </w:p>
        </w:tc>
      </w:tr>
      <w:tr w14:paraId="69B49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330" w:type="pct"/>
            <w:tcBorders>
              <w:left w:val="single" w:color="000000" w:sz="10" w:space="0"/>
            </w:tcBorders>
            <w:vAlign w:val="center"/>
          </w:tcPr>
          <w:p w14:paraId="323742F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24</w:t>
            </w:r>
          </w:p>
        </w:tc>
        <w:tc>
          <w:tcPr>
            <w:tcW w:w="983" w:type="pct"/>
            <w:vAlign w:val="center"/>
          </w:tcPr>
          <w:p w14:paraId="611B99C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spacing w:val="1"/>
                <w:highlight w:val="none"/>
              </w:rPr>
              <w:t>1</w:t>
            </w:r>
            <w:r>
              <w:rPr>
                <w:rFonts w:ascii="Times New Roman" w:hAnsi="Times New Roman" w:eastAsia="Times New Roman" w:cs="Times New Roman"/>
                <w:spacing w:val="-19"/>
                <w:highlight w:val="none"/>
              </w:rPr>
              <w:t xml:space="preserve"> </w:t>
            </w:r>
            <w:r>
              <w:rPr>
                <w:spacing w:val="1"/>
                <w:highlight w:val="none"/>
              </w:rPr>
              <w:t>，</w:t>
            </w:r>
            <w:r>
              <w:rPr>
                <w:rFonts w:ascii="Times New Roman" w:hAnsi="Times New Roman" w:eastAsia="Times New Roman" w:cs="Times New Roman"/>
                <w:spacing w:val="1"/>
                <w:highlight w:val="none"/>
              </w:rPr>
              <w:t>2,3-</w:t>
            </w:r>
            <w:r>
              <w:rPr>
                <w:spacing w:val="1"/>
                <w:highlight w:val="none"/>
              </w:rPr>
              <w:t>三氯丙烷</w:t>
            </w:r>
          </w:p>
        </w:tc>
        <w:tc>
          <w:tcPr>
            <w:tcW w:w="690" w:type="pct"/>
            <w:vAlign w:val="center"/>
          </w:tcPr>
          <w:p w14:paraId="6BCF7FC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96-18-4</w:t>
            </w:r>
          </w:p>
        </w:tc>
        <w:tc>
          <w:tcPr>
            <w:tcW w:w="748" w:type="pct"/>
            <w:vAlign w:val="center"/>
          </w:tcPr>
          <w:p w14:paraId="751B7AC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0.05</w:t>
            </w:r>
          </w:p>
        </w:tc>
        <w:tc>
          <w:tcPr>
            <w:tcW w:w="757" w:type="pct"/>
            <w:vAlign w:val="center"/>
          </w:tcPr>
          <w:p w14:paraId="4DC82EB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0.5</w:t>
            </w:r>
          </w:p>
        </w:tc>
        <w:tc>
          <w:tcPr>
            <w:tcW w:w="718" w:type="pct"/>
            <w:vAlign w:val="center"/>
          </w:tcPr>
          <w:p w14:paraId="4C47DE2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0.5</w:t>
            </w:r>
          </w:p>
        </w:tc>
        <w:tc>
          <w:tcPr>
            <w:tcW w:w="770" w:type="pct"/>
            <w:tcBorders>
              <w:right w:val="single" w:color="000000" w:sz="10" w:space="0"/>
            </w:tcBorders>
            <w:vAlign w:val="center"/>
          </w:tcPr>
          <w:p w14:paraId="53EDD94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z w:val="20"/>
                <w:szCs w:val="20"/>
                <w:highlight w:val="none"/>
              </w:rPr>
              <w:t>5</w:t>
            </w:r>
          </w:p>
        </w:tc>
      </w:tr>
      <w:tr w14:paraId="67496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0FA0A6B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25</w:t>
            </w:r>
          </w:p>
        </w:tc>
        <w:tc>
          <w:tcPr>
            <w:tcW w:w="983" w:type="pct"/>
            <w:vAlign w:val="center"/>
          </w:tcPr>
          <w:p w14:paraId="685EA3F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5"/>
                <w:highlight w:val="none"/>
              </w:rPr>
              <w:t>氯乙烯</w:t>
            </w:r>
          </w:p>
        </w:tc>
        <w:tc>
          <w:tcPr>
            <w:tcW w:w="690" w:type="pct"/>
            <w:vAlign w:val="center"/>
          </w:tcPr>
          <w:p w14:paraId="2BDC15D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75-01-4</w:t>
            </w:r>
          </w:p>
        </w:tc>
        <w:tc>
          <w:tcPr>
            <w:tcW w:w="748" w:type="pct"/>
            <w:vAlign w:val="center"/>
          </w:tcPr>
          <w:p w14:paraId="524ADE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4"/>
                <w:sz w:val="20"/>
                <w:szCs w:val="20"/>
                <w:highlight w:val="none"/>
              </w:rPr>
              <w:t>0.</w:t>
            </w:r>
            <w:r>
              <w:rPr>
                <w:rFonts w:ascii="Times New Roman" w:hAnsi="Times New Roman" w:eastAsia="Times New Roman" w:cs="Times New Roman"/>
                <w:spacing w:val="-25"/>
                <w:sz w:val="20"/>
                <w:szCs w:val="20"/>
                <w:highlight w:val="none"/>
              </w:rPr>
              <w:t xml:space="preserve"> </w:t>
            </w:r>
            <w:r>
              <w:rPr>
                <w:rFonts w:ascii="Times New Roman" w:hAnsi="Times New Roman" w:eastAsia="Times New Roman" w:cs="Times New Roman"/>
                <w:spacing w:val="-4"/>
                <w:sz w:val="20"/>
                <w:szCs w:val="20"/>
                <w:highlight w:val="none"/>
              </w:rPr>
              <w:t>12</w:t>
            </w:r>
          </w:p>
        </w:tc>
        <w:tc>
          <w:tcPr>
            <w:tcW w:w="757" w:type="pct"/>
            <w:vAlign w:val="center"/>
          </w:tcPr>
          <w:p w14:paraId="031AA01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0.43</w:t>
            </w:r>
          </w:p>
        </w:tc>
        <w:tc>
          <w:tcPr>
            <w:tcW w:w="718" w:type="pct"/>
            <w:vAlign w:val="center"/>
          </w:tcPr>
          <w:p w14:paraId="2A0C6D4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4"/>
                <w:sz w:val="20"/>
                <w:szCs w:val="20"/>
                <w:highlight w:val="none"/>
              </w:rPr>
              <w:t>1.2</w:t>
            </w:r>
          </w:p>
        </w:tc>
        <w:tc>
          <w:tcPr>
            <w:tcW w:w="770" w:type="pct"/>
            <w:tcBorders>
              <w:right w:val="single" w:color="000000" w:sz="10" w:space="0"/>
            </w:tcBorders>
            <w:vAlign w:val="center"/>
          </w:tcPr>
          <w:p w14:paraId="3E624F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3"/>
                <w:sz w:val="20"/>
                <w:szCs w:val="20"/>
                <w:highlight w:val="none"/>
              </w:rPr>
              <w:t>4.3</w:t>
            </w:r>
          </w:p>
        </w:tc>
      </w:tr>
      <w:tr w14:paraId="77E1F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7FF506F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26</w:t>
            </w:r>
          </w:p>
        </w:tc>
        <w:tc>
          <w:tcPr>
            <w:tcW w:w="983" w:type="pct"/>
            <w:vAlign w:val="center"/>
          </w:tcPr>
          <w:p w14:paraId="362C2CE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highlight w:val="none"/>
              </w:rPr>
              <w:t>苯</w:t>
            </w:r>
          </w:p>
        </w:tc>
        <w:tc>
          <w:tcPr>
            <w:tcW w:w="690" w:type="pct"/>
            <w:vAlign w:val="center"/>
          </w:tcPr>
          <w:p w14:paraId="52A6B1B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71-43-2</w:t>
            </w:r>
          </w:p>
        </w:tc>
        <w:tc>
          <w:tcPr>
            <w:tcW w:w="748" w:type="pct"/>
            <w:vAlign w:val="center"/>
          </w:tcPr>
          <w:p w14:paraId="6534255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1</w:t>
            </w:r>
          </w:p>
        </w:tc>
        <w:tc>
          <w:tcPr>
            <w:tcW w:w="757" w:type="pct"/>
            <w:vAlign w:val="center"/>
          </w:tcPr>
          <w:p w14:paraId="7DE55E9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4</w:t>
            </w:r>
          </w:p>
        </w:tc>
        <w:tc>
          <w:tcPr>
            <w:tcW w:w="718" w:type="pct"/>
            <w:vAlign w:val="center"/>
          </w:tcPr>
          <w:p w14:paraId="2854320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8"/>
                <w:sz w:val="20"/>
                <w:szCs w:val="20"/>
                <w:highlight w:val="none"/>
              </w:rPr>
              <w:t>10</w:t>
            </w:r>
          </w:p>
        </w:tc>
        <w:tc>
          <w:tcPr>
            <w:tcW w:w="770" w:type="pct"/>
            <w:tcBorders>
              <w:right w:val="single" w:color="000000" w:sz="10" w:space="0"/>
            </w:tcBorders>
            <w:vAlign w:val="center"/>
          </w:tcPr>
          <w:p w14:paraId="5A2721F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3"/>
                <w:sz w:val="20"/>
                <w:szCs w:val="20"/>
                <w:highlight w:val="none"/>
              </w:rPr>
              <w:t>40</w:t>
            </w:r>
          </w:p>
        </w:tc>
      </w:tr>
      <w:tr w14:paraId="7F9D7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7BF5C63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27</w:t>
            </w:r>
          </w:p>
        </w:tc>
        <w:tc>
          <w:tcPr>
            <w:tcW w:w="983" w:type="pct"/>
            <w:vAlign w:val="center"/>
          </w:tcPr>
          <w:p w14:paraId="4EB5124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3"/>
                <w:highlight w:val="none"/>
              </w:rPr>
              <w:t>氯苯</w:t>
            </w:r>
          </w:p>
        </w:tc>
        <w:tc>
          <w:tcPr>
            <w:tcW w:w="690" w:type="pct"/>
            <w:vAlign w:val="center"/>
          </w:tcPr>
          <w:p w14:paraId="19F1478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108-90-7</w:t>
            </w:r>
          </w:p>
        </w:tc>
        <w:tc>
          <w:tcPr>
            <w:tcW w:w="748" w:type="pct"/>
            <w:vAlign w:val="center"/>
          </w:tcPr>
          <w:p w14:paraId="1B4E94F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68</w:t>
            </w:r>
          </w:p>
        </w:tc>
        <w:tc>
          <w:tcPr>
            <w:tcW w:w="757" w:type="pct"/>
            <w:vAlign w:val="center"/>
          </w:tcPr>
          <w:p w14:paraId="3049B98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270</w:t>
            </w:r>
          </w:p>
        </w:tc>
        <w:tc>
          <w:tcPr>
            <w:tcW w:w="718" w:type="pct"/>
            <w:vAlign w:val="center"/>
          </w:tcPr>
          <w:p w14:paraId="1D644C6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200</w:t>
            </w:r>
          </w:p>
        </w:tc>
        <w:tc>
          <w:tcPr>
            <w:tcW w:w="770" w:type="pct"/>
            <w:tcBorders>
              <w:right w:val="single" w:color="000000" w:sz="10" w:space="0"/>
            </w:tcBorders>
            <w:vAlign w:val="center"/>
          </w:tcPr>
          <w:p w14:paraId="3ED1D6E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1"/>
                <w:sz w:val="20"/>
                <w:szCs w:val="20"/>
                <w:highlight w:val="none"/>
              </w:rPr>
              <w:t>1000</w:t>
            </w:r>
          </w:p>
        </w:tc>
      </w:tr>
      <w:tr w14:paraId="58DB8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5AF3D38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28</w:t>
            </w:r>
          </w:p>
        </w:tc>
        <w:tc>
          <w:tcPr>
            <w:tcW w:w="983" w:type="pct"/>
            <w:vAlign w:val="center"/>
          </w:tcPr>
          <w:p w14:paraId="108542A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spacing w:val="2"/>
                <w:highlight w:val="none"/>
              </w:rPr>
              <w:t>1,2-</w:t>
            </w:r>
            <w:r>
              <w:rPr>
                <w:spacing w:val="2"/>
                <w:highlight w:val="none"/>
              </w:rPr>
              <w:t>二氯苯</w:t>
            </w:r>
          </w:p>
        </w:tc>
        <w:tc>
          <w:tcPr>
            <w:tcW w:w="690" w:type="pct"/>
            <w:vAlign w:val="center"/>
          </w:tcPr>
          <w:p w14:paraId="5EAD3A1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95-50-1</w:t>
            </w:r>
          </w:p>
        </w:tc>
        <w:tc>
          <w:tcPr>
            <w:tcW w:w="748" w:type="pct"/>
            <w:vAlign w:val="center"/>
          </w:tcPr>
          <w:p w14:paraId="492B66D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560</w:t>
            </w:r>
          </w:p>
        </w:tc>
        <w:tc>
          <w:tcPr>
            <w:tcW w:w="757" w:type="pct"/>
            <w:vAlign w:val="center"/>
          </w:tcPr>
          <w:p w14:paraId="3BDFF2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560</w:t>
            </w:r>
          </w:p>
        </w:tc>
        <w:tc>
          <w:tcPr>
            <w:tcW w:w="718" w:type="pct"/>
            <w:vAlign w:val="center"/>
          </w:tcPr>
          <w:p w14:paraId="504FEE6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560</w:t>
            </w:r>
          </w:p>
        </w:tc>
        <w:tc>
          <w:tcPr>
            <w:tcW w:w="770" w:type="pct"/>
            <w:tcBorders>
              <w:right w:val="single" w:color="000000" w:sz="10" w:space="0"/>
            </w:tcBorders>
            <w:vAlign w:val="center"/>
          </w:tcPr>
          <w:p w14:paraId="2308D23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1"/>
                <w:sz w:val="20"/>
                <w:szCs w:val="20"/>
                <w:highlight w:val="none"/>
              </w:rPr>
              <w:t>560</w:t>
            </w:r>
          </w:p>
        </w:tc>
      </w:tr>
      <w:tr w14:paraId="405A7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590B526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2"/>
                <w:sz w:val="20"/>
                <w:szCs w:val="20"/>
                <w:highlight w:val="none"/>
              </w:rPr>
              <w:t>29</w:t>
            </w:r>
          </w:p>
        </w:tc>
        <w:tc>
          <w:tcPr>
            <w:tcW w:w="983" w:type="pct"/>
            <w:vAlign w:val="center"/>
          </w:tcPr>
          <w:p w14:paraId="2A35303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rFonts w:ascii="Times New Roman" w:hAnsi="Times New Roman" w:eastAsia="Times New Roman" w:cs="Times New Roman"/>
                <w:spacing w:val="2"/>
                <w:highlight w:val="none"/>
              </w:rPr>
              <w:t>1,4-</w:t>
            </w:r>
            <w:r>
              <w:rPr>
                <w:spacing w:val="2"/>
                <w:highlight w:val="none"/>
              </w:rPr>
              <w:t>二氯苯</w:t>
            </w:r>
          </w:p>
        </w:tc>
        <w:tc>
          <w:tcPr>
            <w:tcW w:w="690" w:type="pct"/>
            <w:vAlign w:val="center"/>
          </w:tcPr>
          <w:p w14:paraId="60E273C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106-46-7</w:t>
            </w:r>
          </w:p>
        </w:tc>
        <w:tc>
          <w:tcPr>
            <w:tcW w:w="748" w:type="pct"/>
            <w:vAlign w:val="center"/>
          </w:tcPr>
          <w:p w14:paraId="2408134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5.6</w:t>
            </w:r>
          </w:p>
        </w:tc>
        <w:tc>
          <w:tcPr>
            <w:tcW w:w="757" w:type="pct"/>
            <w:vAlign w:val="center"/>
          </w:tcPr>
          <w:p w14:paraId="305C57B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20</w:t>
            </w:r>
          </w:p>
        </w:tc>
        <w:tc>
          <w:tcPr>
            <w:tcW w:w="718" w:type="pct"/>
            <w:vAlign w:val="center"/>
          </w:tcPr>
          <w:p w14:paraId="1D991DF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56</w:t>
            </w:r>
          </w:p>
        </w:tc>
        <w:tc>
          <w:tcPr>
            <w:tcW w:w="770" w:type="pct"/>
            <w:tcBorders>
              <w:right w:val="single" w:color="000000" w:sz="10" w:space="0"/>
            </w:tcBorders>
            <w:vAlign w:val="center"/>
          </w:tcPr>
          <w:p w14:paraId="4972E75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3"/>
                <w:sz w:val="20"/>
                <w:szCs w:val="20"/>
                <w:highlight w:val="none"/>
              </w:rPr>
              <w:t>200</w:t>
            </w:r>
          </w:p>
        </w:tc>
      </w:tr>
      <w:tr w14:paraId="684A3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6EC71A4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30</w:t>
            </w:r>
          </w:p>
        </w:tc>
        <w:tc>
          <w:tcPr>
            <w:tcW w:w="983" w:type="pct"/>
            <w:vAlign w:val="center"/>
          </w:tcPr>
          <w:p w14:paraId="0131E6F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6"/>
                <w:highlight w:val="none"/>
              </w:rPr>
              <w:t>乙苯</w:t>
            </w:r>
          </w:p>
        </w:tc>
        <w:tc>
          <w:tcPr>
            <w:tcW w:w="690" w:type="pct"/>
            <w:vAlign w:val="center"/>
          </w:tcPr>
          <w:p w14:paraId="3CBAC90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100-41-4</w:t>
            </w:r>
          </w:p>
        </w:tc>
        <w:tc>
          <w:tcPr>
            <w:tcW w:w="748" w:type="pct"/>
            <w:vAlign w:val="center"/>
          </w:tcPr>
          <w:p w14:paraId="55EFB63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7.2</w:t>
            </w:r>
          </w:p>
        </w:tc>
        <w:tc>
          <w:tcPr>
            <w:tcW w:w="757" w:type="pct"/>
            <w:vAlign w:val="center"/>
          </w:tcPr>
          <w:p w14:paraId="6806370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28</w:t>
            </w:r>
          </w:p>
        </w:tc>
        <w:tc>
          <w:tcPr>
            <w:tcW w:w="718" w:type="pct"/>
            <w:vAlign w:val="center"/>
          </w:tcPr>
          <w:p w14:paraId="4F08F42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72</w:t>
            </w:r>
          </w:p>
        </w:tc>
        <w:tc>
          <w:tcPr>
            <w:tcW w:w="770" w:type="pct"/>
            <w:tcBorders>
              <w:right w:val="single" w:color="000000" w:sz="10" w:space="0"/>
            </w:tcBorders>
            <w:vAlign w:val="center"/>
          </w:tcPr>
          <w:p w14:paraId="0EE860E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3"/>
                <w:sz w:val="20"/>
                <w:szCs w:val="20"/>
                <w:highlight w:val="none"/>
              </w:rPr>
              <w:t>280</w:t>
            </w:r>
          </w:p>
        </w:tc>
      </w:tr>
      <w:tr w14:paraId="28650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30214DA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31</w:t>
            </w:r>
          </w:p>
        </w:tc>
        <w:tc>
          <w:tcPr>
            <w:tcW w:w="983" w:type="pct"/>
            <w:vAlign w:val="center"/>
          </w:tcPr>
          <w:p w14:paraId="694ECE8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6"/>
                <w:highlight w:val="none"/>
              </w:rPr>
              <w:t>苯乙烯</w:t>
            </w:r>
          </w:p>
        </w:tc>
        <w:tc>
          <w:tcPr>
            <w:tcW w:w="690" w:type="pct"/>
            <w:vAlign w:val="center"/>
          </w:tcPr>
          <w:p w14:paraId="7993EE1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100-42-5</w:t>
            </w:r>
          </w:p>
        </w:tc>
        <w:tc>
          <w:tcPr>
            <w:tcW w:w="748" w:type="pct"/>
            <w:vAlign w:val="center"/>
          </w:tcPr>
          <w:p w14:paraId="20B7727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1290</w:t>
            </w:r>
          </w:p>
        </w:tc>
        <w:tc>
          <w:tcPr>
            <w:tcW w:w="757" w:type="pct"/>
            <w:vAlign w:val="center"/>
          </w:tcPr>
          <w:p w14:paraId="5C5B198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1290</w:t>
            </w:r>
          </w:p>
        </w:tc>
        <w:tc>
          <w:tcPr>
            <w:tcW w:w="718" w:type="pct"/>
            <w:vAlign w:val="center"/>
          </w:tcPr>
          <w:p w14:paraId="07ADFB2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1290</w:t>
            </w:r>
          </w:p>
        </w:tc>
        <w:tc>
          <w:tcPr>
            <w:tcW w:w="770" w:type="pct"/>
            <w:tcBorders>
              <w:right w:val="single" w:color="000000" w:sz="10" w:space="0"/>
            </w:tcBorders>
            <w:vAlign w:val="center"/>
          </w:tcPr>
          <w:p w14:paraId="24038B9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1"/>
                <w:sz w:val="20"/>
                <w:szCs w:val="20"/>
                <w:highlight w:val="none"/>
              </w:rPr>
              <w:t>1290</w:t>
            </w:r>
          </w:p>
        </w:tc>
      </w:tr>
      <w:tr w14:paraId="0A6BC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2588339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32</w:t>
            </w:r>
          </w:p>
        </w:tc>
        <w:tc>
          <w:tcPr>
            <w:tcW w:w="983" w:type="pct"/>
            <w:vAlign w:val="center"/>
          </w:tcPr>
          <w:p w14:paraId="1E58630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9"/>
                <w:highlight w:val="none"/>
              </w:rPr>
              <w:t>甲苯</w:t>
            </w:r>
          </w:p>
        </w:tc>
        <w:tc>
          <w:tcPr>
            <w:tcW w:w="690" w:type="pct"/>
            <w:vAlign w:val="center"/>
          </w:tcPr>
          <w:p w14:paraId="1CBDD66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1"/>
                <w:sz w:val="20"/>
                <w:szCs w:val="20"/>
                <w:highlight w:val="none"/>
              </w:rPr>
              <w:t>108-88-3</w:t>
            </w:r>
          </w:p>
        </w:tc>
        <w:tc>
          <w:tcPr>
            <w:tcW w:w="748" w:type="pct"/>
            <w:vAlign w:val="center"/>
          </w:tcPr>
          <w:p w14:paraId="1BDBE80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1"/>
                <w:sz w:val="20"/>
                <w:szCs w:val="20"/>
                <w:highlight w:val="none"/>
              </w:rPr>
              <w:t>1200</w:t>
            </w:r>
          </w:p>
        </w:tc>
        <w:tc>
          <w:tcPr>
            <w:tcW w:w="757" w:type="pct"/>
            <w:vAlign w:val="center"/>
          </w:tcPr>
          <w:p w14:paraId="6B1D2C4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1200</w:t>
            </w:r>
          </w:p>
        </w:tc>
        <w:tc>
          <w:tcPr>
            <w:tcW w:w="718" w:type="pct"/>
            <w:vAlign w:val="center"/>
          </w:tcPr>
          <w:p w14:paraId="6A95BEB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1200</w:t>
            </w:r>
          </w:p>
        </w:tc>
        <w:tc>
          <w:tcPr>
            <w:tcW w:w="770" w:type="pct"/>
            <w:tcBorders>
              <w:right w:val="single" w:color="000000" w:sz="10" w:space="0"/>
            </w:tcBorders>
            <w:vAlign w:val="center"/>
          </w:tcPr>
          <w:p w14:paraId="7D06CA6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1"/>
                <w:sz w:val="20"/>
                <w:szCs w:val="20"/>
                <w:highlight w:val="none"/>
              </w:rPr>
              <w:t>1200</w:t>
            </w:r>
          </w:p>
        </w:tc>
      </w:tr>
      <w:tr w14:paraId="4ADA5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6FFABAE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33</w:t>
            </w:r>
          </w:p>
        </w:tc>
        <w:tc>
          <w:tcPr>
            <w:tcW w:w="983" w:type="pct"/>
            <w:vAlign w:val="center"/>
          </w:tcPr>
          <w:p w14:paraId="65836BC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5"/>
                <w:highlight w:val="none"/>
              </w:rPr>
              <w:t>间二甲苯</w:t>
            </w:r>
            <w:r>
              <w:rPr>
                <w:rFonts w:ascii="Times New Roman" w:hAnsi="Times New Roman" w:eastAsia="Times New Roman" w:cs="Times New Roman"/>
                <w:spacing w:val="5"/>
                <w:highlight w:val="none"/>
              </w:rPr>
              <w:t>+</w:t>
            </w:r>
            <w:r>
              <w:rPr>
                <w:spacing w:val="5"/>
                <w:highlight w:val="none"/>
              </w:rPr>
              <w:t>对二</w:t>
            </w:r>
          </w:p>
          <w:p w14:paraId="479EAA0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9"/>
                <w:highlight w:val="none"/>
              </w:rPr>
              <w:t>甲苯</w:t>
            </w:r>
          </w:p>
        </w:tc>
        <w:tc>
          <w:tcPr>
            <w:tcW w:w="690" w:type="pct"/>
            <w:vAlign w:val="center"/>
          </w:tcPr>
          <w:p w14:paraId="4B0EA0D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4"/>
                <w:highlight w:val="none"/>
              </w:rPr>
              <w:t>108-38-3</w:t>
            </w:r>
            <w:r>
              <w:rPr>
                <w:spacing w:val="-4"/>
                <w:highlight w:val="none"/>
              </w:rPr>
              <w:t>，</w:t>
            </w:r>
            <w:r>
              <w:rPr>
                <w:spacing w:val="5"/>
                <w:highlight w:val="none"/>
              </w:rPr>
              <w:t xml:space="preserve"> </w:t>
            </w:r>
            <w:r>
              <w:rPr>
                <w:rFonts w:ascii="Times New Roman" w:hAnsi="Times New Roman" w:eastAsia="Times New Roman" w:cs="Times New Roman"/>
                <w:spacing w:val="1"/>
                <w:highlight w:val="none"/>
              </w:rPr>
              <w:t>106-42-3</w:t>
            </w:r>
          </w:p>
        </w:tc>
        <w:tc>
          <w:tcPr>
            <w:tcW w:w="748" w:type="pct"/>
            <w:vAlign w:val="center"/>
          </w:tcPr>
          <w:p w14:paraId="1B34EB2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163</w:t>
            </w:r>
          </w:p>
        </w:tc>
        <w:tc>
          <w:tcPr>
            <w:tcW w:w="757" w:type="pct"/>
            <w:vAlign w:val="center"/>
          </w:tcPr>
          <w:p w14:paraId="1E25F86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570</w:t>
            </w:r>
          </w:p>
        </w:tc>
        <w:tc>
          <w:tcPr>
            <w:tcW w:w="718" w:type="pct"/>
            <w:vAlign w:val="center"/>
          </w:tcPr>
          <w:p w14:paraId="13FDAB5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500</w:t>
            </w:r>
          </w:p>
        </w:tc>
        <w:tc>
          <w:tcPr>
            <w:tcW w:w="770" w:type="pct"/>
            <w:tcBorders>
              <w:right w:val="single" w:color="000000" w:sz="10" w:space="0"/>
            </w:tcBorders>
            <w:vAlign w:val="center"/>
          </w:tcPr>
          <w:p w14:paraId="1823C02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1"/>
                <w:sz w:val="20"/>
                <w:szCs w:val="20"/>
                <w:highlight w:val="none"/>
              </w:rPr>
              <w:t>570</w:t>
            </w:r>
          </w:p>
        </w:tc>
      </w:tr>
      <w:tr w14:paraId="11C91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1AA6C0D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z w:val="20"/>
                <w:szCs w:val="20"/>
                <w:highlight w:val="none"/>
              </w:rPr>
              <w:t>34</w:t>
            </w:r>
          </w:p>
        </w:tc>
        <w:tc>
          <w:tcPr>
            <w:tcW w:w="983" w:type="pct"/>
            <w:vAlign w:val="center"/>
          </w:tcPr>
          <w:p w14:paraId="7FE0F65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spacing w:val="2"/>
                <w:highlight w:val="none"/>
              </w:rPr>
            </w:pPr>
            <w:r>
              <w:rPr>
                <w:spacing w:val="7"/>
                <w:highlight w:val="none"/>
              </w:rPr>
              <w:t>邻二甲苯</w:t>
            </w:r>
          </w:p>
        </w:tc>
        <w:tc>
          <w:tcPr>
            <w:tcW w:w="690" w:type="pct"/>
            <w:vAlign w:val="center"/>
          </w:tcPr>
          <w:p w14:paraId="44E99F9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1"/>
                <w:sz w:val="20"/>
                <w:szCs w:val="20"/>
                <w:highlight w:val="none"/>
              </w:rPr>
            </w:pPr>
            <w:r>
              <w:rPr>
                <w:rFonts w:ascii="Times New Roman" w:hAnsi="Times New Roman" w:eastAsia="Times New Roman" w:cs="Times New Roman"/>
                <w:spacing w:val="2"/>
                <w:sz w:val="20"/>
                <w:szCs w:val="20"/>
                <w:highlight w:val="none"/>
              </w:rPr>
              <w:t>95-47-6</w:t>
            </w:r>
          </w:p>
        </w:tc>
        <w:tc>
          <w:tcPr>
            <w:tcW w:w="748" w:type="pct"/>
            <w:vAlign w:val="center"/>
          </w:tcPr>
          <w:p w14:paraId="7911379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8"/>
                <w:sz w:val="20"/>
                <w:szCs w:val="20"/>
                <w:highlight w:val="none"/>
              </w:rPr>
            </w:pPr>
            <w:r>
              <w:rPr>
                <w:rFonts w:ascii="Times New Roman" w:hAnsi="Times New Roman" w:eastAsia="Times New Roman" w:cs="Times New Roman"/>
                <w:spacing w:val="3"/>
                <w:sz w:val="20"/>
                <w:szCs w:val="20"/>
                <w:highlight w:val="none"/>
              </w:rPr>
              <w:t>222</w:t>
            </w:r>
          </w:p>
        </w:tc>
        <w:tc>
          <w:tcPr>
            <w:tcW w:w="757" w:type="pct"/>
            <w:vAlign w:val="center"/>
          </w:tcPr>
          <w:p w14:paraId="7F55BD7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640</w:t>
            </w:r>
          </w:p>
        </w:tc>
        <w:tc>
          <w:tcPr>
            <w:tcW w:w="718" w:type="pct"/>
            <w:vAlign w:val="center"/>
          </w:tcPr>
          <w:p w14:paraId="760D104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2"/>
                <w:sz w:val="20"/>
                <w:szCs w:val="20"/>
                <w:highlight w:val="none"/>
              </w:rPr>
              <w:t>640</w:t>
            </w:r>
          </w:p>
        </w:tc>
        <w:tc>
          <w:tcPr>
            <w:tcW w:w="770" w:type="pct"/>
            <w:tcBorders>
              <w:right w:val="single" w:color="000000" w:sz="10" w:space="0"/>
            </w:tcBorders>
            <w:vAlign w:val="center"/>
          </w:tcPr>
          <w:p w14:paraId="5BEF3E8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ascii="Times New Roman" w:hAnsi="Times New Roman" w:eastAsia="Times New Roman" w:cs="Times New Roman"/>
                <w:spacing w:val="-3"/>
                <w:sz w:val="20"/>
                <w:szCs w:val="20"/>
                <w:highlight w:val="none"/>
              </w:rPr>
            </w:pPr>
            <w:r>
              <w:rPr>
                <w:rFonts w:ascii="Times New Roman" w:hAnsi="Times New Roman" w:eastAsia="Times New Roman" w:cs="Times New Roman"/>
                <w:spacing w:val="2"/>
                <w:sz w:val="20"/>
                <w:szCs w:val="20"/>
                <w:highlight w:val="none"/>
              </w:rPr>
              <w:t>640</w:t>
            </w:r>
          </w:p>
        </w:tc>
      </w:tr>
      <w:tr w14:paraId="704C7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000" w:type="pct"/>
            <w:gridSpan w:val="7"/>
            <w:tcBorders>
              <w:left w:val="single" w:color="000000" w:sz="10" w:space="0"/>
              <w:right w:val="single" w:color="000000" w:sz="10" w:space="0"/>
            </w:tcBorders>
            <w:vAlign w:val="center"/>
          </w:tcPr>
          <w:p w14:paraId="6FB9272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半挥发性有机物</w:t>
            </w:r>
          </w:p>
        </w:tc>
      </w:tr>
      <w:tr w14:paraId="4CEE2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3B07987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35</w:t>
            </w:r>
          </w:p>
        </w:tc>
        <w:tc>
          <w:tcPr>
            <w:tcW w:w="983" w:type="pct"/>
            <w:vAlign w:val="center"/>
          </w:tcPr>
          <w:p w14:paraId="7EA4390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硝基苯</w:t>
            </w:r>
          </w:p>
        </w:tc>
        <w:tc>
          <w:tcPr>
            <w:tcW w:w="690" w:type="pct"/>
            <w:vAlign w:val="center"/>
          </w:tcPr>
          <w:p w14:paraId="6D1C3EA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98-95-3</w:t>
            </w:r>
          </w:p>
        </w:tc>
        <w:tc>
          <w:tcPr>
            <w:tcW w:w="748" w:type="pct"/>
            <w:vAlign w:val="center"/>
          </w:tcPr>
          <w:p w14:paraId="4F6492D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34</w:t>
            </w:r>
          </w:p>
        </w:tc>
        <w:tc>
          <w:tcPr>
            <w:tcW w:w="757" w:type="pct"/>
            <w:vAlign w:val="center"/>
          </w:tcPr>
          <w:p w14:paraId="55D3A07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76</w:t>
            </w:r>
          </w:p>
        </w:tc>
        <w:tc>
          <w:tcPr>
            <w:tcW w:w="718" w:type="pct"/>
            <w:vAlign w:val="center"/>
          </w:tcPr>
          <w:p w14:paraId="7E70FED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190</w:t>
            </w:r>
          </w:p>
        </w:tc>
        <w:tc>
          <w:tcPr>
            <w:tcW w:w="770" w:type="pct"/>
            <w:tcBorders>
              <w:right w:val="single" w:color="000000" w:sz="10" w:space="0"/>
            </w:tcBorders>
            <w:vAlign w:val="center"/>
          </w:tcPr>
          <w:p w14:paraId="7901174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760</w:t>
            </w:r>
          </w:p>
        </w:tc>
      </w:tr>
      <w:tr w14:paraId="4732F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6467A4E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36</w:t>
            </w:r>
          </w:p>
        </w:tc>
        <w:tc>
          <w:tcPr>
            <w:tcW w:w="983" w:type="pct"/>
            <w:vAlign w:val="center"/>
          </w:tcPr>
          <w:p w14:paraId="096B219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苯胺</w:t>
            </w:r>
          </w:p>
        </w:tc>
        <w:tc>
          <w:tcPr>
            <w:tcW w:w="690" w:type="pct"/>
            <w:vAlign w:val="center"/>
          </w:tcPr>
          <w:p w14:paraId="1A51536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62-53-3</w:t>
            </w:r>
          </w:p>
        </w:tc>
        <w:tc>
          <w:tcPr>
            <w:tcW w:w="748" w:type="pct"/>
            <w:vAlign w:val="center"/>
          </w:tcPr>
          <w:p w14:paraId="223D284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92</w:t>
            </w:r>
          </w:p>
        </w:tc>
        <w:tc>
          <w:tcPr>
            <w:tcW w:w="757" w:type="pct"/>
            <w:vAlign w:val="center"/>
          </w:tcPr>
          <w:p w14:paraId="780AED7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260</w:t>
            </w:r>
          </w:p>
        </w:tc>
        <w:tc>
          <w:tcPr>
            <w:tcW w:w="718" w:type="pct"/>
            <w:vAlign w:val="center"/>
          </w:tcPr>
          <w:p w14:paraId="4CDC419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211</w:t>
            </w:r>
          </w:p>
        </w:tc>
        <w:tc>
          <w:tcPr>
            <w:tcW w:w="770" w:type="pct"/>
            <w:tcBorders>
              <w:right w:val="single" w:color="000000" w:sz="10" w:space="0"/>
            </w:tcBorders>
            <w:vAlign w:val="center"/>
          </w:tcPr>
          <w:p w14:paraId="6448163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663</w:t>
            </w:r>
          </w:p>
        </w:tc>
      </w:tr>
      <w:tr w14:paraId="15791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2B36B47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37</w:t>
            </w:r>
          </w:p>
        </w:tc>
        <w:tc>
          <w:tcPr>
            <w:tcW w:w="983" w:type="pct"/>
            <w:vAlign w:val="center"/>
          </w:tcPr>
          <w:p w14:paraId="714A0AD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2-氯酚</w:t>
            </w:r>
          </w:p>
        </w:tc>
        <w:tc>
          <w:tcPr>
            <w:tcW w:w="690" w:type="pct"/>
            <w:vAlign w:val="center"/>
          </w:tcPr>
          <w:p w14:paraId="64D5DF1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95-57-8</w:t>
            </w:r>
          </w:p>
        </w:tc>
        <w:tc>
          <w:tcPr>
            <w:tcW w:w="748" w:type="pct"/>
            <w:vAlign w:val="center"/>
          </w:tcPr>
          <w:p w14:paraId="643C14E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250</w:t>
            </w:r>
          </w:p>
        </w:tc>
        <w:tc>
          <w:tcPr>
            <w:tcW w:w="757" w:type="pct"/>
            <w:vAlign w:val="center"/>
          </w:tcPr>
          <w:p w14:paraId="2E53D2A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247.56</w:t>
            </w:r>
          </w:p>
        </w:tc>
        <w:tc>
          <w:tcPr>
            <w:tcW w:w="718" w:type="pct"/>
            <w:vAlign w:val="center"/>
          </w:tcPr>
          <w:p w14:paraId="4D7FAE5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500</w:t>
            </w:r>
          </w:p>
        </w:tc>
        <w:tc>
          <w:tcPr>
            <w:tcW w:w="770" w:type="pct"/>
            <w:tcBorders>
              <w:right w:val="single" w:color="000000" w:sz="10" w:space="0"/>
            </w:tcBorders>
            <w:vAlign w:val="center"/>
          </w:tcPr>
          <w:p w14:paraId="4961DE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4500</w:t>
            </w:r>
          </w:p>
        </w:tc>
      </w:tr>
      <w:tr w14:paraId="631A4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491F402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38</w:t>
            </w:r>
          </w:p>
        </w:tc>
        <w:tc>
          <w:tcPr>
            <w:tcW w:w="983" w:type="pct"/>
            <w:vAlign w:val="center"/>
          </w:tcPr>
          <w:p w14:paraId="3D66430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苯并[a]蒽</w:t>
            </w:r>
          </w:p>
        </w:tc>
        <w:tc>
          <w:tcPr>
            <w:tcW w:w="690" w:type="pct"/>
            <w:vAlign w:val="center"/>
          </w:tcPr>
          <w:p w14:paraId="47945FB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56-55-3</w:t>
            </w:r>
          </w:p>
        </w:tc>
        <w:tc>
          <w:tcPr>
            <w:tcW w:w="748" w:type="pct"/>
            <w:vAlign w:val="center"/>
          </w:tcPr>
          <w:p w14:paraId="79841A27">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57" w:type="pct"/>
            <w:vAlign w:val="center"/>
          </w:tcPr>
          <w:p w14:paraId="2B0CF88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w:t>
            </w:r>
          </w:p>
        </w:tc>
        <w:tc>
          <w:tcPr>
            <w:tcW w:w="718" w:type="pct"/>
            <w:vAlign w:val="center"/>
          </w:tcPr>
          <w:p w14:paraId="44E86EC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70" w:type="pct"/>
            <w:tcBorders>
              <w:right w:val="single" w:color="000000" w:sz="10" w:space="0"/>
            </w:tcBorders>
            <w:vAlign w:val="center"/>
          </w:tcPr>
          <w:p w14:paraId="5F743959">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151</w:t>
            </w:r>
          </w:p>
        </w:tc>
      </w:tr>
      <w:tr w14:paraId="680E1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15D40AE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39</w:t>
            </w:r>
          </w:p>
        </w:tc>
        <w:tc>
          <w:tcPr>
            <w:tcW w:w="983" w:type="pct"/>
            <w:vAlign w:val="center"/>
          </w:tcPr>
          <w:p w14:paraId="196BCEB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苯并[a]芘</w:t>
            </w:r>
          </w:p>
        </w:tc>
        <w:tc>
          <w:tcPr>
            <w:tcW w:w="690" w:type="pct"/>
            <w:vAlign w:val="center"/>
          </w:tcPr>
          <w:p w14:paraId="108AB2E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50-32-8</w:t>
            </w:r>
          </w:p>
        </w:tc>
        <w:tc>
          <w:tcPr>
            <w:tcW w:w="748" w:type="pct"/>
            <w:vAlign w:val="center"/>
          </w:tcPr>
          <w:p w14:paraId="021E0D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0.55</w:t>
            </w:r>
          </w:p>
        </w:tc>
        <w:tc>
          <w:tcPr>
            <w:tcW w:w="757" w:type="pct"/>
            <w:vAlign w:val="center"/>
          </w:tcPr>
          <w:p w14:paraId="6483AFF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w:t>
            </w:r>
          </w:p>
        </w:tc>
        <w:tc>
          <w:tcPr>
            <w:tcW w:w="718" w:type="pct"/>
            <w:vAlign w:val="center"/>
          </w:tcPr>
          <w:p w14:paraId="1757C97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70" w:type="pct"/>
            <w:tcBorders>
              <w:right w:val="single" w:color="000000" w:sz="10" w:space="0"/>
            </w:tcBorders>
            <w:vAlign w:val="center"/>
          </w:tcPr>
          <w:p w14:paraId="545D605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w:t>
            </w:r>
          </w:p>
        </w:tc>
      </w:tr>
      <w:tr w14:paraId="30B31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7C94CC2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40</w:t>
            </w:r>
          </w:p>
        </w:tc>
        <w:tc>
          <w:tcPr>
            <w:tcW w:w="983" w:type="pct"/>
            <w:vAlign w:val="center"/>
          </w:tcPr>
          <w:p w14:paraId="500F4A8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苯并[b]荧蒽</w:t>
            </w:r>
          </w:p>
        </w:tc>
        <w:tc>
          <w:tcPr>
            <w:tcW w:w="690" w:type="pct"/>
            <w:vAlign w:val="center"/>
          </w:tcPr>
          <w:p w14:paraId="5BD26D4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205-99-2</w:t>
            </w:r>
          </w:p>
        </w:tc>
        <w:tc>
          <w:tcPr>
            <w:tcW w:w="748" w:type="pct"/>
            <w:vAlign w:val="center"/>
          </w:tcPr>
          <w:p w14:paraId="1C0303C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57" w:type="pct"/>
            <w:vAlign w:val="center"/>
          </w:tcPr>
          <w:p w14:paraId="0B85504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w:t>
            </w:r>
          </w:p>
        </w:tc>
        <w:tc>
          <w:tcPr>
            <w:tcW w:w="718" w:type="pct"/>
            <w:vAlign w:val="center"/>
          </w:tcPr>
          <w:p w14:paraId="271B56C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70" w:type="pct"/>
            <w:tcBorders>
              <w:right w:val="single" w:color="000000" w:sz="10" w:space="0"/>
            </w:tcBorders>
            <w:vAlign w:val="center"/>
          </w:tcPr>
          <w:p w14:paraId="7D60E66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151</w:t>
            </w:r>
          </w:p>
        </w:tc>
      </w:tr>
      <w:tr w14:paraId="1C578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72AEA0E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41</w:t>
            </w:r>
          </w:p>
        </w:tc>
        <w:tc>
          <w:tcPr>
            <w:tcW w:w="983" w:type="pct"/>
            <w:vAlign w:val="center"/>
          </w:tcPr>
          <w:p w14:paraId="44288CC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苯并[k]荧蒽</w:t>
            </w:r>
          </w:p>
        </w:tc>
        <w:tc>
          <w:tcPr>
            <w:tcW w:w="690" w:type="pct"/>
            <w:vAlign w:val="center"/>
          </w:tcPr>
          <w:p w14:paraId="584BA28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207-08-9</w:t>
            </w:r>
          </w:p>
        </w:tc>
        <w:tc>
          <w:tcPr>
            <w:tcW w:w="748" w:type="pct"/>
            <w:vAlign w:val="center"/>
          </w:tcPr>
          <w:p w14:paraId="58A44F3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57" w:type="pct"/>
            <w:vAlign w:val="center"/>
          </w:tcPr>
          <w:p w14:paraId="784F91C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151</w:t>
            </w:r>
          </w:p>
        </w:tc>
        <w:tc>
          <w:tcPr>
            <w:tcW w:w="718" w:type="pct"/>
            <w:vAlign w:val="center"/>
          </w:tcPr>
          <w:p w14:paraId="08D2D61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550</w:t>
            </w:r>
          </w:p>
        </w:tc>
        <w:tc>
          <w:tcPr>
            <w:tcW w:w="770" w:type="pct"/>
            <w:tcBorders>
              <w:right w:val="single" w:color="000000" w:sz="10" w:space="0"/>
            </w:tcBorders>
            <w:vAlign w:val="center"/>
          </w:tcPr>
          <w:p w14:paraId="09A2821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1500</w:t>
            </w:r>
          </w:p>
        </w:tc>
      </w:tr>
      <w:tr w14:paraId="4D0F1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7C26EB0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42</w:t>
            </w:r>
          </w:p>
        </w:tc>
        <w:tc>
          <w:tcPr>
            <w:tcW w:w="983" w:type="pct"/>
            <w:vAlign w:val="center"/>
          </w:tcPr>
          <w:p w14:paraId="209A73F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䓛</w:t>
            </w:r>
          </w:p>
        </w:tc>
        <w:tc>
          <w:tcPr>
            <w:tcW w:w="690" w:type="pct"/>
            <w:vAlign w:val="center"/>
          </w:tcPr>
          <w:p w14:paraId="774BA84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218-01-9</w:t>
            </w:r>
          </w:p>
        </w:tc>
        <w:tc>
          <w:tcPr>
            <w:tcW w:w="748" w:type="pct"/>
            <w:vAlign w:val="center"/>
          </w:tcPr>
          <w:p w14:paraId="38FEBEF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490</w:t>
            </w:r>
          </w:p>
        </w:tc>
        <w:tc>
          <w:tcPr>
            <w:tcW w:w="757" w:type="pct"/>
            <w:vAlign w:val="center"/>
          </w:tcPr>
          <w:p w14:paraId="37E4203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1293</w:t>
            </w:r>
          </w:p>
        </w:tc>
        <w:tc>
          <w:tcPr>
            <w:tcW w:w="718" w:type="pct"/>
            <w:vAlign w:val="center"/>
          </w:tcPr>
          <w:p w14:paraId="623E19E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4900</w:t>
            </w:r>
          </w:p>
        </w:tc>
        <w:tc>
          <w:tcPr>
            <w:tcW w:w="770" w:type="pct"/>
            <w:tcBorders>
              <w:right w:val="single" w:color="000000" w:sz="10" w:space="0"/>
            </w:tcBorders>
            <w:vAlign w:val="center"/>
          </w:tcPr>
          <w:p w14:paraId="12A02BA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12900</w:t>
            </w:r>
          </w:p>
        </w:tc>
      </w:tr>
      <w:tr w14:paraId="2AC2E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7A8981C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43</w:t>
            </w:r>
          </w:p>
        </w:tc>
        <w:tc>
          <w:tcPr>
            <w:tcW w:w="983" w:type="pct"/>
            <w:vAlign w:val="center"/>
          </w:tcPr>
          <w:p w14:paraId="3A0A86A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二苯并[a,h]蒽</w:t>
            </w:r>
          </w:p>
        </w:tc>
        <w:tc>
          <w:tcPr>
            <w:tcW w:w="690" w:type="pct"/>
            <w:vAlign w:val="center"/>
          </w:tcPr>
          <w:p w14:paraId="2E29F39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53-70-3</w:t>
            </w:r>
          </w:p>
        </w:tc>
        <w:tc>
          <w:tcPr>
            <w:tcW w:w="748" w:type="pct"/>
            <w:vAlign w:val="center"/>
          </w:tcPr>
          <w:p w14:paraId="671776C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0.55</w:t>
            </w:r>
          </w:p>
        </w:tc>
        <w:tc>
          <w:tcPr>
            <w:tcW w:w="757" w:type="pct"/>
            <w:vAlign w:val="center"/>
          </w:tcPr>
          <w:p w14:paraId="5015DBC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w:t>
            </w:r>
          </w:p>
        </w:tc>
        <w:tc>
          <w:tcPr>
            <w:tcW w:w="718" w:type="pct"/>
            <w:vAlign w:val="center"/>
          </w:tcPr>
          <w:p w14:paraId="4950090E">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70" w:type="pct"/>
            <w:tcBorders>
              <w:right w:val="single" w:color="000000" w:sz="10" w:space="0"/>
            </w:tcBorders>
            <w:vAlign w:val="center"/>
          </w:tcPr>
          <w:p w14:paraId="00BAD94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w:t>
            </w:r>
          </w:p>
        </w:tc>
      </w:tr>
      <w:tr w14:paraId="26C90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64E9007A">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44</w:t>
            </w:r>
          </w:p>
        </w:tc>
        <w:tc>
          <w:tcPr>
            <w:tcW w:w="983" w:type="pct"/>
            <w:vAlign w:val="center"/>
          </w:tcPr>
          <w:p w14:paraId="32AD123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茚并[1,2,3-cd]芘</w:t>
            </w:r>
          </w:p>
        </w:tc>
        <w:tc>
          <w:tcPr>
            <w:tcW w:w="690" w:type="pct"/>
            <w:vAlign w:val="center"/>
          </w:tcPr>
          <w:p w14:paraId="2CFA9E1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193-39-5</w:t>
            </w:r>
          </w:p>
        </w:tc>
        <w:tc>
          <w:tcPr>
            <w:tcW w:w="748" w:type="pct"/>
            <w:vAlign w:val="center"/>
          </w:tcPr>
          <w:p w14:paraId="2FAF9C2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57" w:type="pct"/>
            <w:vAlign w:val="center"/>
          </w:tcPr>
          <w:p w14:paraId="29F14ADB">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w:t>
            </w:r>
          </w:p>
        </w:tc>
        <w:tc>
          <w:tcPr>
            <w:tcW w:w="718" w:type="pct"/>
            <w:vAlign w:val="center"/>
          </w:tcPr>
          <w:p w14:paraId="71BE4DF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55</w:t>
            </w:r>
          </w:p>
        </w:tc>
        <w:tc>
          <w:tcPr>
            <w:tcW w:w="770" w:type="pct"/>
            <w:tcBorders>
              <w:right w:val="single" w:color="000000" w:sz="10" w:space="0"/>
            </w:tcBorders>
            <w:vAlign w:val="center"/>
          </w:tcPr>
          <w:p w14:paraId="62473AA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151</w:t>
            </w:r>
          </w:p>
        </w:tc>
      </w:tr>
      <w:tr w14:paraId="4E40B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6EF4B64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45</w:t>
            </w:r>
          </w:p>
        </w:tc>
        <w:tc>
          <w:tcPr>
            <w:tcW w:w="983" w:type="pct"/>
            <w:vAlign w:val="center"/>
          </w:tcPr>
          <w:p w14:paraId="0369247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萘</w:t>
            </w:r>
          </w:p>
        </w:tc>
        <w:tc>
          <w:tcPr>
            <w:tcW w:w="690" w:type="pct"/>
            <w:vAlign w:val="center"/>
          </w:tcPr>
          <w:p w14:paraId="3CCF791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91-20-3</w:t>
            </w:r>
          </w:p>
        </w:tc>
        <w:tc>
          <w:tcPr>
            <w:tcW w:w="748" w:type="pct"/>
            <w:vAlign w:val="center"/>
          </w:tcPr>
          <w:p w14:paraId="7B6A5192">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25</w:t>
            </w:r>
          </w:p>
        </w:tc>
        <w:tc>
          <w:tcPr>
            <w:tcW w:w="757" w:type="pct"/>
            <w:vAlign w:val="center"/>
          </w:tcPr>
          <w:p w14:paraId="0D37FB1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70</w:t>
            </w:r>
          </w:p>
        </w:tc>
        <w:tc>
          <w:tcPr>
            <w:tcW w:w="718" w:type="pct"/>
            <w:vAlign w:val="center"/>
          </w:tcPr>
          <w:p w14:paraId="65CC0BFF">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255</w:t>
            </w:r>
          </w:p>
        </w:tc>
        <w:tc>
          <w:tcPr>
            <w:tcW w:w="770" w:type="pct"/>
            <w:tcBorders>
              <w:right w:val="single" w:color="000000" w:sz="10" w:space="0"/>
            </w:tcBorders>
            <w:vAlign w:val="center"/>
          </w:tcPr>
          <w:p w14:paraId="6A8D9431">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700</w:t>
            </w:r>
          </w:p>
        </w:tc>
      </w:tr>
      <w:tr w14:paraId="205C1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000" w:type="pct"/>
            <w:gridSpan w:val="7"/>
            <w:tcBorders>
              <w:left w:val="single" w:color="000000" w:sz="10" w:space="0"/>
            </w:tcBorders>
            <w:vAlign w:val="center"/>
          </w:tcPr>
          <w:p w14:paraId="5184722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石油烃类</w:t>
            </w:r>
          </w:p>
        </w:tc>
      </w:tr>
      <w:tr w14:paraId="1271D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30" w:type="pct"/>
            <w:tcBorders>
              <w:left w:val="single" w:color="000000" w:sz="10" w:space="0"/>
            </w:tcBorders>
            <w:vAlign w:val="center"/>
          </w:tcPr>
          <w:p w14:paraId="28EA5F3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46</w:t>
            </w:r>
          </w:p>
        </w:tc>
        <w:tc>
          <w:tcPr>
            <w:tcW w:w="983" w:type="pct"/>
            <w:vAlign w:val="center"/>
          </w:tcPr>
          <w:p w14:paraId="7A259A6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石油烃（C10-C40）</w:t>
            </w:r>
          </w:p>
        </w:tc>
        <w:tc>
          <w:tcPr>
            <w:tcW w:w="690" w:type="pct"/>
            <w:vAlign w:val="center"/>
          </w:tcPr>
          <w:p w14:paraId="1F35F624">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w:t>
            </w:r>
          </w:p>
        </w:tc>
        <w:tc>
          <w:tcPr>
            <w:tcW w:w="748" w:type="pct"/>
            <w:vAlign w:val="center"/>
          </w:tcPr>
          <w:p w14:paraId="43F8F22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826</w:t>
            </w:r>
          </w:p>
        </w:tc>
        <w:tc>
          <w:tcPr>
            <w:tcW w:w="757" w:type="pct"/>
            <w:vAlign w:val="center"/>
          </w:tcPr>
          <w:p w14:paraId="540A575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4500</w:t>
            </w:r>
          </w:p>
        </w:tc>
        <w:tc>
          <w:tcPr>
            <w:tcW w:w="718" w:type="pct"/>
            <w:vAlign w:val="center"/>
          </w:tcPr>
          <w:p w14:paraId="43BD460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5000</w:t>
            </w:r>
          </w:p>
        </w:tc>
        <w:tc>
          <w:tcPr>
            <w:tcW w:w="770" w:type="pct"/>
            <w:tcBorders>
              <w:right w:val="single" w:color="000000" w:sz="10" w:space="0"/>
            </w:tcBorders>
            <w:vAlign w:val="center"/>
          </w:tcPr>
          <w:p w14:paraId="34884980">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9000</w:t>
            </w:r>
          </w:p>
        </w:tc>
      </w:tr>
      <w:tr w14:paraId="0A7D6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000" w:type="pct"/>
            <w:gridSpan w:val="7"/>
            <w:tcBorders>
              <w:left w:val="single" w:color="000000" w:sz="10" w:space="0"/>
              <w:bottom w:val="single" w:color="000000" w:sz="10" w:space="0"/>
              <w:right w:val="single" w:color="000000" w:sz="10" w:space="0"/>
            </w:tcBorders>
            <w:vAlign w:val="center"/>
          </w:tcPr>
          <w:p w14:paraId="2B35D2C5">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kern w:val="2"/>
                <w:sz w:val="20"/>
                <w:szCs w:val="20"/>
                <w:highlight w:val="none"/>
                <w:lang w:val="en-US" w:eastAsia="en-US" w:bidi="ar-SA"/>
              </w:rPr>
            </w:pPr>
            <w:r>
              <w:rPr>
                <w:rFonts w:hint="default" w:ascii="Times New Roman" w:hAnsi="Times New Roman" w:eastAsia="宋体" w:cs="Times New Roman"/>
                <w:spacing w:val="7"/>
                <w:kern w:val="2"/>
                <w:sz w:val="20"/>
                <w:szCs w:val="20"/>
                <w:highlight w:val="none"/>
                <w:lang w:val="en-US" w:eastAsia="en-US" w:bidi="ar-SA"/>
              </w:rPr>
              <w:t>注：①具体地块土壤中污染物检测含量超过筛选值，但等于或者低于土壤环境背景值（见 3.6）水 平的，不纳入污染地块管理。土壤环境背景值可参见附录 A。</w:t>
            </w:r>
          </w:p>
        </w:tc>
      </w:tr>
    </w:tbl>
    <w:p w14:paraId="4FD8331E">
      <w:pPr>
        <w:keepNext w:val="0"/>
        <w:keepLines w:val="0"/>
        <w:pageBreakBefore w:val="0"/>
        <w:widowControl w:val="0"/>
        <w:kinsoku/>
        <w:wordWrap/>
        <w:overflowPunct/>
        <w:topLinePunct w:val="0"/>
        <w:autoSpaceDE/>
        <w:autoSpaceDN/>
        <w:bidi w:val="0"/>
        <w:adjustRightInd/>
        <w:snapToGrid/>
        <w:spacing w:line="360" w:lineRule="auto"/>
        <w:ind w:left="0" w:firstLine="454" w:firstLineChars="200"/>
        <w:jc w:val="center"/>
        <w:textAlignment w:val="auto"/>
        <w:rPr>
          <w:rFonts w:hint="eastAsia" w:ascii="Times New Roman" w:hAnsi="Times New Roman" w:eastAsia="宋体" w:cs="Times New Roman"/>
          <w:b/>
          <w:bCs/>
          <w:spacing w:val="-7"/>
          <w:kern w:val="0"/>
          <w:sz w:val="24"/>
          <w:szCs w:val="20"/>
          <w:highlight w:val="none"/>
          <w:lang w:val="en-US" w:eastAsia="zh-CN" w:bidi="ar-SA"/>
        </w:rPr>
      </w:pPr>
    </w:p>
    <w:p w14:paraId="792EE333">
      <w:pPr>
        <w:keepNext w:val="0"/>
        <w:keepLines w:val="0"/>
        <w:pageBreakBefore w:val="0"/>
        <w:widowControl w:val="0"/>
        <w:kinsoku/>
        <w:wordWrap/>
        <w:overflowPunct/>
        <w:topLinePunct w:val="0"/>
        <w:autoSpaceDE/>
        <w:autoSpaceDN/>
        <w:bidi w:val="0"/>
        <w:adjustRightInd/>
        <w:snapToGrid/>
        <w:spacing w:line="360" w:lineRule="auto"/>
        <w:ind w:left="0" w:firstLine="454" w:firstLineChars="200"/>
        <w:jc w:val="center"/>
        <w:textAlignment w:val="auto"/>
        <w:rPr>
          <w:rFonts w:hint="eastAsia" w:ascii="Times New Roman" w:hAnsi="Times New Roman" w:eastAsia="宋体" w:cs="Times New Roman"/>
          <w:b/>
          <w:bCs/>
          <w:spacing w:val="-7"/>
          <w:kern w:val="0"/>
          <w:sz w:val="24"/>
          <w:szCs w:val="20"/>
          <w:highlight w:val="none"/>
          <w:lang w:val="en-US" w:eastAsia="zh-CN" w:bidi="ar-SA"/>
        </w:rPr>
      </w:pPr>
    </w:p>
    <w:p w14:paraId="0F206106">
      <w:pPr>
        <w:keepNext w:val="0"/>
        <w:keepLines w:val="0"/>
        <w:pageBreakBefore w:val="0"/>
        <w:widowControl w:val="0"/>
        <w:kinsoku/>
        <w:wordWrap/>
        <w:overflowPunct/>
        <w:topLinePunct w:val="0"/>
        <w:autoSpaceDE/>
        <w:autoSpaceDN/>
        <w:bidi w:val="0"/>
        <w:adjustRightInd/>
        <w:snapToGrid/>
        <w:spacing w:line="360" w:lineRule="auto"/>
        <w:ind w:left="0" w:firstLine="454" w:firstLineChars="200"/>
        <w:jc w:val="center"/>
        <w:textAlignment w:val="auto"/>
        <w:rPr>
          <w:rFonts w:hint="eastAsia" w:ascii="Times New Roman" w:hAnsi="Times New Roman" w:eastAsia="宋体" w:cs="Times New Roman"/>
          <w:b/>
          <w:bCs/>
          <w:spacing w:val="-7"/>
          <w:kern w:val="0"/>
          <w:sz w:val="24"/>
          <w:szCs w:val="20"/>
          <w:highlight w:val="none"/>
          <w:lang w:val="en-US" w:eastAsia="zh-CN" w:bidi="ar-SA"/>
        </w:rPr>
      </w:pPr>
      <w:r>
        <w:rPr>
          <w:rFonts w:hint="eastAsia" w:ascii="Times New Roman" w:hAnsi="Times New Roman" w:eastAsia="宋体" w:cs="Times New Roman"/>
          <w:b/>
          <w:bCs/>
          <w:spacing w:val="-7"/>
          <w:kern w:val="0"/>
          <w:sz w:val="24"/>
          <w:szCs w:val="20"/>
          <w:highlight w:val="none"/>
          <w:lang w:val="en-US" w:eastAsia="zh-CN" w:bidi="ar-SA"/>
        </w:rPr>
        <w:t>表 2.</w:t>
      </w:r>
      <w:r>
        <w:rPr>
          <w:rFonts w:hint="eastAsia" w:eastAsia="宋体" w:cs="Times New Roman"/>
          <w:b/>
          <w:bCs/>
          <w:spacing w:val="-7"/>
          <w:kern w:val="0"/>
          <w:sz w:val="24"/>
          <w:szCs w:val="20"/>
          <w:highlight w:val="none"/>
          <w:lang w:val="en-US" w:eastAsia="zh-CN" w:bidi="ar-SA"/>
        </w:rPr>
        <w:t>4</w:t>
      </w:r>
      <w:r>
        <w:rPr>
          <w:rFonts w:hint="eastAsia" w:ascii="Times New Roman" w:hAnsi="Times New Roman" w:eastAsia="宋体" w:cs="Times New Roman"/>
          <w:b/>
          <w:bCs/>
          <w:spacing w:val="-7"/>
          <w:kern w:val="0"/>
          <w:sz w:val="24"/>
          <w:szCs w:val="20"/>
          <w:highlight w:val="none"/>
          <w:lang w:val="en-US" w:eastAsia="zh-CN" w:bidi="ar-SA"/>
        </w:rPr>
        <w:t>-6 土壤环境质量 农用地土壤污染风险管控标准  单位：mg/kg</w:t>
      </w: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4"/>
        <w:gridCol w:w="989"/>
        <w:gridCol w:w="1138"/>
        <w:gridCol w:w="1153"/>
        <w:gridCol w:w="1500"/>
        <w:gridCol w:w="1612"/>
        <w:gridCol w:w="1216"/>
      </w:tblGrid>
      <w:tr w14:paraId="5218F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418" w:type="pct"/>
            <w:vMerge w:val="restart"/>
            <w:tcBorders>
              <w:tl2br w:val="nil"/>
              <w:tr2bl w:val="nil"/>
            </w:tcBorders>
            <w:vAlign w:val="center"/>
          </w:tcPr>
          <w:p w14:paraId="6A346269">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序号</w:t>
            </w:r>
          </w:p>
        </w:tc>
        <w:tc>
          <w:tcPr>
            <w:tcW w:w="1280" w:type="pct"/>
            <w:gridSpan w:val="2"/>
            <w:vMerge w:val="restart"/>
            <w:tcBorders>
              <w:tl2br w:val="nil"/>
              <w:tr2bl w:val="nil"/>
            </w:tcBorders>
            <w:vAlign w:val="center"/>
          </w:tcPr>
          <w:p w14:paraId="6CD2D677">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污染物项目</w:t>
            </w:r>
          </w:p>
        </w:tc>
        <w:tc>
          <w:tcPr>
            <w:tcW w:w="694" w:type="pct"/>
            <w:tcBorders>
              <w:tl2br w:val="nil"/>
              <w:tr2bl w:val="nil"/>
            </w:tcBorders>
            <w:vAlign w:val="center"/>
          </w:tcPr>
          <w:p w14:paraId="7563953E">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风险筛选值</w:t>
            </w:r>
          </w:p>
        </w:tc>
        <w:tc>
          <w:tcPr>
            <w:tcW w:w="903" w:type="pct"/>
            <w:tcBorders>
              <w:tl2br w:val="nil"/>
              <w:tr2bl w:val="nil"/>
            </w:tcBorders>
            <w:vAlign w:val="center"/>
          </w:tcPr>
          <w:p w14:paraId="5E73BF41">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5"/>
                <w:sz w:val="21"/>
                <w:szCs w:val="21"/>
                <w:highlight w:val="none"/>
              </w:rPr>
            </w:pPr>
            <w:r>
              <w:rPr>
                <w:rFonts w:hint="default" w:ascii="Times New Roman" w:hAnsi="Times New Roman" w:eastAsia="宋体" w:cs="Times New Roman"/>
                <w:spacing w:val="5"/>
                <w:sz w:val="21"/>
                <w:szCs w:val="21"/>
                <w:highlight w:val="none"/>
              </w:rPr>
              <w:t>序号</w:t>
            </w:r>
          </w:p>
        </w:tc>
        <w:tc>
          <w:tcPr>
            <w:tcW w:w="970" w:type="pct"/>
            <w:tcBorders>
              <w:tl2br w:val="nil"/>
              <w:tr2bl w:val="nil"/>
            </w:tcBorders>
            <w:vAlign w:val="center"/>
          </w:tcPr>
          <w:p w14:paraId="39DCF448">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5"/>
                <w:sz w:val="21"/>
                <w:szCs w:val="21"/>
                <w:highlight w:val="none"/>
              </w:rPr>
            </w:pPr>
            <w:r>
              <w:rPr>
                <w:rFonts w:hint="default" w:ascii="Times New Roman" w:hAnsi="Times New Roman" w:eastAsia="宋体" w:cs="Times New Roman"/>
                <w:spacing w:val="7"/>
                <w:sz w:val="21"/>
                <w:szCs w:val="21"/>
                <w:highlight w:val="none"/>
              </w:rPr>
              <w:t>污染物项目</w:t>
            </w:r>
          </w:p>
        </w:tc>
        <w:tc>
          <w:tcPr>
            <w:tcW w:w="732" w:type="pct"/>
            <w:tcBorders>
              <w:tl2br w:val="nil"/>
              <w:tr2bl w:val="nil"/>
            </w:tcBorders>
            <w:vAlign w:val="center"/>
          </w:tcPr>
          <w:p w14:paraId="6EB22AC5">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风险筛选值</w:t>
            </w:r>
          </w:p>
        </w:tc>
      </w:tr>
      <w:tr w14:paraId="3120C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418" w:type="pct"/>
            <w:vMerge w:val="continue"/>
            <w:tcBorders>
              <w:tl2br w:val="nil"/>
              <w:tr2bl w:val="nil"/>
            </w:tcBorders>
            <w:vAlign w:val="center"/>
          </w:tcPr>
          <w:p w14:paraId="4997384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1280" w:type="pct"/>
            <w:gridSpan w:val="2"/>
            <w:vMerge w:val="continue"/>
            <w:tcBorders>
              <w:tl2br w:val="nil"/>
              <w:tr2bl w:val="nil"/>
            </w:tcBorders>
            <w:vAlign w:val="center"/>
          </w:tcPr>
          <w:p w14:paraId="22878E4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694" w:type="pct"/>
            <w:tcBorders>
              <w:tl2br w:val="nil"/>
              <w:tr2bl w:val="nil"/>
            </w:tcBorders>
            <w:vAlign w:val="center"/>
          </w:tcPr>
          <w:p w14:paraId="03F750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7"/>
                <w:sz w:val="21"/>
                <w:szCs w:val="21"/>
                <w:highlight w:val="none"/>
              </w:rPr>
              <w:t>≤5.5</w:t>
            </w:r>
          </w:p>
        </w:tc>
        <w:tc>
          <w:tcPr>
            <w:tcW w:w="903" w:type="pct"/>
            <w:tcBorders>
              <w:tl2br w:val="nil"/>
              <w:tr2bl w:val="nil"/>
            </w:tcBorders>
            <w:vAlign w:val="center"/>
          </w:tcPr>
          <w:p w14:paraId="1128C92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5.5＜</w:t>
            </w: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5"/>
                <w:sz w:val="21"/>
                <w:szCs w:val="21"/>
                <w:highlight w:val="none"/>
              </w:rPr>
              <w:t>≤6.5</w:t>
            </w:r>
          </w:p>
        </w:tc>
        <w:tc>
          <w:tcPr>
            <w:tcW w:w="970" w:type="pct"/>
            <w:tcBorders>
              <w:tl2br w:val="nil"/>
              <w:tr2bl w:val="nil"/>
            </w:tcBorders>
            <w:vAlign w:val="center"/>
          </w:tcPr>
          <w:p w14:paraId="671FCC9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6.5＜</w:t>
            </w: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5"/>
                <w:sz w:val="21"/>
                <w:szCs w:val="21"/>
                <w:highlight w:val="none"/>
              </w:rPr>
              <w:t>≤7.5</w:t>
            </w:r>
          </w:p>
        </w:tc>
        <w:tc>
          <w:tcPr>
            <w:tcW w:w="732" w:type="pct"/>
            <w:tcBorders>
              <w:tl2br w:val="nil"/>
              <w:tr2bl w:val="nil"/>
            </w:tcBorders>
            <w:vAlign w:val="center"/>
          </w:tcPr>
          <w:p w14:paraId="3CE71A3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8"/>
                <w:sz w:val="21"/>
                <w:szCs w:val="21"/>
                <w:highlight w:val="none"/>
              </w:rPr>
              <w:t>＞7.5</w:t>
            </w:r>
          </w:p>
        </w:tc>
      </w:tr>
      <w:tr w14:paraId="56F94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18" w:type="pct"/>
            <w:vMerge w:val="restart"/>
            <w:tcBorders>
              <w:tl2br w:val="nil"/>
              <w:tr2bl w:val="nil"/>
            </w:tcBorders>
            <w:vAlign w:val="center"/>
          </w:tcPr>
          <w:p w14:paraId="528D771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595" w:type="pct"/>
            <w:vMerge w:val="restart"/>
            <w:tcBorders>
              <w:tl2br w:val="nil"/>
              <w:tr2bl w:val="nil"/>
            </w:tcBorders>
            <w:vAlign w:val="center"/>
          </w:tcPr>
          <w:p w14:paraId="3BF31BB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镉</w:t>
            </w:r>
          </w:p>
        </w:tc>
        <w:tc>
          <w:tcPr>
            <w:tcW w:w="685" w:type="pct"/>
            <w:tcBorders>
              <w:tl2br w:val="nil"/>
              <w:tr2bl w:val="nil"/>
            </w:tcBorders>
            <w:vAlign w:val="center"/>
          </w:tcPr>
          <w:p w14:paraId="01E5A9F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水田</w:t>
            </w:r>
          </w:p>
        </w:tc>
        <w:tc>
          <w:tcPr>
            <w:tcW w:w="694" w:type="pct"/>
            <w:tcBorders>
              <w:tl2br w:val="nil"/>
              <w:tr2bl w:val="nil"/>
            </w:tcBorders>
            <w:vAlign w:val="center"/>
          </w:tcPr>
          <w:p w14:paraId="7877F33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0.3</w:t>
            </w:r>
          </w:p>
        </w:tc>
        <w:tc>
          <w:tcPr>
            <w:tcW w:w="903" w:type="pct"/>
            <w:tcBorders>
              <w:tl2br w:val="nil"/>
              <w:tr2bl w:val="nil"/>
            </w:tcBorders>
            <w:vAlign w:val="center"/>
          </w:tcPr>
          <w:p w14:paraId="7476D47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0.4</w:t>
            </w:r>
          </w:p>
        </w:tc>
        <w:tc>
          <w:tcPr>
            <w:tcW w:w="970" w:type="pct"/>
            <w:tcBorders>
              <w:tl2br w:val="nil"/>
              <w:tr2bl w:val="nil"/>
            </w:tcBorders>
            <w:vAlign w:val="center"/>
          </w:tcPr>
          <w:p w14:paraId="14528C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0.6</w:t>
            </w:r>
          </w:p>
        </w:tc>
        <w:tc>
          <w:tcPr>
            <w:tcW w:w="732" w:type="pct"/>
            <w:tcBorders>
              <w:tl2br w:val="nil"/>
              <w:tr2bl w:val="nil"/>
            </w:tcBorders>
            <w:vAlign w:val="center"/>
          </w:tcPr>
          <w:p w14:paraId="509C2D2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0.8</w:t>
            </w:r>
          </w:p>
        </w:tc>
      </w:tr>
      <w:tr w14:paraId="49343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418" w:type="pct"/>
            <w:vMerge w:val="continue"/>
            <w:tcBorders>
              <w:tl2br w:val="nil"/>
              <w:tr2bl w:val="nil"/>
            </w:tcBorders>
            <w:vAlign w:val="center"/>
          </w:tcPr>
          <w:p w14:paraId="75147B8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5" w:type="pct"/>
            <w:vMerge w:val="continue"/>
            <w:tcBorders>
              <w:tl2br w:val="nil"/>
              <w:tr2bl w:val="nil"/>
            </w:tcBorders>
            <w:vAlign w:val="center"/>
          </w:tcPr>
          <w:p w14:paraId="0ECA37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685" w:type="pct"/>
            <w:tcBorders>
              <w:tl2br w:val="nil"/>
              <w:tr2bl w:val="nil"/>
            </w:tcBorders>
            <w:vAlign w:val="center"/>
          </w:tcPr>
          <w:p w14:paraId="3CC4C2D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其他</w:t>
            </w:r>
          </w:p>
        </w:tc>
        <w:tc>
          <w:tcPr>
            <w:tcW w:w="694" w:type="pct"/>
            <w:tcBorders>
              <w:tl2br w:val="nil"/>
              <w:tr2bl w:val="nil"/>
            </w:tcBorders>
            <w:vAlign w:val="center"/>
          </w:tcPr>
          <w:p w14:paraId="60B4A6A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0.3</w:t>
            </w:r>
          </w:p>
        </w:tc>
        <w:tc>
          <w:tcPr>
            <w:tcW w:w="903" w:type="pct"/>
            <w:tcBorders>
              <w:tl2br w:val="nil"/>
              <w:tr2bl w:val="nil"/>
            </w:tcBorders>
            <w:vAlign w:val="center"/>
          </w:tcPr>
          <w:p w14:paraId="2F29C36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0.3</w:t>
            </w:r>
          </w:p>
        </w:tc>
        <w:tc>
          <w:tcPr>
            <w:tcW w:w="970" w:type="pct"/>
            <w:tcBorders>
              <w:tl2br w:val="nil"/>
              <w:tr2bl w:val="nil"/>
            </w:tcBorders>
            <w:vAlign w:val="center"/>
          </w:tcPr>
          <w:p w14:paraId="09CDFF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0.3</w:t>
            </w:r>
          </w:p>
        </w:tc>
        <w:tc>
          <w:tcPr>
            <w:tcW w:w="732" w:type="pct"/>
            <w:tcBorders>
              <w:tl2br w:val="nil"/>
              <w:tr2bl w:val="nil"/>
            </w:tcBorders>
            <w:vAlign w:val="center"/>
          </w:tcPr>
          <w:p w14:paraId="56C361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0.6</w:t>
            </w:r>
          </w:p>
        </w:tc>
      </w:tr>
      <w:tr w14:paraId="35191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418" w:type="pct"/>
            <w:vMerge w:val="restart"/>
            <w:tcBorders>
              <w:tl2br w:val="nil"/>
              <w:tr2bl w:val="nil"/>
            </w:tcBorders>
            <w:vAlign w:val="center"/>
          </w:tcPr>
          <w:p w14:paraId="3E1156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7B386CA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p>
        </w:tc>
        <w:tc>
          <w:tcPr>
            <w:tcW w:w="595" w:type="pct"/>
            <w:vMerge w:val="restart"/>
            <w:tcBorders>
              <w:tl2br w:val="nil"/>
              <w:tr2bl w:val="nil"/>
            </w:tcBorders>
            <w:vAlign w:val="center"/>
          </w:tcPr>
          <w:p w14:paraId="6419D3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6F7B8E8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汞</w:t>
            </w:r>
          </w:p>
        </w:tc>
        <w:tc>
          <w:tcPr>
            <w:tcW w:w="685" w:type="pct"/>
            <w:tcBorders>
              <w:tl2br w:val="nil"/>
              <w:tr2bl w:val="nil"/>
            </w:tcBorders>
            <w:vAlign w:val="center"/>
          </w:tcPr>
          <w:p w14:paraId="25A24FC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水田</w:t>
            </w:r>
          </w:p>
        </w:tc>
        <w:tc>
          <w:tcPr>
            <w:tcW w:w="694" w:type="pct"/>
            <w:tcBorders>
              <w:tl2br w:val="nil"/>
              <w:tr2bl w:val="nil"/>
            </w:tcBorders>
            <w:vAlign w:val="center"/>
          </w:tcPr>
          <w:p w14:paraId="7A62B5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0.5</w:t>
            </w:r>
          </w:p>
        </w:tc>
        <w:tc>
          <w:tcPr>
            <w:tcW w:w="903" w:type="pct"/>
            <w:tcBorders>
              <w:tl2br w:val="nil"/>
              <w:tr2bl w:val="nil"/>
            </w:tcBorders>
            <w:vAlign w:val="center"/>
          </w:tcPr>
          <w:p w14:paraId="6091F17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0.5</w:t>
            </w:r>
          </w:p>
        </w:tc>
        <w:tc>
          <w:tcPr>
            <w:tcW w:w="970" w:type="pct"/>
            <w:tcBorders>
              <w:tl2br w:val="nil"/>
              <w:tr2bl w:val="nil"/>
            </w:tcBorders>
            <w:vAlign w:val="center"/>
          </w:tcPr>
          <w:p w14:paraId="4418AC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0.6</w:t>
            </w:r>
          </w:p>
        </w:tc>
        <w:tc>
          <w:tcPr>
            <w:tcW w:w="732" w:type="pct"/>
            <w:tcBorders>
              <w:tl2br w:val="nil"/>
              <w:tr2bl w:val="nil"/>
            </w:tcBorders>
            <w:vAlign w:val="center"/>
          </w:tcPr>
          <w:p w14:paraId="0D52CC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1.0</w:t>
            </w:r>
          </w:p>
        </w:tc>
      </w:tr>
      <w:tr w14:paraId="3BC49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vMerge w:val="continue"/>
            <w:tcBorders>
              <w:tl2br w:val="nil"/>
              <w:tr2bl w:val="nil"/>
            </w:tcBorders>
            <w:vAlign w:val="center"/>
          </w:tcPr>
          <w:p w14:paraId="3189526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5" w:type="pct"/>
            <w:vMerge w:val="continue"/>
            <w:tcBorders>
              <w:tl2br w:val="nil"/>
              <w:tr2bl w:val="nil"/>
            </w:tcBorders>
            <w:vAlign w:val="center"/>
          </w:tcPr>
          <w:p w14:paraId="63C9AE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685" w:type="pct"/>
            <w:tcBorders>
              <w:tl2br w:val="nil"/>
              <w:tr2bl w:val="nil"/>
            </w:tcBorders>
            <w:vAlign w:val="center"/>
          </w:tcPr>
          <w:p w14:paraId="61D6AA8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其他</w:t>
            </w:r>
          </w:p>
        </w:tc>
        <w:tc>
          <w:tcPr>
            <w:tcW w:w="694" w:type="pct"/>
            <w:tcBorders>
              <w:tl2br w:val="nil"/>
              <w:tr2bl w:val="nil"/>
            </w:tcBorders>
            <w:vAlign w:val="center"/>
          </w:tcPr>
          <w:p w14:paraId="27EE0C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1.3</w:t>
            </w:r>
          </w:p>
        </w:tc>
        <w:tc>
          <w:tcPr>
            <w:tcW w:w="903" w:type="pct"/>
            <w:tcBorders>
              <w:tl2br w:val="nil"/>
              <w:tr2bl w:val="nil"/>
            </w:tcBorders>
            <w:vAlign w:val="center"/>
          </w:tcPr>
          <w:p w14:paraId="71347B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1.8</w:t>
            </w:r>
          </w:p>
        </w:tc>
        <w:tc>
          <w:tcPr>
            <w:tcW w:w="970" w:type="pct"/>
            <w:tcBorders>
              <w:tl2br w:val="nil"/>
              <w:tr2bl w:val="nil"/>
            </w:tcBorders>
            <w:vAlign w:val="center"/>
          </w:tcPr>
          <w:p w14:paraId="1652BC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2.4</w:t>
            </w:r>
          </w:p>
        </w:tc>
        <w:tc>
          <w:tcPr>
            <w:tcW w:w="732" w:type="pct"/>
            <w:tcBorders>
              <w:tl2br w:val="nil"/>
              <w:tr2bl w:val="nil"/>
            </w:tcBorders>
            <w:vAlign w:val="center"/>
          </w:tcPr>
          <w:p w14:paraId="536C54A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3.4</w:t>
            </w:r>
          </w:p>
        </w:tc>
      </w:tr>
      <w:tr w14:paraId="5ACC6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418" w:type="pct"/>
            <w:vMerge w:val="restart"/>
            <w:tcBorders>
              <w:tl2br w:val="nil"/>
              <w:tr2bl w:val="nil"/>
            </w:tcBorders>
            <w:vAlign w:val="center"/>
          </w:tcPr>
          <w:p w14:paraId="189D1AC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2B41CF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p>
        </w:tc>
        <w:tc>
          <w:tcPr>
            <w:tcW w:w="595" w:type="pct"/>
            <w:vMerge w:val="restart"/>
            <w:tcBorders>
              <w:tl2br w:val="nil"/>
              <w:tr2bl w:val="nil"/>
            </w:tcBorders>
            <w:vAlign w:val="center"/>
          </w:tcPr>
          <w:p w14:paraId="6BE014F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3FB52EE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砷</w:t>
            </w:r>
          </w:p>
        </w:tc>
        <w:tc>
          <w:tcPr>
            <w:tcW w:w="685" w:type="pct"/>
            <w:tcBorders>
              <w:tl2br w:val="nil"/>
              <w:tr2bl w:val="nil"/>
            </w:tcBorders>
            <w:vAlign w:val="center"/>
          </w:tcPr>
          <w:p w14:paraId="19CC5D5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水田</w:t>
            </w:r>
          </w:p>
        </w:tc>
        <w:tc>
          <w:tcPr>
            <w:tcW w:w="694" w:type="pct"/>
            <w:tcBorders>
              <w:tl2br w:val="nil"/>
              <w:tr2bl w:val="nil"/>
            </w:tcBorders>
            <w:vAlign w:val="center"/>
          </w:tcPr>
          <w:p w14:paraId="73E3E7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c>
          <w:tcPr>
            <w:tcW w:w="903" w:type="pct"/>
            <w:tcBorders>
              <w:tl2br w:val="nil"/>
              <w:tr2bl w:val="nil"/>
            </w:tcBorders>
            <w:vAlign w:val="center"/>
          </w:tcPr>
          <w:p w14:paraId="15B680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c>
          <w:tcPr>
            <w:tcW w:w="970" w:type="pct"/>
            <w:tcBorders>
              <w:tl2br w:val="nil"/>
              <w:tr2bl w:val="nil"/>
            </w:tcBorders>
            <w:vAlign w:val="center"/>
          </w:tcPr>
          <w:p w14:paraId="6791EE4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25</w:t>
            </w:r>
          </w:p>
        </w:tc>
        <w:tc>
          <w:tcPr>
            <w:tcW w:w="732" w:type="pct"/>
            <w:tcBorders>
              <w:tl2br w:val="nil"/>
              <w:tr2bl w:val="nil"/>
            </w:tcBorders>
            <w:vAlign w:val="center"/>
          </w:tcPr>
          <w:p w14:paraId="30721F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20</w:t>
            </w:r>
          </w:p>
        </w:tc>
      </w:tr>
      <w:tr w14:paraId="24D2D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418" w:type="pct"/>
            <w:vMerge w:val="continue"/>
            <w:tcBorders>
              <w:tl2br w:val="nil"/>
              <w:tr2bl w:val="nil"/>
            </w:tcBorders>
            <w:vAlign w:val="center"/>
          </w:tcPr>
          <w:p w14:paraId="19D09F7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5" w:type="pct"/>
            <w:vMerge w:val="continue"/>
            <w:tcBorders>
              <w:tl2br w:val="nil"/>
              <w:tr2bl w:val="nil"/>
            </w:tcBorders>
            <w:vAlign w:val="center"/>
          </w:tcPr>
          <w:p w14:paraId="2F16853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685" w:type="pct"/>
            <w:tcBorders>
              <w:tl2br w:val="nil"/>
              <w:tr2bl w:val="nil"/>
            </w:tcBorders>
            <w:vAlign w:val="center"/>
          </w:tcPr>
          <w:p w14:paraId="7916CB6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其他</w:t>
            </w:r>
          </w:p>
        </w:tc>
        <w:tc>
          <w:tcPr>
            <w:tcW w:w="694" w:type="pct"/>
            <w:tcBorders>
              <w:tl2br w:val="nil"/>
              <w:tr2bl w:val="nil"/>
            </w:tcBorders>
            <w:vAlign w:val="center"/>
          </w:tcPr>
          <w:p w14:paraId="431ACB5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903" w:type="pct"/>
            <w:tcBorders>
              <w:tl2br w:val="nil"/>
              <w:tr2bl w:val="nil"/>
            </w:tcBorders>
            <w:vAlign w:val="center"/>
          </w:tcPr>
          <w:p w14:paraId="6B4193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40</w:t>
            </w:r>
          </w:p>
        </w:tc>
        <w:tc>
          <w:tcPr>
            <w:tcW w:w="970" w:type="pct"/>
            <w:tcBorders>
              <w:tl2br w:val="nil"/>
              <w:tr2bl w:val="nil"/>
            </w:tcBorders>
            <w:vAlign w:val="center"/>
          </w:tcPr>
          <w:p w14:paraId="2E901E8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30</w:t>
            </w:r>
          </w:p>
        </w:tc>
        <w:tc>
          <w:tcPr>
            <w:tcW w:w="732" w:type="pct"/>
            <w:tcBorders>
              <w:tl2br w:val="nil"/>
              <w:tr2bl w:val="nil"/>
            </w:tcBorders>
            <w:vAlign w:val="center"/>
          </w:tcPr>
          <w:p w14:paraId="626ECCC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25</w:t>
            </w:r>
          </w:p>
        </w:tc>
      </w:tr>
      <w:tr w14:paraId="3F53C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vMerge w:val="restart"/>
            <w:tcBorders>
              <w:tl2br w:val="nil"/>
              <w:tr2bl w:val="nil"/>
            </w:tcBorders>
            <w:vAlign w:val="center"/>
          </w:tcPr>
          <w:p w14:paraId="1ED143F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2AFCE10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4</w:t>
            </w:r>
          </w:p>
        </w:tc>
        <w:tc>
          <w:tcPr>
            <w:tcW w:w="595" w:type="pct"/>
            <w:vMerge w:val="restart"/>
            <w:tcBorders>
              <w:tl2br w:val="nil"/>
              <w:tr2bl w:val="nil"/>
            </w:tcBorders>
            <w:vAlign w:val="center"/>
          </w:tcPr>
          <w:p w14:paraId="28CBB75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5DDCA8E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铅</w:t>
            </w:r>
          </w:p>
        </w:tc>
        <w:tc>
          <w:tcPr>
            <w:tcW w:w="685" w:type="pct"/>
            <w:tcBorders>
              <w:tl2br w:val="nil"/>
              <w:tr2bl w:val="nil"/>
            </w:tcBorders>
            <w:vAlign w:val="center"/>
          </w:tcPr>
          <w:p w14:paraId="008F426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水田</w:t>
            </w:r>
          </w:p>
        </w:tc>
        <w:tc>
          <w:tcPr>
            <w:tcW w:w="694" w:type="pct"/>
            <w:tcBorders>
              <w:tl2br w:val="nil"/>
              <w:tr2bl w:val="nil"/>
            </w:tcBorders>
            <w:vAlign w:val="center"/>
          </w:tcPr>
          <w:p w14:paraId="520EBD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80</w:t>
            </w:r>
          </w:p>
        </w:tc>
        <w:tc>
          <w:tcPr>
            <w:tcW w:w="903" w:type="pct"/>
            <w:tcBorders>
              <w:tl2br w:val="nil"/>
              <w:tr2bl w:val="nil"/>
            </w:tcBorders>
            <w:vAlign w:val="center"/>
          </w:tcPr>
          <w:p w14:paraId="4EC84C4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100</w:t>
            </w:r>
          </w:p>
        </w:tc>
        <w:tc>
          <w:tcPr>
            <w:tcW w:w="970" w:type="pct"/>
            <w:tcBorders>
              <w:tl2br w:val="nil"/>
              <w:tr2bl w:val="nil"/>
            </w:tcBorders>
            <w:vAlign w:val="center"/>
          </w:tcPr>
          <w:p w14:paraId="76B4146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140</w:t>
            </w:r>
          </w:p>
        </w:tc>
        <w:tc>
          <w:tcPr>
            <w:tcW w:w="732" w:type="pct"/>
            <w:tcBorders>
              <w:tl2br w:val="nil"/>
              <w:tr2bl w:val="nil"/>
            </w:tcBorders>
            <w:vAlign w:val="center"/>
          </w:tcPr>
          <w:p w14:paraId="3139A07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240</w:t>
            </w:r>
          </w:p>
        </w:tc>
      </w:tr>
      <w:tr w14:paraId="45525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vMerge w:val="continue"/>
            <w:tcBorders>
              <w:tl2br w:val="nil"/>
              <w:tr2bl w:val="nil"/>
            </w:tcBorders>
            <w:vAlign w:val="center"/>
          </w:tcPr>
          <w:p w14:paraId="58F6ED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5" w:type="pct"/>
            <w:vMerge w:val="continue"/>
            <w:tcBorders>
              <w:tl2br w:val="nil"/>
              <w:tr2bl w:val="nil"/>
            </w:tcBorders>
            <w:vAlign w:val="center"/>
          </w:tcPr>
          <w:p w14:paraId="7C0688C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685" w:type="pct"/>
            <w:tcBorders>
              <w:tl2br w:val="nil"/>
              <w:tr2bl w:val="nil"/>
            </w:tcBorders>
            <w:vAlign w:val="center"/>
          </w:tcPr>
          <w:p w14:paraId="3674D15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其他</w:t>
            </w:r>
          </w:p>
        </w:tc>
        <w:tc>
          <w:tcPr>
            <w:tcW w:w="694" w:type="pct"/>
            <w:tcBorders>
              <w:tl2br w:val="nil"/>
              <w:tr2bl w:val="nil"/>
            </w:tcBorders>
            <w:vAlign w:val="center"/>
          </w:tcPr>
          <w:p w14:paraId="127E3A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70</w:t>
            </w:r>
          </w:p>
        </w:tc>
        <w:tc>
          <w:tcPr>
            <w:tcW w:w="903" w:type="pct"/>
            <w:tcBorders>
              <w:tl2br w:val="nil"/>
              <w:tr2bl w:val="nil"/>
            </w:tcBorders>
            <w:vAlign w:val="center"/>
          </w:tcPr>
          <w:p w14:paraId="309C91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w:t>
            </w:r>
          </w:p>
        </w:tc>
        <w:tc>
          <w:tcPr>
            <w:tcW w:w="970" w:type="pct"/>
            <w:tcBorders>
              <w:tl2br w:val="nil"/>
              <w:tr2bl w:val="nil"/>
            </w:tcBorders>
            <w:vAlign w:val="center"/>
          </w:tcPr>
          <w:p w14:paraId="270F47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120</w:t>
            </w:r>
          </w:p>
        </w:tc>
        <w:tc>
          <w:tcPr>
            <w:tcW w:w="732" w:type="pct"/>
            <w:tcBorders>
              <w:tl2br w:val="nil"/>
              <w:tr2bl w:val="nil"/>
            </w:tcBorders>
            <w:vAlign w:val="center"/>
          </w:tcPr>
          <w:p w14:paraId="1B178C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170</w:t>
            </w:r>
          </w:p>
        </w:tc>
      </w:tr>
      <w:tr w14:paraId="4102E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vMerge w:val="restart"/>
            <w:tcBorders>
              <w:tl2br w:val="nil"/>
              <w:tr2bl w:val="nil"/>
            </w:tcBorders>
            <w:vAlign w:val="center"/>
          </w:tcPr>
          <w:p w14:paraId="28B062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623CE1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w:t>
            </w:r>
          </w:p>
        </w:tc>
        <w:tc>
          <w:tcPr>
            <w:tcW w:w="595" w:type="pct"/>
            <w:vMerge w:val="restart"/>
            <w:tcBorders>
              <w:tl2br w:val="nil"/>
              <w:tr2bl w:val="nil"/>
            </w:tcBorders>
            <w:vAlign w:val="center"/>
          </w:tcPr>
          <w:p w14:paraId="7C7480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4054C47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铬</w:t>
            </w:r>
          </w:p>
        </w:tc>
        <w:tc>
          <w:tcPr>
            <w:tcW w:w="685" w:type="pct"/>
            <w:tcBorders>
              <w:tl2br w:val="nil"/>
              <w:tr2bl w:val="nil"/>
            </w:tcBorders>
            <w:vAlign w:val="center"/>
          </w:tcPr>
          <w:p w14:paraId="2EFAC94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水田</w:t>
            </w:r>
          </w:p>
        </w:tc>
        <w:tc>
          <w:tcPr>
            <w:tcW w:w="694" w:type="pct"/>
            <w:tcBorders>
              <w:tl2br w:val="nil"/>
              <w:tr2bl w:val="nil"/>
            </w:tcBorders>
            <w:vAlign w:val="center"/>
          </w:tcPr>
          <w:p w14:paraId="4E1E907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250</w:t>
            </w:r>
          </w:p>
        </w:tc>
        <w:tc>
          <w:tcPr>
            <w:tcW w:w="903" w:type="pct"/>
            <w:tcBorders>
              <w:tl2br w:val="nil"/>
              <w:tr2bl w:val="nil"/>
            </w:tcBorders>
            <w:vAlign w:val="center"/>
          </w:tcPr>
          <w:p w14:paraId="722AB8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250</w:t>
            </w:r>
          </w:p>
        </w:tc>
        <w:tc>
          <w:tcPr>
            <w:tcW w:w="970" w:type="pct"/>
            <w:tcBorders>
              <w:tl2br w:val="nil"/>
              <w:tr2bl w:val="nil"/>
            </w:tcBorders>
            <w:vAlign w:val="center"/>
          </w:tcPr>
          <w:p w14:paraId="2087B26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300</w:t>
            </w:r>
          </w:p>
        </w:tc>
        <w:tc>
          <w:tcPr>
            <w:tcW w:w="732" w:type="pct"/>
            <w:tcBorders>
              <w:tl2br w:val="nil"/>
              <w:tr2bl w:val="nil"/>
            </w:tcBorders>
            <w:vAlign w:val="center"/>
          </w:tcPr>
          <w:p w14:paraId="69D44A4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350</w:t>
            </w:r>
          </w:p>
        </w:tc>
      </w:tr>
      <w:tr w14:paraId="4636F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vMerge w:val="continue"/>
            <w:tcBorders>
              <w:tl2br w:val="nil"/>
              <w:tr2bl w:val="nil"/>
            </w:tcBorders>
            <w:vAlign w:val="center"/>
          </w:tcPr>
          <w:p w14:paraId="5BFAE7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5" w:type="pct"/>
            <w:vMerge w:val="continue"/>
            <w:tcBorders>
              <w:tl2br w:val="nil"/>
              <w:tr2bl w:val="nil"/>
            </w:tcBorders>
            <w:vAlign w:val="center"/>
          </w:tcPr>
          <w:p w14:paraId="6061FEA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685" w:type="pct"/>
            <w:tcBorders>
              <w:tl2br w:val="nil"/>
              <w:tr2bl w:val="nil"/>
            </w:tcBorders>
            <w:vAlign w:val="center"/>
          </w:tcPr>
          <w:p w14:paraId="6FD571E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其他</w:t>
            </w:r>
          </w:p>
        </w:tc>
        <w:tc>
          <w:tcPr>
            <w:tcW w:w="694" w:type="pct"/>
            <w:tcBorders>
              <w:tl2br w:val="nil"/>
              <w:tr2bl w:val="nil"/>
            </w:tcBorders>
            <w:vAlign w:val="center"/>
          </w:tcPr>
          <w:p w14:paraId="78A9BB5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150</w:t>
            </w:r>
          </w:p>
        </w:tc>
        <w:tc>
          <w:tcPr>
            <w:tcW w:w="903" w:type="pct"/>
            <w:tcBorders>
              <w:tl2br w:val="nil"/>
              <w:tr2bl w:val="nil"/>
            </w:tcBorders>
            <w:vAlign w:val="center"/>
          </w:tcPr>
          <w:p w14:paraId="102D52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150</w:t>
            </w:r>
          </w:p>
        </w:tc>
        <w:tc>
          <w:tcPr>
            <w:tcW w:w="970" w:type="pct"/>
            <w:tcBorders>
              <w:tl2br w:val="nil"/>
              <w:tr2bl w:val="nil"/>
            </w:tcBorders>
            <w:vAlign w:val="center"/>
          </w:tcPr>
          <w:p w14:paraId="7C7009F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200</w:t>
            </w:r>
          </w:p>
        </w:tc>
        <w:tc>
          <w:tcPr>
            <w:tcW w:w="732" w:type="pct"/>
            <w:tcBorders>
              <w:tl2br w:val="nil"/>
              <w:tr2bl w:val="nil"/>
            </w:tcBorders>
            <w:vAlign w:val="center"/>
          </w:tcPr>
          <w:p w14:paraId="3A8111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250</w:t>
            </w:r>
          </w:p>
        </w:tc>
      </w:tr>
      <w:tr w14:paraId="1A91E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vMerge w:val="restart"/>
            <w:tcBorders>
              <w:tl2br w:val="nil"/>
              <w:tr2bl w:val="nil"/>
            </w:tcBorders>
            <w:vAlign w:val="center"/>
          </w:tcPr>
          <w:p w14:paraId="796C06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61B26D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w:t>
            </w:r>
          </w:p>
        </w:tc>
        <w:tc>
          <w:tcPr>
            <w:tcW w:w="595" w:type="pct"/>
            <w:vMerge w:val="restart"/>
            <w:tcBorders>
              <w:tl2br w:val="nil"/>
              <w:tr2bl w:val="nil"/>
            </w:tcBorders>
            <w:vAlign w:val="center"/>
          </w:tcPr>
          <w:p w14:paraId="40DE6A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406F626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铜</w:t>
            </w:r>
          </w:p>
        </w:tc>
        <w:tc>
          <w:tcPr>
            <w:tcW w:w="685" w:type="pct"/>
            <w:tcBorders>
              <w:tl2br w:val="nil"/>
              <w:tr2bl w:val="nil"/>
            </w:tcBorders>
            <w:vAlign w:val="center"/>
          </w:tcPr>
          <w:p w14:paraId="3B4749B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果园</w:t>
            </w:r>
          </w:p>
        </w:tc>
        <w:tc>
          <w:tcPr>
            <w:tcW w:w="694" w:type="pct"/>
            <w:tcBorders>
              <w:tl2br w:val="nil"/>
              <w:tr2bl w:val="nil"/>
            </w:tcBorders>
            <w:vAlign w:val="center"/>
          </w:tcPr>
          <w:p w14:paraId="7BF64E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150</w:t>
            </w:r>
          </w:p>
        </w:tc>
        <w:tc>
          <w:tcPr>
            <w:tcW w:w="903" w:type="pct"/>
            <w:tcBorders>
              <w:tl2br w:val="nil"/>
              <w:tr2bl w:val="nil"/>
            </w:tcBorders>
            <w:vAlign w:val="center"/>
          </w:tcPr>
          <w:p w14:paraId="6DB143D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150</w:t>
            </w:r>
          </w:p>
        </w:tc>
        <w:tc>
          <w:tcPr>
            <w:tcW w:w="970" w:type="pct"/>
            <w:tcBorders>
              <w:tl2br w:val="nil"/>
              <w:tr2bl w:val="nil"/>
            </w:tcBorders>
            <w:vAlign w:val="center"/>
          </w:tcPr>
          <w:p w14:paraId="735936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200</w:t>
            </w:r>
          </w:p>
        </w:tc>
        <w:tc>
          <w:tcPr>
            <w:tcW w:w="732" w:type="pct"/>
            <w:tcBorders>
              <w:tl2br w:val="nil"/>
              <w:tr2bl w:val="nil"/>
            </w:tcBorders>
            <w:vAlign w:val="center"/>
          </w:tcPr>
          <w:p w14:paraId="7B17F7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200</w:t>
            </w:r>
          </w:p>
        </w:tc>
      </w:tr>
      <w:tr w14:paraId="5EBC2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vMerge w:val="continue"/>
            <w:tcBorders>
              <w:tl2br w:val="nil"/>
              <w:tr2bl w:val="nil"/>
            </w:tcBorders>
            <w:vAlign w:val="center"/>
          </w:tcPr>
          <w:p w14:paraId="7DA7DD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5" w:type="pct"/>
            <w:vMerge w:val="continue"/>
            <w:tcBorders>
              <w:tl2br w:val="nil"/>
              <w:tr2bl w:val="nil"/>
            </w:tcBorders>
            <w:vAlign w:val="center"/>
          </w:tcPr>
          <w:p w14:paraId="4C4376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685" w:type="pct"/>
            <w:tcBorders>
              <w:tl2br w:val="nil"/>
              <w:tr2bl w:val="nil"/>
            </w:tcBorders>
            <w:vAlign w:val="center"/>
          </w:tcPr>
          <w:p w14:paraId="7AE8126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其他</w:t>
            </w:r>
          </w:p>
        </w:tc>
        <w:tc>
          <w:tcPr>
            <w:tcW w:w="694" w:type="pct"/>
            <w:tcBorders>
              <w:tl2br w:val="nil"/>
              <w:tr2bl w:val="nil"/>
            </w:tcBorders>
            <w:vAlign w:val="center"/>
          </w:tcPr>
          <w:p w14:paraId="790FF3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c>
          <w:tcPr>
            <w:tcW w:w="903" w:type="pct"/>
            <w:tcBorders>
              <w:tl2br w:val="nil"/>
              <w:tr2bl w:val="nil"/>
            </w:tcBorders>
            <w:vAlign w:val="center"/>
          </w:tcPr>
          <w:p w14:paraId="2E0586D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50</w:t>
            </w:r>
          </w:p>
        </w:tc>
        <w:tc>
          <w:tcPr>
            <w:tcW w:w="970" w:type="pct"/>
            <w:tcBorders>
              <w:tl2br w:val="nil"/>
              <w:tr2bl w:val="nil"/>
            </w:tcBorders>
            <w:vAlign w:val="center"/>
          </w:tcPr>
          <w:p w14:paraId="452C21E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100</w:t>
            </w:r>
          </w:p>
        </w:tc>
        <w:tc>
          <w:tcPr>
            <w:tcW w:w="732" w:type="pct"/>
            <w:tcBorders>
              <w:tl2br w:val="nil"/>
              <w:tr2bl w:val="nil"/>
            </w:tcBorders>
            <w:vAlign w:val="center"/>
          </w:tcPr>
          <w:p w14:paraId="1F16DA9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100</w:t>
            </w:r>
          </w:p>
        </w:tc>
      </w:tr>
      <w:tr w14:paraId="32A4E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18" w:type="pct"/>
            <w:tcBorders>
              <w:tl2br w:val="nil"/>
              <w:tr2bl w:val="nil"/>
            </w:tcBorders>
            <w:vAlign w:val="center"/>
          </w:tcPr>
          <w:p w14:paraId="5105E44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7</w:t>
            </w:r>
          </w:p>
        </w:tc>
        <w:tc>
          <w:tcPr>
            <w:tcW w:w="1280" w:type="pct"/>
            <w:gridSpan w:val="2"/>
            <w:tcBorders>
              <w:tl2br w:val="nil"/>
              <w:tr2bl w:val="nil"/>
            </w:tcBorders>
            <w:vAlign w:val="center"/>
          </w:tcPr>
          <w:p w14:paraId="21784B9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镍</w:t>
            </w:r>
          </w:p>
        </w:tc>
        <w:tc>
          <w:tcPr>
            <w:tcW w:w="694" w:type="pct"/>
            <w:tcBorders>
              <w:tl2br w:val="nil"/>
              <w:tr2bl w:val="nil"/>
            </w:tcBorders>
            <w:vAlign w:val="center"/>
          </w:tcPr>
          <w:p w14:paraId="42C6AA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60</w:t>
            </w:r>
          </w:p>
        </w:tc>
        <w:tc>
          <w:tcPr>
            <w:tcW w:w="903" w:type="pct"/>
            <w:tcBorders>
              <w:tl2br w:val="nil"/>
              <w:tr2bl w:val="nil"/>
            </w:tcBorders>
            <w:vAlign w:val="center"/>
          </w:tcPr>
          <w:p w14:paraId="74F1CCE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70</w:t>
            </w:r>
          </w:p>
        </w:tc>
        <w:tc>
          <w:tcPr>
            <w:tcW w:w="970" w:type="pct"/>
            <w:tcBorders>
              <w:tl2br w:val="nil"/>
              <w:tr2bl w:val="nil"/>
            </w:tcBorders>
            <w:vAlign w:val="center"/>
          </w:tcPr>
          <w:p w14:paraId="4D8A86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100</w:t>
            </w:r>
          </w:p>
        </w:tc>
        <w:tc>
          <w:tcPr>
            <w:tcW w:w="732" w:type="pct"/>
            <w:tcBorders>
              <w:tl2br w:val="nil"/>
              <w:tr2bl w:val="nil"/>
            </w:tcBorders>
            <w:vAlign w:val="center"/>
          </w:tcPr>
          <w:p w14:paraId="2C56BF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190</w:t>
            </w:r>
          </w:p>
        </w:tc>
      </w:tr>
      <w:tr w14:paraId="29509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18" w:type="pct"/>
            <w:tcBorders>
              <w:tl2br w:val="nil"/>
              <w:tr2bl w:val="nil"/>
            </w:tcBorders>
            <w:vAlign w:val="center"/>
          </w:tcPr>
          <w:p w14:paraId="55F8284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8</w:t>
            </w:r>
          </w:p>
        </w:tc>
        <w:tc>
          <w:tcPr>
            <w:tcW w:w="1280" w:type="pct"/>
            <w:gridSpan w:val="2"/>
            <w:tcBorders>
              <w:tl2br w:val="nil"/>
              <w:tr2bl w:val="nil"/>
            </w:tcBorders>
            <w:vAlign w:val="center"/>
          </w:tcPr>
          <w:p w14:paraId="3164EA2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锌</w:t>
            </w:r>
          </w:p>
        </w:tc>
        <w:tc>
          <w:tcPr>
            <w:tcW w:w="694" w:type="pct"/>
            <w:tcBorders>
              <w:tl2br w:val="nil"/>
              <w:tr2bl w:val="nil"/>
            </w:tcBorders>
            <w:vAlign w:val="center"/>
          </w:tcPr>
          <w:p w14:paraId="4FCAC7E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200</w:t>
            </w:r>
          </w:p>
        </w:tc>
        <w:tc>
          <w:tcPr>
            <w:tcW w:w="903" w:type="pct"/>
            <w:tcBorders>
              <w:tl2br w:val="nil"/>
              <w:tr2bl w:val="nil"/>
            </w:tcBorders>
            <w:vAlign w:val="center"/>
          </w:tcPr>
          <w:p w14:paraId="5B7660A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200</w:t>
            </w:r>
          </w:p>
        </w:tc>
        <w:tc>
          <w:tcPr>
            <w:tcW w:w="970" w:type="pct"/>
            <w:tcBorders>
              <w:tl2br w:val="nil"/>
              <w:tr2bl w:val="nil"/>
            </w:tcBorders>
            <w:vAlign w:val="center"/>
          </w:tcPr>
          <w:p w14:paraId="635BD70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250</w:t>
            </w:r>
          </w:p>
        </w:tc>
        <w:tc>
          <w:tcPr>
            <w:tcW w:w="732" w:type="pct"/>
            <w:tcBorders>
              <w:tl2br w:val="nil"/>
              <w:tr2bl w:val="nil"/>
            </w:tcBorders>
            <w:vAlign w:val="center"/>
          </w:tcPr>
          <w:p w14:paraId="6EC320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300</w:t>
            </w:r>
          </w:p>
        </w:tc>
      </w:tr>
    </w:tbl>
    <w:p w14:paraId="4EC06A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宋体" w:cs="Times New Roman"/>
          <w:color w:val="auto"/>
          <w:sz w:val="21"/>
          <w:szCs w:val="21"/>
          <w:highlight w:val="none"/>
          <w:lang w:val="en-US" w:eastAsia="zh-CN"/>
        </w:rPr>
      </w:pPr>
    </w:p>
    <w:p w14:paraId="5ADAA747">
      <w:pPr>
        <w:pStyle w:val="7"/>
        <w:bidi w:val="0"/>
        <w:rPr>
          <w:rFonts w:ascii="Times New Roman" w:hAnsi="Times New Roman" w:eastAsia="宋体" w:cs="Times New Roman"/>
          <w:highlight w:val="none"/>
          <w:lang w:val="en-US" w:eastAsia="zh-CN"/>
        </w:rPr>
      </w:pPr>
      <w:bookmarkStart w:id="62" w:name="_Toc32331"/>
      <w:r>
        <w:rPr>
          <w:rFonts w:ascii="Times New Roman" w:hAnsi="Times New Roman" w:eastAsia="宋体" w:cs="Times New Roman"/>
          <w:highlight w:val="none"/>
          <w:lang w:val="en-US" w:eastAsia="zh-CN"/>
        </w:rPr>
        <w:t>2.4.2污染物排放标准</w:t>
      </w:r>
      <w:bookmarkEnd w:id="62"/>
    </w:p>
    <w:p w14:paraId="20983DD8">
      <w:pPr>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jc w:val="both"/>
        <w:textAlignment w:val="auto"/>
        <w:rPr>
          <w:rFonts w:hint="default" w:ascii="Times New Roman" w:hAnsi="Times New Roman" w:eastAsia="宋体" w:cs="Times New Roman"/>
          <w:b/>
          <w:bCs/>
          <w:spacing w:val="-1"/>
          <w:sz w:val="24"/>
          <w:szCs w:val="24"/>
          <w:highlight w:val="none"/>
          <w:lang w:val="en-US" w:eastAsia="zh-CN"/>
        </w:rPr>
      </w:pPr>
      <w:r>
        <w:rPr>
          <w:rFonts w:hint="eastAsia" w:eastAsia="宋体" w:cs="Times New Roman"/>
          <w:b/>
          <w:bCs/>
          <w:spacing w:val="-1"/>
          <w:sz w:val="24"/>
          <w:szCs w:val="24"/>
          <w:highlight w:val="none"/>
          <w:lang w:val="en-US" w:eastAsia="zh-CN"/>
        </w:rPr>
        <w:t>1、</w:t>
      </w:r>
      <w:r>
        <w:rPr>
          <w:rFonts w:hint="default" w:ascii="Times New Roman" w:hAnsi="Times New Roman" w:eastAsia="宋体" w:cs="Times New Roman"/>
          <w:b/>
          <w:bCs/>
          <w:spacing w:val="-1"/>
          <w:sz w:val="24"/>
          <w:szCs w:val="24"/>
          <w:highlight w:val="none"/>
          <w:lang w:val="en-US" w:eastAsia="zh-CN"/>
        </w:rPr>
        <w:t>大气污染物排放标准</w:t>
      </w:r>
    </w:p>
    <w:p w14:paraId="2EB1D2B6">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eastAsia" w:ascii="Times New Roman" w:hAnsi="Times New Roman" w:eastAsia="宋体" w:cs="Times New Roman"/>
          <w:spacing w:val="-1"/>
          <w:sz w:val="24"/>
          <w:szCs w:val="24"/>
          <w:highlight w:val="none"/>
          <w:lang w:val="en-US" w:eastAsia="zh-CN"/>
        </w:rPr>
      </w:pPr>
      <w:r>
        <w:rPr>
          <w:rFonts w:hint="eastAsia" w:ascii="Times New Roman" w:hAnsi="Times New Roman" w:eastAsia="宋体" w:cs="Times New Roman"/>
          <w:spacing w:val="-1"/>
          <w:sz w:val="24"/>
          <w:szCs w:val="24"/>
          <w:highlight w:val="none"/>
          <w:lang w:val="en-US" w:eastAsia="zh-CN"/>
        </w:rPr>
        <w:t>本项目大气</w:t>
      </w:r>
      <w:r>
        <w:rPr>
          <w:rFonts w:hint="eastAsia" w:eastAsia="宋体" w:cs="Times New Roman"/>
          <w:spacing w:val="-1"/>
          <w:sz w:val="24"/>
          <w:szCs w:val="24"/>
          <w:highlight w:val="none"/>
          <w:lang w:val="en-US" w:eastAsia="zh-CN"/>
        </w:rPr>
        <w:t>有组织排放</w:t>
      </w:r>
      <w:r>
        <w:rPr>
          <w:rFonts w:hint="eastAsia" w:ascii="Times New Roman" w:hAnsi="Times New Roman" w:eastAsia="宋体" w:cs="Times New Roman"/>
          <w:spacing w:val="-1"/>
          <w:sz w:val="24"/>
          <w:szCs w:val="24"/>
          <w:highlight w:val="none"/>
          <w:lang w:val="en-US" w:eastAsia="zh-CN"/>
        </w:rPr>
        <w:t>VOC</w:t>
      </w:r>
      <w:r>
        <w:rPr>
          <w:rFonts w:hint="eastAsia" w:eastAsia="宋体" w:cs="Times New Roman"/>
          <w:spacing w:val="-1"/>
          <w:sz w:val="24"/>
          <w:szCs w:val="24"/>
          <w:highlight w:val="none"/>
          <w:lang w:val="en-US" w:eastAsia="zh-CN"/>
        </w:rPr>
        <w:t>s</w:t>
      </w:r>
      <w:r>
        <w:rPr>
          <w:rFonts w:hint="eastAsia" w:ascii="Times New Roman" w:hAnsi="Times New Roman" w:eastAsia="宋体" w:cs="Times New Roman"/>
          <w:spacing w:val="-1"/>
          <w:sz w:val="24"/>
          <w:szCs w:val="24"/>
          <w:highlight w:val="none"/>
          <w:lang w:val="en-US" w:eastAsia="zh-CN"/>
        </w:rPr>
        <w:t>参考执行天津市地方标准《工业企业挥发性有机物排放控制标准》（</w:t>
      </w:r>
      <w:r>
        <w:rPr>
          <w:rFonts w:hint="default" w:ascii="Times New Roman" w:hAnsi="Times New Roman" w:eastAsia="宋体" w:cs="Times New Roman"/>
          <w:spacing w:val="-1"/>
          <w:sz w:val="24"/>
          <w:szCs w:val="24"/>
          <w:highlight w:val="none"/>
          <w:lang w:val="en-US" w:eastAsia="zh-CN"/>
        </w:rPr>
        <w:t>DB12/ 524—2020</w:t>
      </w:r>
      <w:r>
        <w:rPr>
          <w:rFonts w:hint="eastAsia" w:ascii="Times New Roman" w:hAnsi="Times New Roman" w:eastAsia="宋体" w:cs="Times New Roman"/>
          <w:spacing w:val="-1"/>
          <w:sz w:val="24"/>
          <w:szCs w:val="24"/>
          <w:highlight w:val="none"/>
          <w:lang w:val="en-US" w:eastAsia="zh-CN"/>
        </w:rPr>
        <w:t>）。厂区内VOC</w:t>
      </w:r>
      <w:r>
        <w:rPr>
          <w:rFonts w:hint="eastAsia" w:eastAsia="宋体" w:cs="Times New Roman"/>
          <w:spacing w:val="-1"/>
          <w:sz w:val="24"/>
          <w:szCs w:val="24"/>
          <w:highlight w:val="none"/>
          <w:lang w:val="en-US" w:eastAsia="zh-CN"/>
        </w:rPr>
        <w:t>s</w:t>
      </w:r>
      <w:r>
        <w:rPr>
          <w:rFonts w:hint="eastAsia" w:ascii="Times New Roman" w:hAnsi="Times New Roman" w:eastAsia="宋体" w:cs="Times New Roman"/>
          <w:spacing w:val="-1"/>
          <w:sz w:val="24"/>
          <w:szCs w:val="24"/>
          <w:highlight w:val="none"/>
          <w:lang w:val="en-US" w:eastAsia="zh-CN"/>
        </w:rPr>
        <w:t>无组织废气满足《挥发性有机物无组织排放控制标准》（</w:t>
      </w:r>
      <w:r>
        <w:rPr>
          <w:rFonts w:hint="default" w:ascii="Times New Roman" w:hAnsi="Times New Roman" w:eastAsia="宋体" w:cs="Times New Roman"/>
          <w:spacing w:val="-1"/>
          <w:sz w:val="24"/>
          <w:szCs w:val="24"/>
          <w:highlight w:val="none"/>
          <w:lang w:val="en-US" w:eastAsia="zh-CN"/>
        </w:rPr>
        <w:t>GB 37822—2019</w:t>
      </w:r>
      <w:r>
        <w:rPr>
          <w:rFonts w:hint="eastAsia" w:ascii="Times New Roman" w:hAnsi="Times New Roman" w:eastAsia="宋体" w:cs="Times New Roman"/>
          <w:spacing w:val="-1"/>
          <w:sz w:val="24"/>
          <w:szCs w:val="24"/>
          <w:highlight w:val="none"/>
          <w:lang w:val="en-US" w:eastAsia="zh-CN"/>
        </w:rPr>
        <w:t>）</w:t>
      </w:r>
      <w:r>
        <w:rPr>
          <w:rFonts w:hint="eastAsia" w:eastAsia="宋体" w:cs="Times New Roman"/>
          <w:spacing w:val="-1"/>
          <w:sz w:val="24"/>
          <w:szCs w:val="24"/>
          <w:highlight w:val="none"/>
          <w:lang w:val="en-US" w:eastAsia="zh-CN"/>
        </w:rPr>
        <w:t>；厂界无</w:t>
      </w:r>
      <w:r>
        <w:rPr>
          <w:rFonts w:hint="eastAsia" w:ascii="Times New Roman" w:hAnsi="Times New Roman" w:eastAsia="宋体" w:cs="Times New Roman"/>
          <w:spacing w:val="-1"/>
          <w:sz w:val="24"/>
          <w:szCs w:val="24"/>
          <w:highlight w:val="none"/>
          <w:lang w:val="en-US" w:eastAsia="zh-CN"/>
        </w:rPr>
        <w:t>组织排放颗粒物</w:t>
      </w:r>
      <w:r>
        <w:rPr>
          <w:rFonts w:hint="eastAsia" w:eastAsia="宋体" w:cs="Times New Roman"/>
          <w:spacing w:val="-1"/>
          <w:sz w:val="24"/>
          <w:szCs w:val="24"/>
          <w:highlight w:val="none"/>
          <w:lang w:val="en-US" w:eastAsia="zh-CN"/>
        </w:rPr>
        <w:t>和</w:t>
      </w:r>
      <w:r>
        <w:rPr>
          <w:rFonts w:hint="eastAsia" w:ascii="Times New Roman" w:hAnsi="Times New Roman" w:eastAsia="宋体" w:cs="Times New Roman"/>
          <w:spacing w:val="-1"/>
          <w:sz w:val="24"/>
          <w:szCs w:val="24"/>
          <w:highlight w:val="none"/>
          <w:lang w:val="en-US" w:eastAsia="zh-CN"/>
        </w:rPr>
        <w:t>VOC</w:t>
      </w:r>
      <w:r>
        <w:rPr>
          <w:rFonts w:hint="eastAsia" w:eastAsia="宋体" w:cs="Times New Roman"/>
          <w:spacing w:val="-1"/>
          <w:sz w:val="24"/>
          <w:szCs w:val="24"/>
          <w:highlight w:val="none"/>
          <w:lang w:val="en-US" w:eastAsia="zh-CN"/>
        </w:rPr>
        <w:t>s</w:t>
      </w:r>
      <w:r>
        <w:rPr>
          <w:rFonts w:hint="eastAsia" w:ascii="Times New Roman" w:hAnsi="Times New Roman" w:eastAsia="宋体" w:cs="Times New Roman"/>
          <w:spacing w:val="-1"/>
          <w:sz w:val="24"/>
          <w:szCs w:val="24"/>
          <w:highlight w:val="none"/>
          <w:lang w:val="en-US" w:eastAsia="zh-CN"/>
        </w:rPr>
        <w:t>满足《大气污染物综合排放标准》（</w:t>
      </w:r>
      <w:r>
        <w:rPr>
          <w:rFonts w:hint="default" w:ascii="Times New Roman" w:hAnsi="Times New Roman" w:eastAsia="宋体" w:cs="Times New Roman"/>
          <w:spacing w:val="-1"/>
          <w:sz w:val="24"/>
          <w:szCs w:val="24"/>
          <w:highlight w:val="none"/>
          <w:lang w:val="en-US" w:eastAsia="zh-CN"/>
        </w:rPr>
        <w:t>GB 16297</w:t>
      </w:r>
      <w:r>
        <w:rPr>
          <w:rFonts w:hint="eastAsia" w:ascii="Times New Roman" w:hAnsi="Times New Roman" w:eastAsia="宋体" w:cs="Times New Roman"/>
          <w:spacing w:val="-1"/>
          <w:sz w:val="24"/>
          <w:szCs w:val="24"/>
          <w:highlight w:val="none"/>
          <w:lang w:val="en-US" w:eastAsia="zh-CN"/>
        </w:rPr>
        <w:t>-1966</w:t>
      </w:r>
      <w:r>
        <w:rPr>
          <w:rFonts w:hint="default" w:ascii="Times New Roman" w:hAnsi="Times New Roman" w:eastAsia="宋体" w:cs="Times New Roman"/>
          <w:spacing w:val="-1"/>
          <w:sz w:val="24"/>
          <w:szCs w:val="24"/>
          <w:highlight w:val="none"/>
          <w:lang w:val="en-US" w:eastAsia="zh-CN"/>
        </w:rPr>
        <w:t xml:space="preserve"> </w:t>
      </w:r>
      <w:r>
        <w:rPr>
          <w:rFonts w:hint="eastAsia" w:ascii="Times New Roman" w:hAnsi="Times New Roman" w:eastAsia="宋体" w:cs="Times New Roman"/>
          <w:spacing w:val="-1"/>
          <w:sz w:val="24"/>
          <w:szCs w:val="24"/>
          <w:highlight w:val="none"/>
          <w:lang w:val="en-US" w:eastAsia="zh-CN"/>
        </w:rPr>
        <w:t>）表2标准限值；</w:t>
      </w:r>
      <w:r>
        <w:rPr>
          <w:rFonts w:hint="eastAsia" w:eastAsia="宋体" w:cs="Times New Roman"/>
          <w:spacing w:val="-1"/>
          <w:sz w:val="24"/>
          <w:szCs w:val="24"/>
          <w:highlight w:val="none"/>
          <w:lang w:val="en-US" w:eastAsia="zh-CN"/>
        </w:rPr>
        <w:t>厨房</w:t>
      </w:r>
      <w:r>
        <w:rPr>
          <w:rFonts w:hint="eastAsia" w:ascii="Times New Roman" w:hAnsi="Times New Roman" w:eastAsia="宋体" w:cs="Times New Roman"/>
          <w:spacing w:val="-1"/>
          <w:sz w:val="24"/>
          <w:szCs w:val="24"/>
          <w:highlight w:val="none"/>
          <w:lang w:val="en-US" w:eastAsia="zh-CN"/>
        </w:rPr>
        <w:t>油烟执行《饮食油烟排放标准》（GB18483-2001）</w:t>
      </w:r>
      <w:r>
        <w:rPr>
          <w:rFonts w:hint="eastAsia" w:eastAsia="宋体" w:cs="Times New Roman"/>
          <w:spacing w:val="-1"/>
          <w:sz w:val="24"/>
          <w:szCs w:val="24"/>
          <w:highlight w:val="none"/>
          <w:lang w:val="en-US" w:eastAsia="zh-CN"/>
        </w:rPr>
        <w:t>。</w:t>
      </w:r>
    </w:p>
    <w:p w14:paraId="3478ED2C">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bCs/>
          <w:spacing w:val="-1"/>
          <w:sz w:val="24"/>
          <w:szCs w:val="24"/>
          <w:highlight w:val="none"/>
          <w:lang w:val="en-US" w:eastAsia="zh-CN"/>
        </w:rPr>
      </w:pPr>
      <w:r>
        <w:rPr>
          <w:rFonts w:hint="default" w:ascii="Times New Roman" w:hAnsi="Times New Roman" w:eastAsia="宋体" w:cs="Times New Roman"/>
          <w:b/>
          <w:bCs/>
          <w:spacing w:val="-1"/>
          <w:sz w:val="24"/>
          <w:szCs w:val="24"/>
          <w:highlight w:val="none"/>
          <w:lang w:val="en-US" w:eastAsia="zh-CN"/>
        </w:rPr>
        <w:t>表2.</w:t>
      </w:r>
      <w:r>
        <w:rPr>
          <w:rFonts w:hint="eastAsia" w:ascii="Times New Roman" w:hAnsi="Times New Roman" w:eastAsia="宋体" w:cs="Times New Roman"/>
          <w:b/>
          <w:bCs/>
          <w:spacing w:val="-1"/>
          <w:sz w:val="24"/>
          <w:szCs w:val="24"/>
          <w:highlight w:val="none"/>
          <w:lang w:val="en-US" w:eastAsia="zh-CN"/>
        </w:rPr>
        <w:t>4</w:t>
      </w:r>
      <w:r>
        <w:rPr>
          <w:rFonts w:hint="default" w:ascii="Times New Roman" w:hAnsi="Times New Roman" w:eastAsia="宋体" w:cs="Times New Roman"/>
          <w:b/>
          <w:bCs/>
          <w:spacing w:val="-1"/>
          <w:sz w:val="24"/>
          <w:szCs w:val="24"/>
          <w:highlight w:val="none"/>
          <w:lang w:val="en-US" w:eastAsia="zh-CN"/>
        </w:rPr>
        <w:t>-</w:t>
      </w:r>
      <w:r>
        <w:rPr>
          <w:rFonts w:hint="eastAsia" w:eastAsia="宋体" w:cs="Times New Roman"/>
          <w:b/>
          <w:bCs/>
          <w:spacing w:val="-1"/>
          <w:sz w:val="24"/>
          <w:szCs w:val="24"/>
          <w:highlight w:val="none"/>
          <w:lang w:val="en-US" w:eastAsia="zh-CN"/>
        </w:rPr>
        <w:t>7</w:t>
      </w:r>
      <w:r>
        <w:rPr>
          <w:rFonts w:hint="default" w:ascii="Times New Roman" w:hAnsi="Times New Roman" w:eastAsia="宋体" w:cs="Times New Roman"/>
          <w:b/>
          <w:bCs/>
          <w:spacing w:val="-1"/>
          <w:sz w:val="24"/>
          <w:szCs w:val="24"/>
          <w:highlight w:val="none"/>
          <w:lang w:val="en-US" w:eastAsia="zh-CN"/>
        </w:rPr>
        <w:t xml:space="preserve">  大气污染物排放标准一览表</w:t>
      </w:r>
    </w:p>
    <w:tbl>
      <w:tblPr>
        <w:tblStyle w:val="23"/>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854"/>
        <w:gridCol w:w="1116"/>
        <w:gridCol w:w="1699"/>
        <w:gridCol w:w="1113"/>
        <w:gridCol w:w="1630"/>
      </w:tblGrid>
      <w:tr w14:paraId="14502A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96" w:type="pct"/>
            <w:vMerge w:val="restart"/>
            <w:tcBorders>
              <w:tl2br w:val="nil"/>
              <w:tr2bl w:val="nil"/>
            </w:tcBorders>
            <w:noWrap w:val="0"/>
            <w:tcMar>
              <w:left w:w="0" w:type="dxa"/>
              <w:right w:w="0" w:type="dxa"/>
            </w:tcMar>
            <w:vAlign w:val="center"/>
          </w:tcPr>
          <w:p w14:paraId="7036E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663" w:type="pct"/>
            <w:vMerge w:val="restart"/>
            <w:tcBorders>
              <w:tl2br w:val="nil"/>
              <w:tr2bl w:val="nil"/>
            </w:tcBorders>
            <w:noWrap w:val="0"/>
            <w:tcMar>
              <w:left w:w="0" w:type="dxa"/>
              <w:right w:w="0" w:type="dxa"/>
            </w:tcMar>
            <w:vAlign w:val="center"/>
          </w:tcPr>
          <w:p w14:paraId="746AF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009" w:type="pct"/>
            <w:vMerge w:val="restart"/>
            <w:tcBorders>
              <w:tl2br w:val="nil"/>
              <w:tr2bl w:val="nil"/>
            </w:tcBorders>
            <w:noWrap w:val="0"/>
            <w:vAlign w:val="center"/>
          </w:tcPr>
          <w:p w14:paraId="431454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最高允许</w:t>
            </w:r>
          </w:p>
          <w:p w14:paraId="079D32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1"/>
                <w:sz w:val="21"/>
                <w:szCs w:val="21"/>
                <w:highlight w:val="none"/>
              </w:rPr>
              <w:t>排放浓度</w:t>
            </w:r>
            <w:r>
              <w:rPr>
                <w:rFonts w:hint="default" w:ascii="Times New Roman" w:hAnsi="Times New Roman" w:eastAsia="宋体" w:cs="Times New Roman"/>
                <w:b/>
                <w:color w:val="auto"/>
                <w:sz w:val="21"/>
                <w:szCs w:val="21"/>
                <w:highlight w:val="none"/>
              </w:rPr>
              <w:t>(mg/m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661" w:type="pct"/>
            <w:vMerge w:val="restart"/>
            <w:tcBorders>
              <w:tl2br w:val="nil"/>
              <w:tr2bl w:val="nil"/>
            </w:tcBorders>
            <w:noWrap w:val="0"/>
            <w:vAlign w:val="center"/>
          </w:tcPr>
          <w:p w14:paraId="4BC45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排气筒高度(m)</w:t>
            </w:r>
          </w:p>
        </w:tc>
        <w:tc>
          <w:tcPr>
            <w:tcW w:w="968" w:type="pct"/>
            <w:vMerge w:val="restart"/>
            <w:tcBorders>
              <w:tl2br w:val="nil"/>
              <w:tr2bl w:val="nil"/>
            </w:tcBorders>
            <w:noWrap w:val="0"/>
            <w:vAlign w:val="center"/>
          </w:tcPr>
          <w:p w14:paraId="4118E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最高允许排放速率(kg/h)</w:t>
            </w:r>
          </w:p>
        </w:tc>
      </w:tr>
      <w:tr w14:paraId="682C69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96" w:type="pct"/>
            <w:vMerge w:val="continue"/>
            <w:tcBorders>
              <w:tl2br w:val="nil"/>
              <w:tr2bl w:val="nil"/>
            </w:tcBorders>
            <w:noWrap w:val="0"/>
            <w:tcMar>
              <w:left w:w="0" w:type="dxa"/>
              <w:right w:w="0" w:type="dxa"/>
            </w:tcMar>
            <w:vAlign w:val="center"/>
          </w:tcPr>
          <w:p w14:paraId="419DC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63" w:type="pct"/>
            <w:vMerge w:val="continue"/>
            <w:tcBorders>
              <w:tl2br w:val="nil"/>
              <w:tr2bl w:val="nil"/>
            </w:tcBorders>
            <w:noWrap w:val="0"/>
            <w:tcMar>
              <w:left w:w="0" w:type="dxa"/>
              <w:right w:w="0" w:type="dxa"/>
            </w:tcMar>
            <w:vAlign w:val="center"/>
          </w:tcPr>
          <w:p w14:paraId="60DD9033">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009" w:type="pct"/>
            <w:vMerge w:val="continue"/>
            <w:tcBorders>
              <w:tl2br w:val="nil"/>
              <w:tr2bl w:val="nil"/>
            </w:tcBorders>
            <w:noWrap w:val="0"/>
            <w:vAlign w:val="center"/>
          </w:tcPr>
          <w:p w14:paraId="32B51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61" w:type="pct"/>
            <w:vMerge w:val="continue"/>
            <w:tcBorders>
              <w:tl2br w:val="nil"/>
              <w:tr2bl w:val="nil"/>
            </w:tcBorders>
            <w:noWrap w:val="0"/>
            <w:vAlign w:val="center"/>
          </w:tcPr>
          <w:p w14:paraId="3309FC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68" w:type="pct"/>
            <w:vMerge w:val="continue"/>
            <w:tcBorders>
              <w:tl2br w:val="nil"/>
              <w:tr2bl w:val="nil"/>
            </w:tcBorders>
            <w:noWrap w:val="0"/>
            <w:vAlign w:val="center"/>
          </w:tcPr>
          <w:p w14:paraId="6E3F79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1BC785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696" w:type="pct"/>
            <w:tcBorders>
              <w:tl2br w:val="nil"/>
              <w:tr2bl w:val="nil"/>
            </w:tcBorders>
            <w:noWrap w:val="0"/>
            <w:tcMar>
              <w:left w:w="0" w:type="dxa"/>
              <w:right w:w="0" w:type="dxa"/>
            </w:tcMar>
            <w:vAlign w:val="center"/>
          </w:tcPr>
          <w:p w14:paraId="617FBC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工业企业挥发性有机物排放控制标准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sz w:val="21"/>
                <w:szCs w:val="21"/>
                <w:highlight w:val="none"/>
              </w:rPr>
              <w:t>DB12/ 524—2020</w:t>
            </w:r>
            <w:r>
              <w:rPr>
                <w:rFonts w:hint="default" w:ascii="Times New Roman" w:hAnsi="Times New Roman" w:eastAsia="宋体" w:cs="Times New Roman"/>
                <w:color w:val="auto"/>
                <w:sz w:val="21"/>
                <w:szCs w:val="21"/>
                <w:highlight w:val="none"/>
                <w:lang w:eastAsia="zh-CN"/>
              </w:rPr>
              <w:t>）</w:t>
            </w:r>
          </w:p>
        </w:tc>
        <w:tc>
          <w:tcPr>
            <w:tcW w:w="663" w:type="pct"/>
            <w:tcBorders>
              <w:tl2br w:val="nil"/>
              <w:tr2bl w:val="nil"/>
            </w:tcBorders>
            <w:noWrap w:val="0"/>
            <w:tcMar>
              <w:left w:w="0" w:type="dxa"/>
              <w:right w:w="0" w:type="dxa"/>
            </w:tcMar>
            <w:vAlign w:val="center"/>
          </w:tcPr>
          <w:p w14:paraId="48072D02">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VOC</w:t>
            </w:r>
            <w:r>
              <w:rPr>
                <w:rFonts w:hint="eastAsia" w:eastAsia="宋体" w:cs="Times New Roman"/>
                <w:color w:val="auto"/>
                <w:sz w:val="21"/>
                <w:szCs w:val="21"/>
                <w:highlight w:val="none"/>
                <w:lang w:val="en-US" w:eastAsia="zh-CN"/>
              </w:rPr>
              <w:t>s</w:t>
            </w:r>
          </w:p>
        </w:tc>
        <w:tc>
          <w:tcPr>
            <w:tcW w:w="1009" w:type="pct"/>
            <w:tcBorders>
              <w:tl2br w:val="nil"/>
              <w:tr2bl w:val="nil"/>
            </w:tcBorders>
            <w:noWrap w:val="0"/>
            <w:vAlign w:val="center"/>
          </w:tcPr>
          <w:p w14:paraId="17D28F83">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661" w:type="pct"/>
            <w:tcBorders>
              <w:tl2br w:val="nil"/>
              <w:tr2bl w:val="nil"/>
            </w:tcBorders>
            <w:noWrap w:val="0"/>
            <w:vAlign w:val="center"/>
          </w:tcPr>
          <w:p w14:paraId="02E732F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968" w:type="pct"/>
            <w:tcBorders>
              <w:tl2br w:val="nil"/>
              <w:tr2bl w:val="nil"/>
            </w:tcBorders>
            <w:noWrap w:val="0"/>
            <w:vAlign w:val="center"/>
          </w:tcPr>
          <w:p w14:paraId="1301C84D">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bl>
    <w:p w14:paraId="013B4CF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b/>
          <w:bCs/>
          <w:spacing w:val="-1"/>
          <w:sz w:val="24"/>
          <w:szCs w:val="24"/>
          <w:highlight w:val="none"/>
          <w:lang w:val="en-US" w:eastAsia="zh-CN"/>
        </w:rPr>
      </w:pPr>
      <w:r>
        <w:rPr>
          <w:rFonts w:hint="eastAsia" w:ascii="Times New Roman" w:hAnsi="Times New Roman" w:eastAsia="宋体" w:cs="Times New Roman"/>
          <w:b/>
          <w:bCs/>
          <w:spacing w:val="-1"/>
          <w:sz w:val="24"/>
          <w:szCs w:val="24"/>
          <w:highlight w:val="none"/>
          <w:lang w:val="en-US" w:eastAsia="zh-CN"/>
        </w:rPr>
        <w:t>表2.4-</w:t>
      </w:r>
      <w:r>
        <w:rPr>
          <w:rFonts w:hint="eastAsia" w:eastAsia="宋体" w:cs="Times New Roman"/>
          <w:b/>
          <w:bCs/>
          <w:spacing w:val="-1"/>
          <w:sz w:val="24"/>
          <w:szCs w:val="24"/>
          <w:highlight w:val="none"/>
          <w:lang w:val="en-US" w:eastAsia="zh-CN"/>
        </w:rPr>
        <w:t>8</w:t>
      </w:r>
      <w:r>
        <w:rPr>
          <w:rFonts w:hint="eastAsia" w:ascii="Times New Roman" w:hAnsi="Times New Roman" w:eastAsia="宋体" w:cs="Times New Roman"/>
          <w:b/>
          <w:bCs/>
          <w:spacing w:val="-1"/>
          <w:sz w:val="24"/>
          <w:szCs w:val="24"/>
          <w:highlight w:val="none"/>
          <w:lang w:val="en-US" w:eastAsia="zh-CN"/>
        </w:rPr>
        <w:t xml:space="preserve">  </w:t>
      </w:r>
      <w:r>
        <w:rPr>
          <w:rFonts w:hint="default" w:ascii="Times New Roman" w:hAnsi="Times New Roman" w:eastAsia="宋体" w:cs="Times New Roman"/>
          <w:b/>
          <w:bCs/>
          <w:spacing w:val="-1"/>
          <w:sz w:val="24"/>
          <w:szCs w:val="24"/>
          <w:highlight w:val="none"/>
          <w:lang w:val="en-US" w:eastAsia="zh-CN"/>
        </w:rPr>
        <w:t>厂区内 VOCs 无组织排放限值</w:t>
      </w:r>
    </w:p>
    <w:tbl>
      <w:tblPr>
        <w:tblStyle w:val="37"/>
        <w:tblW w:w="50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21"/>
        <w:gridCol w:w="948"/>
        <w:gridCol w:w="2872"/>
        <w:gridCol w:w="1399"/>
        <w:gridCol w:w="2133"/>
      </w:tblGrid>
      <w:tr w14:paraId="0A778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62" w:type="pct"/>
            <w:tcBorders>
              <w:top w:val="single" w:color="000000" w:sz="10" w:space="0"/>
              <w:left w:val="single" w:color="000000" w:sz="10" w:space="0"/>
            </w:tcBorders>
            <w:vAlign w:val="center"/>
          </w:tcPr>
          <w:p w14:paraId="2809C4B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sz w:val="21"/>
                <w:szCs w:val="21"/>
                <w:highlight w:val="none"/>
              </w:rPr>
            </w:pPr>
            <w:r>
              <w:rPr>
                <w:b/>
                <w:bCs/>
                <w:spacing w:val="7"/>
                <w:sz w:val="21"/>
                <w:szCs w:val="21"/>
                <w:highlight w:val="none"/>
              </w:rPr>
              <w:t>污染物项目</w:t>
            </w:r>
          </w:p>
        </w:tc>
        <w:tc>
          <w:tcPr>
            <w:tcW w:w="559" w:type="pct"/>
            <w:tcBorders>
              <w:top w:val="single" w:color="000000" w:sz="10" w:space="0"/>
            </w:tcBorders>
            <w:vAlign w:val="center"/>
          </w:tcPr>
          <w:p w14:paraId="1AA2C6E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sz w:val="21"/>
                <w:szCs w:val="21"/>
                <w:highlight w:val="none"/>
              </w:rPr>
            </w:pPr>
            <w:r>
              <w:rPr>
                <w:b/>
                <w:bCs/>
                <w:spacing w:val="7"/>
                <w:sz w:val="21"/>
                <w:szCs w:val="21"/>
                <w:highlight w:val="none"/>
              </w:rPr>
              <w:t>排放限值</w:t>
            </w:r>
          </w:p>
        </w:tc>
        <w:tc>
          <w:tcPr>
            <w:tcW w:w="1694" w:type="pct"/>
            <w:tcBorders>
              <w:top w:val="single" w:color="000000" w:sz="10" w:space="0"/>
            </w:tcBorders>
            <w:vAlign w:val="center"/>
          </w:tcPr>
          <w:p w14:paraId="0EEFB20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sz w:val="21"/>
                <w:szCs w:val="21"/>
                <w:highlight w:val="none"/>
              </w:rPr>
            </w:pPr>
            <w:r>
              <w:rPr>
                <w:b/>
                <w:bCs/>
                <w:spacing w:val="3"/>
                <w:sz w:val="21"/>
                <w:szCs w:val="21"/>
                <w:highlight w:val="none"/>
              </w:rPr>
              <w:t>限值含义</w:t>
            </w:r>
          </w:p>
        </w:tc>
        <w:tc>
          <w:tcPr>
            <w:tcW w:w="825" w:type="pct"/>
            <w:tcBorders>
              <w:top w:val="single" w:color="000000" w:sz="10" w:space="0"/>
              <w:right w:val="single" w:color="000000" w:sz="10" w:space="0"/>
            </w:tcBorders>
            <w:vAlign w:val="center"/>
          </w:tcPr>
          <w:p w14:paraId="6344C0A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sz w:val="21"/>
                <w:szCs w:val="21"/>
                <w:highlight w:val="none"/>
              </w:rPr>
            </w:pPr>
            <w:r>
              <w:rPr>
                <w:b/>
                <w:bCs/>
                <w:spacing w:val="8"/>
                <w:sz w:val="21"/>
                <w:szCs w:val="21"/>
                <w:highlight w:val="none"/>
              </w:rPr>
              <w:t>无组织排放监控位置</w:t>
            </w:r>
          </w:p>
        </w:tc>
        <w:tc>
          <w:tcPr>
            <w:tcW w:w="1258" w:type="pct"/>
            <w:tcBorders>
              <w:top w:val="single" w:color="000000" w:sz="10" w:space="0"/>
              <w:right w:val="single" w:color="000000" w:sz="10" w:space="0"/>
            </w:tcBorders>
            <w:vAlign w:val="center"/>
          </w:tcPr>
          <w:p w14:paraId="61EA2B2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b/>
                <w:bCs/>
                <w:spacing w:val="8"/>
                <w:sz w:val="21"/>
                <w:szCs w:val="21"/>
                <w:highlight w:val="none"/>
                <w:lang w:val="en-US" w:eastAsia="zh-CN"/>
              </w:rPr>
            </w:pPr>
            <w:r>
              <w:rPr>
                <w:rFonts w:hint="eastAsia"/>
                <w:b/>
                <w:bCs/>
                <w:spacing w:val="8"/>
                <w:sz w:val="21"/>
                <w:szCs w:val="21"/>
                <w:highlight w:val="none"/>
                <w:lang w:val="en-US" w:eastAsia="zh-CN"/>
              </w:rPr>
              <w:t>排放标准</w:t>
            </w:r>
          </w:p>
        </w:tc>
      </w:tr>
      <w:tr w14:paraId="04C91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662" w:type="pct"/>
            <w:vMerge w:val="restart"/>
            <w:tcBorders>
              <w:left w:val="single" w:color="000000" w:sz="10" w:space="0"/>
              <w:bottom w:val="nil"/>
            </w:tcBorders>
            <w:vAlign w:val="center"/>
          </w:tcPr>
          <w:p w14:paraId="1FE88746">
            <w:pPr>
              <w:tabs>
                <w:tab w:val="left" w:pos="2042"/>
                <w:tab w:val="center" w:pos="4518"/>
              </w:tabs>
              <w:adjustRightInd w:val="0"/>
              <w:spacing w:line="240" w:lineRule="auto"/>
              <w:ind w:left="0" w:leftChars="0" w:firstLine="420" w:firstLineChars="200"/>
              <w:jc w:val="both"/>
              <w:rPr>
                <w:rFonts w:hint="eastAsia" w:ascii="Times New Roman" w:hAnsi="Times New Roman" w:eastAsia="宋体"/>
                <w:bCs/>
                <w:color w:val="auto"/>
                <w:sz w:val="21"/>
                <w:szCs w:val="21"/>
                <w:highlight w:val="none"/>
                <w:u w:val="none" w:color="auto"/>
              </w:rPr>
            </w:pPr>
            <w:r>
              <w:rPr>
                <w:rFonts w:hint="eastAsia" w:ascii="Times New Roman" w:hAnsi="Times New Roman" w:eastAsia="宋体"/>
                <w:bCs/>
                <w:color w:val="auto"/>
                <w:sz w:val="21"/>
                <w:szCs w:val="21"/>
                <w:highlight w:val="none"/>
                <w:u w:val="none" w:color="auto"/>
              </w:rPr>
              <w:t>VOCs</w:t>
            </w:r>
          </w:p>
          <w:p w14:paraId="6648A1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hint="eastAsia" w:ascii="Times New Roman" w:hAnsi="Times New Roman" w:eastAsia="宋体"/>
                <w:bCs/>
                <w:color w:val="auto"/>
                <w:sz w:val="21"/>
                <w:szCs w:val="21"/>
                <w:highlight w:val="none"/>
                <w:u w:val="none" w:color="auto"/>
              </w:rPr>
              <w:t>（以NMHC计）</w:t>
            </w:r>
          </w:p>
        </w:tc>
        <w:tc>
          <w:tcPr>
            <w:tcW w:w="559" w:type="pct"/>
            <w:vAlign w:val="center"/>
          </w:tcPr>
          <w:p w14:paraId="72A5637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10</w:t>
            </w:r>
          </w:p>
        </w:tc>
        <w:tc>
          <w:tcPr>
            <w:tcW w:w="1694" w:type="pct"/>
            <w:vAlign w:val="center"/>
          </w:tcPr>
          <w:p w14:paraId="504E415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5"/>
                <w:sz w:val="21"/>
                <w:szCs w:val="21"/>
                <w:highlight w:val="none"/>
              </w:rPr>
              <w:t>监控点处</w:t>
            </w:r>
            <w:r>
              <w:rPr>
                <w:spacing w:val="-15"/>
                <w:sz w:val="21"/>
                <w:szCs w:val="21"/>
                <w:highlight w:val="none"/>
              </w:rPr>
              <w:t xml:space="preserve"> </w:t>
            </w:r>
            <w:r>
              <w:rPr>
                <w:rFonts w:ascii="Times New Roman" w:hAnsi="Times New Roman" w:eastAsia="Times New Roman" w:cs="Times New Roman"/>
                <w:spacing w:val="5"/>
                <w:sz w:val="21"/>
                <w:szCs w:val="21"/>
                <w:highlight w:val="none"/>
              </w:rPr>
              <w:t xml:space="preserve">1h </w:t>
            </w:r>
            <w:r>
              <w:rPr>
                <w:spacing w:val="5"/>
                <w:sz w:val="21"/>
                <w:szCs w:val="21"/>
                <w:highlight w:val="none"/>
              </w:rPr>
              <w:t>平均浓度值</w:t>
            </w:r>
          </w:p>
        </w:tc>
        <w:tc>
          <w:tcPr>
            <w:tcW w:w="825" w:type="pct"/>
            <w:vMerge w:val="restart"/>
            <w:tcBorders>
              <w:bottom w:val="nil"/>
              <w:right w:val="single" w:color="000000" w:sz="10" w:space="0"/>
            </w:tcBorders>
            <w:vAlign w:val="center"/>
          </w:tcPr>
          <w:p w14:paraId="62E7B57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z w:val="21"/>
                <w:szCs w:val="21"/>
                <w:highlight w:val="none"/>
              </w:rPr>
            </w:pPr>
            <w:r>
              <w:rPr>
                <w:rFonts w:hint="default" w:ascii="Times New Roman" w:hAnsi="Times New Roman" w:cs="Times New Roman"/>
                <w:spacing w:val="9"/>
                <w:sz w:val="21"/>
                <w:szCs w:val="21"/>
                <w:highlight w:val="none"/>
              </w:rPr>
              <w:t>在厂房外设置监控点</w:t>
            </w:r>
          </w:p>
        </w:tc>
        <w:tc>
          <w:tcPr>
            <w:tcW w:w="1258" w:type="pct"/>
            <w:vMerge w:val="restart"/>
            <w:tcBorders>
              <w:right w:val="single" w:color="000000" w:sz="10" w:space="0"/>
            </w:tcBorders>
            <w:vAlign w:val="center"/>
          </w:tcPr>
          <w:p w14:paraId="25502C3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spacing w:val="9"/>
                <w:sz w:val="21"/>
                <w:szCs w:val="21"/>
                <w:highlight w:val="none"/>
              </w:rPr>
            </w:pPr>
            <w:r>
              <w:rPr>
                <w:rFonts w:hint="default" w:ascii="Times New Roman" w:hAnsi="Times New Roman" w:cs="Times New Roman"/>
                <w:spacing w:val="9"/>
                <w:sz w:val="21"/>
                <w:szCs w:val="21"/>
                <w:highlight w:val="none"/>
                <w:lang w:val="en-US" w:eastAsia="zh-CN"/>
              </w:rPr>
              <w:t>《挥发性有机物无组织排放控制标准》（GB 37822—2019）</w:t>
            </w:r>
            <w:r>
              <w:rPr>
                <w:rFonts w:ascii="Times New Roman" w:hAnsi="Times New Roman" w:eastAsia="宋体"/>
                <w:color w:val="auto"/>
                <w:sz w:val="21"/>
                <w:szCs w:val="21"/>
                <w:highlight w:val="none"/>
                <w:u w:val="none" w:color="auto"/>
              </w:rPr>
              <w:t>中表</w:t>
            </w:r>
            <w:r>
              <w:rPr>
                <w:rFonts w:hint="eastAsia" w:ascii="Times New Roman" w:hAnsi="Times New Roman" w:eastAsia="宋体"/>
                <w:color w:val="auto"/>
                <w:sz w:val="21"/>
                <w:szCs w:val="21"/>
                <w:highlight w:val="none"/>
                <w:u w:val="none" w:color="auto"/>
              </w:rPr>
              <w:t>A.1</w:t>
            </w:r>
          </w:p>
        </w:tc>
      </w:tr>
      <w:tr w14:paraId="4ABD6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62" w:type="pct"/>
            <w:vMerge w:val="continue"/>
            <w:tcBorders>
              <w:top w:val="nil"/>
              <w:left w:val="single" w:color="000000" w:sz="10" w:space="0"/>
              <w:bottom w:val="single" w:color="000000" w:sz="10" w:space="0"/>
            </w:tcBorders>
            <w:vAlign w:val="center"/>
          </w:tcPr>
          <w:p w14:paraId="03D7479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559" w:type="pct"/>
            <w:tcBorders>
              <w:bottom w:val="single" w:color="000000" w:sz="10" w:space="0"/>
            </w:tcBorders>
            <w:vAlign w:val="center"/>
          </w:tcPr>
          <w:p w14:paraId="1A56C8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30</w:t>
            </w:r>
          </w:p>
        </w:tc>
        <w:tc>
          <w:tcPr>
            <w:tcW w:w="1694" w:type="pct"/>
            <w:tcBorders>
              <w:bottom w:val="single" w:color="000000" w:sz="10" w:space="0"/>
            </w:tcBorders>
            <w:vAlign w:val="center"/>
          </w:tcPr>
          <w:p w14:paraId="03C0D37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9"/>
                <w:sz w:val="21"/>
                <w:szCs w:val="21"/>
                <w:highlight w:val="none"/>
              </w:rPr>
              <w:t>监控点处任意一次浓度值</w:t>
            </w:r>
          </w:p>
        </w:tc>
        <w:tc>
          <w:tcPr>
            <w:tcW w:w="825" w:type="pct"/>
            <w:vMerge w:val="continue"/>
            <w:tcBorders>
              <w:top w:val="nil"/>
              <w:bottom w:val="single" w:color="000000" w:sz="10" w:space="0"/>
              <w:right w:val="single" w:color="000000" w:sz="10" w:space="0"/>
            </w:tcBorders>
            <w:vAlign w:val="center"/>
          </w:tcPr>
          <w:p w14:paraId="3A68E8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1"/>
                <w:szCs w:val="21"/>
                <w:highlight w:val="none"/>
              </w:rPr>
            </w:pPr>
          </w:p>
        </w:tc>
        <w:tc>
          <w:tcPr>
            <w:tcW w:w="1258" w:type="pct"/>
            <w:vMerge w:val="continue"/>
            <w:tcBorders>
              <w:bottom w:val="single" w:color="000000" w:sz="10" w:space="0"/>
              <w:right w:val="single" w:color="000000" w:sz="10" w:space="0"/>
            </w:tcBorders>
            <w:vAlign w:val="center"/>
          </w:tcPr>
          <w:p w14:paraId="34526F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ascii="Arial"/>
                <w:sz w:val="21"/>
                <w:szCs w:val="21"/>
                <w:highlight w:val="none"/>
              </w:rPr>
            </w:pPr>
          </w:p>
        </w:tc>
      </w:tr>
    </w:tbl>
    <w:p w14:paraId="2DFE32E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eastAsia="宋体" w:cs="Times New Roman"/>
          <w:b/>
          <w:bCs/>
          <w:spacing w:val="-1"/>
          <w:sz w:val="24"/>
          <w:szCs w:val="24"/>
          <w:highlight w:val="none"/>
          <w:lang w:val="en-US" w:eastAsia="zh-CN"/>
        </w:rPr>
      </w:pPr>
      <w:r>
        <w:rPr>
          <w:rFonts w:hint="eastAsia" w:ascii="Times New Roman" w:hAnsi="Times New Roman" w:eastAsia="宋体" w:cs="Times New Roman"/>
          <w:b/>
          <w:bCs/>
          <w:spacing w:val="-1"/>
          <w:sz w:val="24"/>
          <w:szCs w:val="24"/>
          <w:highlight w:val="none"/>
          <w:lang w:val="en-US" w:eastAsia="zh-CN"/>
        </w:rPr>
        <w:t>表2.4-</w:t>
      </w:r>
      <w:r>
        <w:rPr>
          <w:rFonts w:hint="eastAsia" w:eastAsia="宋体" w:cs="Times New Roman"/>
          <w:b/>
          <w:bCs/>
          <w:spacing w:val="-1"/>
          <w:sz w:val="24"/>
          <w:szCs w:val="24"/>
          <w:highlight w:val="none"/>
          <w:lang w:val="en-US" w:eastAsia="zh-CN"/>
        </w:rPr>
        <w:t>9</w:t>
      </w:r>
      <w:r>
        <w:rPr>
          <w:rFonts w:hint="eastAsia" w:ascii="Times New Roman" w:hAnsi="Times New Roman" w:eastAsia="宋体" w:cs="Times New Roman"/>
          <w:b/>
          <w:bCs/>
          <w:spacing w:val="-1"/>
          <w:sz w:val="24"/>
          <w:szCs w:val="24"/>
          <w:highlight w:val="none"/>
          <w:lang w:val="en-US" w:eastAsia="zh-CN"/>
        </w:rPr>
        <w:t xml:space="preserve">  </w:t>
      </w:r>
      <w:r>
        <w:rPr>
          <w:rFonts w:hint="eastAsia" w:eastAsia="宋体" w:cs="Times New Roman"/>
          <w:b/>
          <w:bCs/>
          <w:spacing w:val="-1"/>
          <w:sz w:val="24"/>
          <w:szCs w:val="24"/>
          <w:highlight w:val="none"/>
          <w:lang w:val="en-US" w:eastAsia="zh-CN"/>
        </w:rPr>
        <w:t>厂界无组织排放标准</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128"/>
        <w:gridCol w:w="2129"/>
        <w:gridCol w:w="2129"/>
        <w:gridCol w:w="2129"/>
      </w:tblGrid>
      <w:tr w14:paraId="394A45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28" w:type="dxa"/>
            <w:tcBorders>
              <w:tl2br w:val="nil"/>
              <w:tr2bl w:val="nil"/>
            </w:tcBorders>
            <w:vAlign w:val="center"/>
          </w:tcPr>
          <w:p w14:paraId="1A5A0B02">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spacing w:val="-1"/>
                <w:sz w:val="21"/>
                <w:szCs w:val="21"/>
                <w:highlight w:val="none"/>
                <w:vertAlign w:val="baseline"/>
                <w:lang w:val="en-US" w:eastAsia="zh-CN"/>
              </w:rPr>
            </w:pPr>
            <w:r>
              <w:rPr>
                <w:rFonts w:hint="default" w:ascii="Times New Roman" w:hAnsi="Times New Roman" w:eastAsia="宋体" w:cs="Times New Roman"/>
                <w:b/>
                <w:bCs/>
                <w:spacing w:val="-1"/>
                <w:sz w:val="21"/>
                <w:szCs w:val="21"/>
                <w:highlight w:val="none"/>
                <w:vertAlign w:val="baseline"/>
                <w:lang w:val="en-US" w:eastAsia="zh-CN"/>
              </w:rPr>
              <w:t>污染物</w:t>
            </w:r>
          </w:p>
        </w:tc>
        <w:tc>
          <w:tcPr>
            <w:tcW w:w="2129" w:type="dxa"/>
            <w:tcBorders>
              <w:tl2br w:val="nil"/>
              <w:tr2bl w:val="nil"/>
            </w:tcBorders>
            <w:vAlign w:val="center"/>
          </w:tcPr>
          <w:p w14:paraId="036C8168">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spacing w:val="-1"/>
                <w:sz w:val="21"/>
                <w:szCs w:val="21"/>
                <w:highlight w:val="none"/>
                <w:vertAlign w:val="baseline"/>
                <w:lang w:val="en-US" w:eastAsia="zh-CN"/>
              </w:rPr>
            </w:pPr>
            <w:r>
              <w:rPr>
                <w:rFonts w:hint="default" w:ascii="Times New Roman" w:hAnsi="Times New Roman" w:eastAsia="宋体" w:cs="Times New Roman"/>
                <w:b/>
                <w:bCs/>
                <w:spacing w:val="-1"/>
                <w:sz w:val="21"/>
                <w:szCs w:val="21"/>
                <w:highlight w:val="none"/>
                <w:vertAlign w:val="baseline"/>
                <w:lang w:val="en-US" w:eastAsia="zh-CN"/>
              </w:rPr>
              <w:t>监控点</w:t>
            </w:r>
          </w:p>
        </w:tc>
        <w:tc>
          <w:tcPr>
            <w:tcW w:w="2129" w:type="dxa"/>
            <w:tcBorders>
              <w:tl2br w:val="nil"/>
              <w:tr2bl w:val="nil"/>
            </w:tcBorders>
            <w:vAlign w:val="center"/>
          </w:tcPr>
          <w:p w14:paraId="13DAFE0B">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spacing w:val="-1"/>
                <w:sz w:val="21"/>
                <w:szCs w:val="21"/>
                <w:highlight w:val="none"/>
                <w:vertAlign w:val="baseline"/>
                <w:lang w:val="en-US" w:eastAsia="zh-CN"/>
              </w:rPr>
            </w:pPr>
            <w:r>
              <w:rPr>
                <w:rFonts w:hint="default" w:ascii="Times New Roman" w:hAnsi="Times New Roman" w:eastAsia="宋体" w:cs="Times New Roman"/>
                <w:b/>
                <w:bCs/>
                <w:spacing w:val="-1"/>
                <w:sz w:val="21"/>
                <w:szCs w:val="21"/>
                <w:highlight w:val="none"/>
                <w:vertAlign w:val="baseline"/>
                <w:lang w:val="en-US" w:eastAsia="zh-CN"/>
              </w:rPr>
              <w:t>排放限值</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2129" w:type="dxa"/>
            <w:tcBorders>
              <w:tl2br w:val="nil"/>
              <w:tr2bl w:val="nil"/>
            </w:tcBorders>
            <w:vAlign w:val="center"/>
          </w:tcPr>
          <w:p w14:paraId="6E3B436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spacing w:val="-1"/>
                <w:sz w:val="21"/>
                <w:szCs w:val="21"/>
                <w:highlight w:val="none"/>
                <w:vertAlign w:val="baseline"/>
                <w:lang w:val="en-US" w:eastAsia="zh-CN"/>
              </w:rPr>
            </w:pPr>
            <w:r>
              <w:rPr>
                <w:rFonts w:hint="default" w:ascii="Times New Roman" w:hAnsi="Times New Roman" w:eastAsia="宋体" w:cs="Times New Roman"/>
                <w:b/>
                <w:bCs/>
                <w:spacing w:val="8"/>
                <w:sz w:val="21"/>
                <w:szCs w:val="21"/>
                <w:highlight w:val="none"/>
                <w:lang w:val="en-US" w:eastAsia="zh-CN"/>
              </w:rPr>
              <w:t>排放标准</w:t>
            </w:r>
          </w:p>
        </w:tc>
      </w:tr>
      <w:tr w14:paraId="018B84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28" w:type="dxa"/>
            <w:tcBorders>
              <w:tl2br w:val="nil"/>
              <w:tr2bl w:val="nil"/>
            </w:tcBorders>
            <w:vAlign w:val="center"/>
          </w:tcPr>
          <w:p w14:paraId="652CCD25">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颗粒物</w:t>
            </w:r>
          </w:p>
        </w:tc>
        <w:tc>
          <w:tcPr>
            <w:tcW w:w="2129" w:type="dxa"/>
            <w:tcBorders>
              <w:tl2br w:val="nil"/>
              <w:tr2bl w:val="nil"/>
            </w:tcBorders>
            <w:vAlign w:val="center"/>
          </w:tcPr>
          <w:p w14:paraId="538E29A5">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r>
              <w:rPr>
                <w:rFonts w:hint="default" w:ascii="Times New Roman" w:hAnsi="Times New Roman" w:eastAsia="宋体" w:cs="Times New Roman"/>
                <w:b w:val="0"/>
                <w:bCs w:val="0"/>
                <w:spacing w:val="-1"/>
                <w:sz w:val="21"/>
                <w:szCs w:val="21"/>
                <w:highlight w:val="none"/>
                <w:vertAlign w:val="baseline"/>
                <w:lang w:val="en-US" w:eastAsia="zh-CN"/>
              </w:rPr>
              <w:t>周界外浓度最高点</w:t>
            </w:r>
          </w:p>
        </w:tc>
        <w:tc>
          <w:tcPr>
            <w:tcW w:w="2129" w:type="dxa"/>
            <w:tcBorders>
              <w:tl2br w:val="nil"/>
              <w:tr2bl w:val="nil"/>
            </w:tcBorders>
            <w:vAlign w:val="center"/>
          </w:tcPr>
          <w:p w14:paraId="3D0C7CDA">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r>
              <w:rPr>
                <w:rFonts w:hint="default" w:ascii="Times New Roman" w:hAnsi="Times New Roman" w:eastAsia="宋体" w:cs="Times New Roman"/>
                <w:b w:val="0"/>
                <w:bCs w:val="0"/>
                <w:spacing w:val="-1"/>
                <w:sz w:val="21"/>
                <w:szCs w:val="21"/>
                <w:highlight w:val="none"/>
                <w:vertAlign w:val="baseline"/>
                <w:lang w:val="en-US" w:eastAsia="zh-CN"/>
              </w:rPr>
              <w:t>1.0</w:t>
            </w:r>
          </w:p>
        </w:tc>
        <w:tc>
          <w:tcPr>
            <w:tcW w:w="2129" w:type="dxa"/>
            <w:vMerge w:val="restart"/>
            <w:tcBorders>
              <w:tl2br w:val="nil"/>
              <w:tr2bl w:val="nil"/>
            </w:tcBorders>
            <w:vAlign w:val="center"/>
          </w:tcPr>
          <w:p w14:paraId="7A7375C1">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r>
              <w:rPr>
                <w:rFonts w:hint="default" w:ascii="Times New Roman" w:hAnsi="Times New Roman" w:eastAsia="宋体" w:cs="Times New Roman"/>
                <w:b w:val="0"/>
                <w:bCs w:val="0"/>
                <w:spacing w:val="-1"/>
                <w:sz w:val="21"/>
                <w:szCs w:val="21"/>
                <w:highlight w:val="none"/>
                <w:lang w:val="en-US" w:eastAsia="zh-CN"/>
              </w:rPr>
              <w:t>《大气污染物综合排放标准》（GB 16297-1966 ）表2标准限值</w:t>
            </w:r>
          </w:p>
        </w:tc>
      </w:tr>
      <w:tr w14:paraId="4AD056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2128" w:type="dxa"/>
            <w:tcBorders>
              <w:tl2br w:val="nil"/>
              <w:tr2bl w:val="nil"/>
            </w:tcBorders>
            <w:vAlign w:val="center"/>
          </w:tcPr>
          <w:p w14:paraId="0CB0F3C3">
            <w:pPr>
              <w:tabs>
                <w:tab w:val="left" w:pos="2042"/>
                <w:tab w:val="center" w:pos="4518"/>
              </w:tabs>
              <w:adjustRightInd w:val="0"/>
              <w:spacing w:line="240" w:lineRule="auto"/>
              <w:jc w:val="both"/>
              <w:rPr>
                <w:rFonts w:hint="eastAsia" w:ascii="Times New Roman" w:hAnsi="Times New Roman" w:eastAsia="宋体"/>
                <w:bCs/>
                <w:color w:val="auto"/>
                <w:sz w:val="21"/>
                <w:szCs w:val="21"/>
                <w:highlight w:val="none"/>
                <w:u w:val="none" w:color="auto"/>
              </w:rPr>
            </w:pPr>
            <w:r>
              <w:rPr>
                <w:rFonts w:hint="eastAsia" w:ascii="Times New Roman" w:hAnsi="Times New Roman" w:eastAsia="宋体"/>
                <w:bCs/>
                <w:color w:val="auto"/>
                <w:sz w:val="21"/>
                <w:szCs w:val="21"/>
                <w:highlight w:val="none"/>
                <w:u w:val="none" w:color="auto"/>
              </w:rPr>
              <w:t>VOCs</w:t>
            </w:r>
          </w:p>
          <w:p w14:paraId="1CEDFA6C">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r>
              <w:rPr>
                <w:rFonts w:hint="eastAsia" w:ascii="Times New Roman" w:hAnsi="Times New Roman" w:eastAsia="宋体"/>
                <w:bCs/>
                <w:color w:val="auto"/>
                <w:sz w:val="21"/>
                <w:szCs w:val="21"/>
                <w:highlight w:val="none"/>
                <w:u w:val="none" w:color="auto"/>
              </w:rPr>
              <w:t>（以NMHC计）</w:t>
            </w:r>
          </w:p>
        </w:tc>
        <w:tc>
          <w:tcPr>
            <w:tcW w:w="2129" w:type="dxa"/>
            <w:tcBorders>
              <w:tl2br w:val="nil"/>
              <w:tr2bl w:val="nil"/>
            </w:tcBorders>
            <w:vAlign w:val="center"/>
          </w:tcPr>
          <w:p w14:paraId="446EA30D">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r>
              <w:rPr>
                <w:rFonts w:hint="default" w:ascii="Times New Roman" w:hAnsi="Times New Roman" w:eastAsia="宋体" w:cs="Times New Roman"/>
                <w:b w:val="0"/>
                <w:bCs w:val="0"/>
                <w:spacing w:val="-1"/>
                <w:sz w:val="21"/>
                <w:szCs w:val="21"/>
                <w:highlight w:val="none"/>
                <w:vertAlign w:val="baseline"/>
                <w:lang w:val="en-US" w:eastAsia="zh-CN"/>
              </w:rPr>
              <w:t>周界外浓度最高点</w:t>
            </w:r>
          </w:p>
        </w:tc>
        <w:tc>
          <w:tcPr>
            <w:tcW w:w="2129" w:type="dxa"/>
            <w:tcBorders>
              <w:tl2br w:val="nil"/>
              <w:tr2bl w:val="nil"/>
            </w:tcBorders>
            <w:vAlign w:val="center"/>
          </w:tcPr>
          <w:p w14:paraId="1A49878E">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r>
              <w:rPr>
                <w:rFonts w:hint="default" w:ascii="Times New Roman" w:hAnsi="Times New Roman" w:eastAsia="宋体" w:cs="Times New Roman"/>
                <w:b w:val="0"/>
                <w:bCs w:val="0"/>
                <w:spacing w:val="-1"/>
                <w:sz w:val="21"/>
                <w:szCs w:val="21"/>
                <w:highlight w:val="none"/>
                <w:vertAlign w:val="baseline"/>
                <w:lang w:val="en-US" w:eastAsia="zh-CN"/>
              </w:rPr>
              <w:t>4.0</w:t>
            </w:r>
          </w:p>
        </w:tc>
        <w:tc>
          <w:tcPr>
            <w:tcW w:w="2129" w:type="dxa"/>
            <w:vMerge w:val="continue"/>
            <w:tcBorders>
              <w:tl2br w:val="nil"/>
              <w:tr2bl w:val="nil"/>
            </w:tcBorders>
            <w:vAlign w:val="center"/>
          </w:tcPr>
          <w:p w14:paraId="070088A0">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spacing w:val="-1"/>
                <w:sz w:val="21"/>
                <w:szCs w:val="21"/>
                <w:highlight w:val="none"/>
                <w:vertAlign w:val="baseline"/>
                <w:lang w:val="en-US" w:eastAsia="zh-CN"/>
              </w:rPr>
            </w:pPr>
          </w:p>
        </w:tc>
      </w:tr>
    </w:tbl>
    <w:p w14:paraId="055C54D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b/>
          <w:bCs/>
          <w:spacing w:val="-1"/>
          <w:sz w:val="24"/>
          <w:szCs w:val="24"/>
          <w:highlight w:val="none"/>
          <w:lang w:val="en-US" w:eastAsia="zh-CN"/>
        </w:rPr>
      </w:pPr>
      <w:r>
        <w:rPr>
          <w:rFonts w:hint="eastAsia" w:ascii="Times New Roman" w:hAnsi="Times New Roman" w:eastAsia="宋体" w:cs="Times New Roman"/>
          <w:b/>
          <w:bCs/>
          <w:spacing w:val="-1"/>
          <w:sz w:val="24"/>
          <w:szCs w:val="24"/>
          <w:highlight w:val="none"/>
          <w:lang w:val="en-US" w:eastAsia="zh-CN"/>
        </w:rPr>
        <w:t>表2.4-</w:t>
      </w:r>
      <w:r>
        <w:rPr>
          <w:rFonts w:hint="eastAsia" w:eastAsia="宋体" w:cs="Times New Roman"/>
          <w:b/>
          <w:bCs/>
          <w:spacing w:val="-1"/>
          <w:sz w:val="24"/>
          <w:szCs w:val="24"/>
          <w:highlight w:val="none"/>
          <w:lang w:val="en-US" w:eastAsia="zh-CN"/>
        </w:rPr>
        <w:t>10</w:t>
      </w:r>
      <w:r>
        <w:rPr>
          <w:rFonts w:hint="eastAsia" w:ascii="Times New Roman" w:hAnsi="Times New Roman" w:eastAsia="宋体" w:cs="Times New Roman"/>
          <w:b/>
          <w:bCs/>
          <w:spacing w:val="-1"/>
          <w:sz w:val="24"/>
          <w:szCs w:val="24"/>
          <w:highlight w:val="none"/>
          <w:lang w:val="en-US" w:eastAsia="zh-CN"/>
        </w:rPr>
        <w:t xml:space="preserve">  </w:t>
      </w:r>
      <w:r>
        <w:rPr>
          <w:rFonts w:hint="eastAsia" w:eastAsia="宋体" w:cs="Times New Roman"/>
          <w:b/>
          <w:bCs/>
          <w:spacing w:val="-1"/>
          <w:sz w:val="24"/>
          <w:szCs w:val="24"/>
          <w:highlight w:val="none"/>
          <w:lang w:val="en-US" w:eastAsia="zh-CN"/>
        </w:rPr>
        <w:t>厨房</w:t>
      </w:r>
      <w:r>
        <w:rPr>
          <w:rFonts w:hint="eastAsia" w:ascii="Times New Roman" w:hAnsi="Times New Roman" w:eastAsia="宋体" w:cs="Times New Roman"/>
          <w:b/>
          <w:bCs/>
          <w:spacing w:val="-1"/>
          <w:sz w:val="24"/>
          <w:szCs w:val="24"/>
          <w:highlight w:val="none"/>
          <w:lang w:val="en-US" w:eastAsia="zh-CN"/>
        </w:rPr>
        <w:t>油烟排放标准值</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084"/>
        <w:gridCol w:w="4431"/>
      </w:tblGrid>
      <w:tr w14:paraId="3D4F55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 w:hRule="atLeast"/>
          <w:jc w:val="center"/>
        </w:trPr>
        <w:tc>
          <w:tcPr>
            <w:tcW w:w="2398" w:type="pct"/>
            <w:tcBorders>
              <w:tl2br w:val="nil"/>
              <w:tr2bl w:val="nil"/>
            </w:tcBorders>
            <w:noWrap w:val="0"/>
            <w:vAlign w:val="center"/>
          </w:tcPr>
          <w:p w14:paraId="59809FB3">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规模</w:t>
            </w:r>
          </w:p>
        </w:tc>
        <w:tc>
          <w:tcPr>
            <w:tcW w:w="2602" w:type="pct"/>
            <w:tcBorders>
              <w:tl2br w:val="nil"/>
              <w:tr2bl w:val="nil"/>
            </w:tcBorders>
            <w:noWrap w:val="0"/>
            <w:vAlign w:val="center"/>
          </w:tcPr>
          <w:p w14:paraId="519A2AB0">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小</w:t>
            </w:r>
            <w:r>
              <w:rPr>
                <w:rFonts w:hint="default" w:ascii="Times New Roman" w:hAnsi="Times New Roman" w:eastAsia="宋体" w:cs="Times New Roman"/>
                <w:color w:val="auto"/>
                <w:sz w:val="21"/>
                <w:szCs w:val="21"/>
                <w:highlight w:val="none"/>
              </w:rPr>
              <w:t>型</w:t>
            </w:r>
          </w:p>
        </w:tc>
      </w:tr>
      <w:tr w14:paraId="109595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3" w:hRule="atLeast"/>
          <w:jc w:val="center"/>
        </w:trPr>
        <w:tc>
          <w:tcPr>
            <w:tcW w:w="2398" w:type="pct"/>
            <w:tcBorders>
              <w:tl2br w:val="nil"/>
              <w:tr2bl w:val="nil"/>
            </w:tcBorders>
            <w:noWrap w:val="0"/>
            <w:vAlign w:val="center"/>
          </w:tcPr>
          <w:p w14:paraId="59B22354">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基准灶头数</w:t>
            </w:r>
          </w:p>
        </w:tc>
        <w:tc>
          <w:tcPr>
            <w:tcW w:w="2602" w:type="pct"/>
            <w:tcBorders>
              <w:tl2br w:val="nil"/>
              <w:tr2bl w:val="nil"/>
            </w:tcBorders>
            <w:noWrap w:val="0"/>
            <w:vAlign w:val="center"/>
          </w:tcPr>
          <w:p w14:paraId="3B0BCA94">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≥1，＜3</w:t>
            </w:r>
          </w:p>
        </w:tc>
      </w:tr>
      <w:tr w14:paraId="32DC85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 w:hRule="atLeast"/>
          <w:jc w:val="center"/>
        </w:trPr>
        <w:tc>
          <w:tcPr>
            <w:tcW w:w="2398" w:type="pct"/>
            <w:tcBorders>
              <w:tl2br w:val="nil"/>
              <w:tr2bl w:val="nil"/>
            </w:tcBorders>
            <w:noWrap w:val="0"/>
            <w:vAlign w:val="center"/>
          </w:tcPr>
          <w:p w14:paraId="6D51401B">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最高允许排放浓度，mg/m3</w:t>
            </w:r>
          </w:p>
        </w:tc>
        <w:tc>
          <w:tcPr>
            <w:tcW w:w="2602" w:type="pct"/>
            <w:tcBorders>
              <w:tl2br w:val="nil"/>
              <w:tr2bl w:val="nil"/>
            </w:tcBorders>
            <w:noWrap w:val="0"/>
            <w:vAlign w:val="center"/>
          </w:tcPr>
          <w:p w14:paraId="7F6856E0">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r w14:paraId="6D6C1A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 w:hRule="atLeast"/>
          <w:jc w:val="center"/>
        </w:trPr>
        <w:tc>
          <w:tcPr>
            <w:tcW w:w="2398" w:type="pct"/>
            <w:tcBorders>
              <w:tl2br w:val="nil"/>
              <w:tr2bl w:val="nil"/>
            </w:tcBorders>
            <w:noWrap w:val="0"/>
            <w:vAlign w:val="center"/>
          </w:tcPr>
          <w:p w14:paraId="3B860350">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净化设施最低去除效率，%</w:t>
            </w:r>
          </w:p>
        </w:tc>
        <w:tc>
          <w:tcPr>
            <w:tcW w:w="2602" w:type="pct"/>
            <w:tcBorders>
              <w:tl2br w:val="nil"/>
              <w:tr2bl w:val="nil"/>
            </w:tcBorders>
            <w:noWrap w:val="0"/>
            <w:vAlign w:val="center"/>
          </w:tcPr>
          <w:p w14:paraId="368E5069">
            <w:pPr>
              <w:adjustRightInd w:val="0"/>
              <w:snapToGrid w:val="0"/>
              <w:ind w:firstLine="420" w:firstLineChars="20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60</w:t>
            </w:r>
          </w:p>
        </w:tc>
      </w:tr>
    </w:tbl>
    <w:p w14:paraId="34C05A39">
      <w:pPr>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jc w:val="both"/>
        <w:textAlignment w:val="auto"/>
        <w:rPr>
          <w:rFonts w:hint="eastAsia" w:ascii="Times New Roman" w:hAnsi="Times New Roman" w:eastAsia="宋体" w:cs="Times New Roman"/>
          <w:b/>
          <w:bCs/>
          <w:spacing w:val="-1"/>
          <w:sz w:val="24"/>
          <w:szCs w:val="24"/>
          <w:highlight w:val="none"/>
          <w:lang w:val="en-US" w:eastAsia="zh-CN"/>
        </w:rPr>
      </w:pPr>
      <w:r>
        <w:rPr>
          <w:rFonts w:hint="eastAsia" w:ascii="Times New Roman" w:hAnsi="Times New Roman" w:eastAsia="宋体" w:cs="Times New Roman"/>
          <w:b/>
          <w:bCs/>
          <w:spacing w:val="-1"/>
          <w:sz w:val="24"/>
          <w:szCs w:val="24"/>
          <w:highlight w:val="none"/>
          <w:lang w:val="en-US" w:eastAsia="zh-CN"/>
        </w:rPr>
        <w:t>2、水污染物排放标准</w:t>
      </w:r>
    </w:p>
    <w:p w14:paraId="49DA30DD">
      <w:pPr>
        <w:pStyle w:val="2"/>
        <w:keepNext w:val="0"/>
        <w:keepLines w:val="0"/>
        <w:pageBreakBefore w:val="0"/>
        <w:kinsoku/>
        <w:wordWrap/>
        <w:overflowPunct/>
        <w:topLinePunct w:val="0"/>
        <w:autoSpaceDE/>
        <w:autoSpaceDN/>
        <w:bidi w:val="0"/>
        <w:adjustRightInd/>
        <w:spacing w:before="0" w:after="0" w:line="360" w:lineRule="auto"/>
        <w:ind w:left="0" w:right="0" w:firstLine="479"/>
        <w:jc w:val="both"/>
        <w:textAlignment w:val="auto"/>
        <w:rPr>
          <w:spacing w:val="-1"/>
          <w:highlight w:val="none"/>
        </w:rPr>
      </w:pPr>
      <w:r>
        <w:rPr>
          <w:color w:val="auto"/>
          <w:spacing w:val="1"/>
          <w:highlight w:val="none"/>
        </w:rPr>
        <w:t>本项目</w:t>
      </w:r>
      <w:r>
        <w:rPr>
          <w:rFonts w:hint="eastAsia"/>
          <w:color w:val="auto"/>
          <w:spacing w:val="7"/>
          <w:highlight w:val="none"/>
          <w:lang w:val="en-US" w:eastAsia="zh-CN"/>
        </w:rPr>
        <w:t>地面清洁废水经沉淀池沉淀后同</w:t>
      </w:r>
      <w:r>
        <w:rPr>
          <w:rFonts w:hint="eastAsia"/>
          <w:color w:val="auto"/>
          <w:spacing w:val="8"/>
          <w:highlight w:val="none"/>
        </w:rPr>
        <w:t>纯水制备浓水</w:t>
      </w:r>
      <w:r>
        <w:rPr>
          <w:rFonts w:hint="eastAsia"/>
          <w:color w:val="auto"/>
          <w:spacing w:val="8"/>
          <w:highlight w:val="none"/>
          <w:lang w:val="en-US" w:eastAsia="zh-CN"/>
        </w:rPr>
        <w:t>一起</w:t>
      </w:r>
      <w:r>
        <w:rPr>
          <w:rFonts w:hint="eastAsia"/>
          <w:color w:val="auto"/>
          <w:spacing w:val="8"/>
          <w:highlight w:val="none"/>
        </w:rPr>
        <w:t>进入园区污水管网排入岳阳高新技术产业园区污水处理厂处理</w:t>
      </w:r>
      <w:r>
        <w:rPr>
          <w:rFonts w:hint="eastAsia"/>
          <w:color w:val="auto"/>
          <w:spacing w:val="1"/>
          <w:highlight w:val="none"/>
          <w:lang w:eastAsia="zh-CN"/>
        </w:rPr>
        <w:t>。</w:t>
      </w:r>
      <w:r>
        <w:rPr>
          <w:color w:val="auto"/>
          <w:spacing w:val="1"/>
          <w:highlight w:val="none"/>
        </w:rPr>
        <w:t>生活污水</w:t>
      </w:r>
      <w:r>
        <w:rPr>
          <w:rFonts w:hint="eastAsia"/>
          <w:color w:val="auto"/>
          <w:spacing w:val="1"/>
          <w:highlight w:val="none"/>
        </w:rPr>
        <w:t>依托园区创新创业基地</w:t>
      </w:r>
      <w:r>
        <w:rPr>
          <w:color w:val="auto"/>
          <w:spacing w:val="1"/>
          <w:highlight w:val="none"/>
        </w:rPr>
        <w:t>隔油池</w:t>
      </w:r>
      <w:r>
        <w:rPr>
          <w:rFonts w:hint="eastAsia" w:eastAsia="宋体" w:cs="Times New Roman"/>
          <w:color w:val="auto"/>
          <w:spacing w:val="1"/>
          <w:highlight w:val="none"/>
          <w:lang w:val="en-US" w:eastAsia="zh-CN"/>
        </w:rPr>
        <w:t>和</w:t>
      </w:r>
      <w:r>
        <w:rPr>
          <w:color w:val="auto"/>
          <w:spacing w:val="1"/>
          <w:highlight w:val="none"/>
        </w:rPr>
        <w:t>化粪池处理后</w:t>
      </w:r>
      <w:r>
        <w:rPr>
          <w:rFonts w:hint="eastAsia"/>
          <w:color w:val="auto"/>
          <w:spacing w:val="1"/>
          <w:highlight w:val="none"/>
          <w:lang w:val="en-US" w:eastAsia="zh-CN"/>
        </w:rPr>
        <w:t>经</w:t>
      </w:r>
      <w:r>
        <w:rPr>
          <w:rFonts w:hint="eastAsia"/>
          <w:color w:val="auto"/>
          <w:spacing w:val="8"/>
          <w:highlight w:val="none"/>
        </w:rPr>
        <w:t>园区污水管网</w:t>
      </w:r>
      <w:r>
        <w:rPr>
          <w:color w:val="auto"/>
          <w:spacing w:val="1"/>
          <w:highlight w:val="none"/>
        </w:rPr>
        <w:t>排入岳阳高新技术产业</w:t>
      </w:r>
      <w:r>
        <w:rPr>
          <w:color w:val="auto"/>
          <w:spacing w:val="-5"/>
          <w:highlight w:val="none"/>
        </w:rPr>
        <w:t>园区污水处</w:t>
      </w:r>
      <w:r>
        <w:rPr>
          <w:spacing w:val="-5"/>
          <w:highlight w:val="none"/>
        </w:rPr>
        <w:t>理厂处理达标后排入新墙河。项目外排废水需同时满足《污水综合排放</w:t>
      </w:r>
      <w:r>
        <w:rPr>
          <w:spacing w:val="-6"/>
          <w:highlight w:val="none"/>
        </w:rPr>
        <w:t>标准》</w:t>
      </w:r>
      <w:r>
        <w:rPr>
          <w:highlight w:val="none"/>
        </w:rPr>
        <w:t xml:space="preserve"> </w:t>
      </w:r>
      <w:r>
        <w:rPr>
          <w:spacing w:val="-3"/>
          <w:highlight w:val="none"/>
        </w:rPr>
        <w:t>（</w:t>
      </w:r>
      <w:r>
        <w:rPr>
          <w:rFonts w:ascii="Times New Roman" w:hAnsi="Times New Roman" w:eastAsia="Times New Roman" w:cs="Times New Roman"/>
          <w:spacing w:val="-3"/>
          <w:highlight w:val="none"/>
        </w:rPr>
        <w:t>GB8978-1996</w:t>
      </w:r>
      <w:r>
        <w:rPr>
          <w:spacing w:val="-3"/>
          <w:highlight w:val="none"/>
        </w:rPr>
        <w:t>）中表</w:t>
      </w:r>
      <w:r>
        <w:rPr>
          <w:spacing w:val="-56"/>
          <w:highlight w:val="none"/>
        </w:rPr>
        <w:t xml:space="preserve"> </w:t>
      </w:r>
      <w:r>
        <w:rPr>
          <w:rFonts w:ascii="Times New Roman" w:hAnsi="Times New Roman" w:eastAsia="Times New Roman" w:cs="Times New Roman"/>
          <w:spacing w:val="-3"/>
          <w:highlight w:val="none"/>
        </w:rPr>
        <w:t xml:space="preserve">4 </w:t>
      </w:r>
      <w:r>
        <w:rPr>
          <w:spacing w:val="-3"/>
          <w:highlight w:val="none"/>
        </w:rPr>
        <w:t>三级标准以及岳阳高新技术产业园区污水处理厂接管标准要求，</w:t>
      </w:r>
      <w:r>
        <w:rPr>
          <w:highlight w:val="none"/>
        </w:rPr>
        <w:t xml:space="preserve"> </w:t>
      </w:r>
      <w:r>
        <w:rPr>
          <w:spacing w:val="18"/>
          <w:highlight w:val="none"/>
        </w:rPr>
        <w:t>经岳阳高新技术产业园区污水处理厂处理达《城镇污水处理厂污染物排放标准》</w:t>
      </w:r>
      <w:r>
        <w:rPr>
          <w:spacing w:val="-1"/>
          <w:highlight w:val="none"/>
        </w:rPr>
        <w:t>（</w:t>
      </w:r>
      <w:r>
        <w:rPr>
          <w:rFonts w:ascii="Times New Roman" w:hAnsi="Times New Roman" w:eastAsia="Times New Roman" w:cs="Times New Roman"/>
          <w:spacing w:val="-1"/>
          <w:highlight w:val="none"/>
        </w:rPr>
        <w:t>GB18918-2002</w:t>
      </w:r>
      <w:r>
        <w:rPr>
          <w:spacing w:val="-1"/>
          <w:highlight w:val="none"/>
        </w:rPr>
        <w:t>）及修改单中一级</w:t>
      </w:r>
      <w:r>
        <w:rPr>
          <w:spacing w:val="-48"/>
          <w:highlight w:val="none"/>
        </w:rPr>
        <w:t xml:space="preserve"> </w:t>
      </w:r>
      <w:r>
        <w:rPr>
          <w:rFonts w:ascii="Times New Roman" w:hAnsi="Times New Roman" w:eastAsia="Times New Roman" w:cs="Times New Roman"/>
          <w:spacing w:val="-1"/>
          <w:highlight w:val="none"/>
        </w:rPr>
        <w:t xml:space="preserve">A </w:t>
      </w:r>
      <w:r>
        <w:rPr>
          <w:spacing w:val="-1"/>
          <w:highlight w:val="none"/>
        </w:rPr>
        <w:t>标准。</w:t>
      </w:r>
    </w:p>
    <w:p w14:paraId="5ED4BA45">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b/>
          <w:bCs/>
          <w:spacing w:val="-1"/>
          <w:sz w:val="24"/>
          <w:szCs w:val="24"/>
          <w:highlight w:val="none"/>
          <w:lang w:val="en-US" w:eastAsia="zh-CN"/>
        </w:rPr>
      </w:pPr>
      <w:r>
        <w:rPr>
          <w:rFonts w:hint="eastAsia" w:ascii="Times New Roman" w:hAnsi="Times New Roman" w:eastAsia="宋体" w:cs="Times New Roman"/>
          <w:b/>
          <w:bCs/>
          <w:spacing w:val="-1"/>
          <w:sz w:val="24"/>
          <w:szCs w:val="24"/>
          <w:highlight w:val="none"/>
          <w:lang w:val="en-US" w:eastAsia="zh-CN"/>
        </w:rPr>
        <w:t>表 2.4-</w:t>
      </w:r>
      <w:r>
        <w:rPr>
          <w:rFonts w:hint="eastAsia" w:eastAsia="宋体" w:cs="Times New Roman"/>
          <w:b/>
          <w:bCs/>
          <w:spacing w:val="-1"/>
          <w:sz w:val="24"/>
          <w:szCs w:val="24"/>
          <w:highlight w:val="none"/>
          <w:lang w:val="en-US" w:eastAsia="zh-CN"/>
        </w:rPr>
        <w:t>11</w:t>
      </w:r>
      <w:r>
        <w:rPr>
          <w:rFonts w:hint="eastAsia" w:ascii="Times New Roman" w:hAnsi="Times New Roman" w:eastAsia="宋体" w:cs="Times New Roman"/>
          <w:b/>
          <w:bCs/>
          <w:spacing w:val="-1"/>
          <w:sz w:val="24"/>
          <w:szCs w:val="24"/>
          <w:highlight w:val="none"/>
          <w:lang w:val="en-US" w:eastAsia="zh-CN"/>
        </w:rPr>
        <w:t xml:space="preserve">   厂区废水排放标准 （单位：mg/L）</w:t>
      </w:r>
    </w:p>
    <w:tbl>
      <w:tblPr>
        <w:tblStyle w:val="37"/>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10"/>
        <w:gridCol w:w="748"/>
        <w:gridCol w:w="656"/>
        <w:gridCol w:w="724"/>
        <w:gridCol w:w="749"/>
        <w:gridCol w:w="698"/>
        <w:gridCol w:w="548"/>
        <w:gridCol w:w="753"/>
        <w:gridCol w:w="766"/>
        <w:gridCol w:w="766"/>
      </w:tblGrid>
      <w:tr w14:paraId="5C9E8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1148" w:type="pct"/>
            <w:tcBorders>
              <w:top w:val="single" w:color="000000" w:sz="10" w:space="0"/>
              <w:left w:val="single" w:color="000000" w:sz="10" w:space="0"/>
            </w:tcBorders>
            <w:vAlign w:val="center"/>
          </w:tcPr>
          <w:p w14:paraId="07CFD12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指标</w:t>
            </w:r>
          </w:p>
        </w:tc>
        <w:tc>
          <w:tcPr>
            <w:tcW w:w="449" w:type="pct"/>
            <w:tcBorders>
              <w:top w:val="single" w:color="000000" w:sz="10" w:space="0"/>
            </w:tcBorders>
            <w:vAlign w:val="center"/>
          </w:tcPr>
          <w:p w14:paraId="15AA28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pH</w:t>
            </w:r>
          </w:p>
        </w:tc>
        <w:tc>
          <w:tcPr>
            <w:tcW w:w="394" w:type="pct"/>
            <w:tcBorders>
              <w:top w:val="single" w:color="000000" w:sz="10" w:space="0"/>
            </w:tcBorders>
            <w:vAlign w:val="center"/>
          </w:tcPr>
          <w:p w14:paraId="12F30E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COD</w:t>
            </w:r>
          </w:p>
        </w:tc>
        <w:tc>
          <w:tcPr>
            <w:tcW w:w="435" w:type="pct"/>
            <w:tcBorders>
              <w:top w:val="single" w:color="000000" w:sz="10" w:space="0"/>
            </w:tcBorders>
            <w:vAlign w:val="center"/>
          </w:tcPr>
          <w:p w14:paraId="4C7245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BOD</w:t>
            </w:r>
            <w:r>
              <w:rPr>
                <w:rFonts w:hint="default" w:ascii="Times New Roman" w:hAnsi="Times New Roman" w:eastAsia="宋体" w:cs="Times New Roman"/>
                <w:spacing w:val="19"/>
                <w:position w:val="-1"/>
                <w:sz w:val="21"/>
                <w:szCs w:val="21"/>
                <w:highlight w:val="none"/>
                <w:vertAlign w:val="subscript"/>
              </w:rPr>
              <w:t>5</w:t>
            </w:r>
          </w:p>
        </w:tc>
        <w:tc>
          <w:tcPr>
            <w:tcW w:w="450" w:type="pct"/>
            <w:tcBorders>
              <w:top w:val="single" w:color="000000" w:sz="10" w:space="0"/>
            </w:tcBorders>
            <w:vAlign w:val="center"/>
          </w:tcPr>
          <w:p w14:paraId="213F85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SS</w:t>
            </w:r>
          </w:p>
        </w:tc>
        <w:tc>
          <w:tcPr>
            <w:tcW w:w="419" w:type="pct"/>
            <w:tcBorders>
              <w:top w:val="single" w:color="000000" w:sz="10" w:space="0"/>
            </w:tcBorders>
            <w:vAlign w:val="center"/>
          </w:tcPr>
          <w:p w14:paraId="7A68C7C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NH</w:t>
            </w:r>
            <w:r>
              <w:rPr>
                <w:rFonts w:hint="default" w:ascii="Times New Roman" w:hAnsi="Times New Roman" w:eastAsia="宋体" w:cs="Times New Roman"/>
                <w:spacing w:val="9"/>
                <w:sz w:val="21"/>
                <w:szCs w:val="21"/>
                <w:highlight w:val="none"/>
                <w:vertAlign w:val="subscript"/>
              </w:rPr>
              <w:t>3</w:t>
            </w:r>
            <w:r>
              <w:rPr>
                <w:rFonts w:hint="default" w:ascii="Times New Roman" w:hAnsi="Times New Roman" w:eastAsia="宋体" w:cs="Times New Roman"/>
                <w:spacing w:val="9"/>
                <w:sz w:val="21"/>
                <w:szCs w:val="21"/>
                <w:highlight w:val="none"/>
              </w:rPr>
              <w:t>-N</w:t>
            </w:r>
          </w:p>
        </w:tc>
        <w:tc>
          <w:tcPr>
            <w:tcW w:w="329" w:type="pct"/>
            <w:tcBorders>
              <w:top w:val="single" w:color="000000" w:sz="10" w:space="0"/>
            </w:tcBorders>
            <w:vAlign w:val="center"/>
          </w:tcPr>
          <w:p w14:paraId="1635BA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TP</w:t>
            </w:r>
          </w:p>
        </w:tc>
        <w:tc>
          <w:tcPr>
            <w:tcW w:w="452" w:type="pct"/>
            <w:tcBorders>
              <w:top w:val="single" w:color="000000" w:sz="10" w:space="0"/>
            </w:tcBorders>
            <w:vAlign w:val="center"/>
          </w:tcPr>
          <w:p w14:paraId="220CE5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TN</w:t>
            </w:r>
          </w:p>
        </w:tc>
        <w:tc>
          <w:tcPr>
            <w:tcW w:w="460" w:type="pct"/>
            <w:tcBorders>
              <w:top w:val="single" w:color="000000" w:sz="10" w:space="0"/>
              <w:right w:val="single" w:color="000000" w:sz="10" w:space="0"/>
            </w:tcBorders>
            <w:vAlign w:val="center"/>
          </w:tcPr>
          <w:p w14:paraId="5E61BDE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动植物</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3"/>
                <w:sz w:val="21"/>
                <w:szCs w:val="21"/>
                <w:highlight w:val="none"/>
              </w:rPr>
              <w:t>油类</w:t>
            </w:r>
          </w:p>
        </w:tc>
        <w:tc>
          <w:tcPr>
            <w:tcW w:w="460" w:type="pct"/>
            <w:tcBorders>
              <w:top w:val="single" w:color="000000" w:sz="10" w:space="0"/>
              <w:right w:val="single" w:color="000000" w:sz="10" w:space="0"/>
            </w:tcBorders>
            <w:vAlign w:val="center"/>
          </w:tcPr>
          <w:p w14:paraId="0F17DF6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highlight w:val="none"/>
                <w:lang w:val="en-US" w:eastAsia="zh-CN"/>
              </w:rPr>
            </w:pPr>
            <w:r>
              <w:rPr>
                <w:rFonts w:hint="eastAsia" w:ascii="Times New Roman" w:hAnsi="Times New Roman" w:cs="Times New Roman"/>
                <w:spacing w:val="6"/>
                <w:sz w:val="21"/>
                <w:szCs w:val="21"/>
                <w:highlight w:val="none"/>
                <w:lang w:val="en-US" w:eastAsia="zh-CN"/>
              </w:rPr>
              <w:t>石油类</w:t>
            </w:r>
          </w:p>
        </w:tc>
      </w:tr>
      <w:tr w14:paraId="36B75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48" w:type="pct"/>
            <w:tcBorders>
              <w:left w:val="single" w:color="000000" w:sz="10" w:space="0"/>
            </w:tcBorders>
            <w:vAlign w:val="center"/>
          </w:tcPr>
          <w:p w14:paraId="013E50C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综排三级标准</w:t>
            </w:r>
          </w:p>
        </w:tc>
        <w:tc>
          <w:tcPr>
            <w:tcW w:w="449" w:type="pct"/>
            <w:vAlign w:val="center"/>
          </w:tcPr>
          <w:p w14:paraId="6429EC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6~9</w:t>
            </w:r>
          </w:p>
        </w:tc>
        <w:tc>
          <w:tcPr>
            <w:tcW w:w="394" w:type="pct"/>
            <w:vAlign w:val="center"/>
          </w:tcPr>
          <w:p w14:paraId="4D0680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≤500</w:t>
            </w:r>
          </w:p>
        </w:tc>
        <w:tc>
          <w:tcPr>
            <w:tcW w:w="435" w:type="pct"/>
            <w:vAlign w:val="center"/>
          </w:tcPr>
          <w:p w14:paraId="5459F3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≤300</w:t>
            </w:r>
          </w:p>
        </w:tc>
        <w:tc>
          <w:tcPr>
            <w:tcW w:w="450" w:type="pct"/>
            <w:vAlign w:val="center"/>
          </w:tcPr>
          <w:p w14:paraId="766409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≤400</w:t>
            </w:r>
          </w:p>
        </w:tc>
        <w:tc>
          <w:tcPr>
            <w:tcW w:w="419" w:type="pct"/>
            <w:vAlign w:val="center"/>
          </w:tcPr>
          <w:p w14:paraId="596D57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w:t>
            </w:r>
          </w:p>
        </w:tc>
        <w:tc>
          <w:tcPr>
            <w:tcW w:w="329" w:type="pct"/>
            <w:vAlign w:val="center"/>
          </w:tcPr>
          <w:p w14:paraId="619088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w:t>
            </w:r>
          </w:p>
        </w:tc>
        <w:tc>
          <w:tcPr>
            <w:tcW w:w="452" w:type="pct"/>
            <w:vAlign w:val="center"/>
          </w:tcPr>
          <w:p w14:paraId="05AD5F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35</w:t>
            </w:r>
          </w:p>
        </w:tc>
        <w:tc>
          <w:tcPr>
            <w:tcW w:w="460" w:type="pct"/>
            <w:tcBorders>
              <w:right w:val="single" w:color="000000" w:sz="10" w:space="0"/>
            </w:tcBorders>
            <w:vAlign w:val="center"/>
          </w:tcPr>
          <w:p w14:paraId="69A75E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100</w:t>
            </w:r>
          </w:p>
        </w:tc>
        <w:tc>
          <w:tcPr>
            <w:tcW w:w="460" w:type="pct"/>
            <w:tcBorders>
              <w:right w:val="single" w:color="000000" w:sz="10" w:space="0"/>
            </w:tcBorders>
            <w:vAlign w:val="center"/>
          </w:tcPr>
          <w:p w14:paraId="55FC63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3"/>
                <w:sz w:val="21"/>
                <w:szCs w:val="21"/>
                <w:highlight w:val="none"/>
              </w:rPr>
            </w:pPr>
            <w:r>
              <w:rPr>
                <w:rFonts w:hint="eastAsia" w:ascii="Times New Roman" w:hAnsi="Times New Roman" w:cs="Times New Roman"/>
                <w:spacing w:val="6"/>
                <w:sz w:val="21"/>
                <w:szCs w:val="21"/>
                <w:highlight w:val="none"/>
                <w:lang w:val="en-US" w:eastAsia="zh-CN"/>
              </w:rPr>
              <w:t>20</w:t>
            </w:r>
          </w:p>
        </w:tc>
      </w:tr>
      <w:tr w14:paraId="3D996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48" w:type="pct"/>
            <w:tcBorders>
              <w:left w:val="single" w:color="000000" w:sz="10" w:space="0"/>
            </w:tcBorders>
            <w:vAlign w:val="center"/>
          </w:tcPr>
          <w:p w14:paraId="6D9FD37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污水处理厂接管标准</w:t>
            </w:r>
          </w:p>
        </w:tc>
        <w:tc>
          <w:tcPr>
            <w:tcW w:w="449" w:type="pct"/>
            <w:vAlign w:val="center"/>
          </w:tcPr>
          <w:p w14:paraId="45925D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6~9</w:t>
            </w:r>
          </w:p>
        </w:tc>
        <w:tc>
          <w:tcPr>
            <w:tcW w:w="394" w:type="pct"/>
            <w:vAlign w:val="top"/>
          </w:tcPr>
          <w:p w14:paraId="2B9D37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≤430</w:t>
            </w:r>
          </w:p>
        </w:tc>
        <w:tc>
          <w:tcPr>
            <w:tcW w:w="435" w:type="pct"/>
            <w:vAlign w:val="top"/>
          </w:tcPr>
          <w:p w14:paraId="7DF103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≤120</w:t>
            </w:r>
          </w:p>
        </w:tc>
        <w:tc>
          <w:tcPr>
            <w:tcW w:w="450" w:type="pct"/>
            <w:vAlign w:val="top"/>
          </w:tcPr>
          <w:p w14:paraId="47149E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≤330</w:t>
            </w:r>
          </w:p>
        </w:tc>
        <w:tc>
          <w:tcPr>
            <w:tcW w:w="419" w:type="pct"/>
            <w:vAlign w:val="top"/>
          </w:tcPr>
          <w:p w14:paraId="2DB5AF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≤38</w:t>
            </w:r>
          </w:p>
        </w:tc>
        <w:tc>
          <w:tcPr>
            <w:tcW w:w="329" w:type="pct"/>
            <w:vAlign w:val="top"/>
          </w:tcPr>
          <w:p w14:paraId="6138CA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3"/>
                <w:sz w:val="20"/>
                <w:szCs w:val="20"/>
                <w:highlight w:val="none"/>
              </w:rPr>
              <w:t>≤6.5</w:t>
            </w:r>
          </w:p>
        </w:tc>
        <w:tc>
          <w:tcPr>
            <w:tcW w:w="452" w:type="pct"/>
            <w:vAlign w:val="top"/>
          </w:tcPr>
          <w:p w14:paraId="0D6483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≤48</w:t>
            </w:r>
          </w:p>
        </w:tc>
        <w:tc>
          <w:tcPr>
            <w:tcW w:w="460" w:type="pct"/>
            <w:tcBorders>
              <w:right w:val="single" w:color="000000" w:sz="10" w:space="0"/>
            </w:tcBorders>
            <w:vAlign w:val="center"/>
          </w:tcPr>
          <w:p w14:paraId="079C38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tc>
        <w:tc>
          <w:tcPr>
            <w:tcW w:w="460" w:type="pct"/>
            <w:tcBorders>
              <w:right w:val="single" w:color="000000" w:sz="10" w:space="0"/>
            </w:tcBorders>
            <w:vAlign w:val="center"/>
          </w:tcPr>
          <w:p w14:paraId="224427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w:t>
            </w:r>
          </w:p>
        </w:tc>
      </w:tr>
      <w:tr w14:paraId="3EE68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148" w:type="pct"/>
            <w:tcBorders>
              <w:left w:val="single" w:color="000000" w:sz="10" w:space="0"/>
              <w:bottom w:val="single" w:color="000000" w:sz="10" w:space="0"/>
            </w:tcBorders>
            <w:vAlign w:val="center"/>
          </w:tcPr>
          <w:p w14:paraId="70C5E2E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最终排放标准</w:t>
            </w:r>
          </w:p>
        </w:tc>
        <w:tc>
          <w:tcPr>
            <w:tcW w:w="449" w:type="pct"/>
            <w:tcBorders>
              <w:bottom w:val="single" w:color="000000" w:sz="10" w:space="0"/>
            </w:tcBorders>
            <w:vAlign w:val="center"/>
          </w:tcPr>
          <w:p w14:paraId="6EABFA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6~9</w:t>
            </w:r>
          </w:p>
        </w:tc>
        <w:tc>
          <w:tcPr>
            <w:tcW w:w="394" w:type="pct"/>
            <w:tcBorders>
              <w:bottom w:val="single" w:color="000000" w:sz="10" w:space="0"/>
            </w:tcBorders>
            <w:vAlign w:val="top"/>
          </w:tcPr>
          <w:p w14:paraId="50B053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≤430</w:t>
            </w:r>
          </w:p>
        </w:tc>
        <w:tc>
          <w:tcPr>
            <w:tcW w:w="435" w:type="pct"/>
            <w:tcBorders>
              <w:bottom w:val="single" w:color="000000" w:sz="10" w:space="0"/>
            </w:tcBorders>
            <w:vAlign w:val="top"/>
          </w:tcPr>
          <w:p w14:paraId="37F7EE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≤120</w:t>
            </w:r>
          </w:p>
        </w:tc>
        <w:tc>
          <w:tcPr>
            <w:tcW w:w="450" w:type="pct"/>
            <w:tcBorders>
              <w:bottom w:val="single" w:color="000000" w:sz="10" w:space="0"/>
            </w:tcBorders>
            <w:vAlign w:val="top"/>
          </w:tcPr>
          <w:p w14:paraId="02CC59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≤330</w:t>
            </w:r>
          </w:p>
        </w:tc>
        <w:tc>
          <w:tcPr>
            <w:tcW w:w="419" w:type="pct"/>
            <w:tcBorders>
              <w:bottom w:val="single" w:color="000000" w:sz="10" w:space="0"/>
            </w:tcBorders>
            <w:vAlign w:val="top"/>
          </w:tcPr>
          <w:p w14:paraId="5F23E3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≤38</w:t>
            </w:r>
          </w:p>
        </w:tc>
        <w:tc>
          <w:tcPr>
            <w:tcW w:w="329" w:type="pct"/>
            <w:tcBorders>
              <w:bottom w:val="single" w:color="000000" w:sz="10" w:space="0"/>
            </w:tcBorders>
            <w:vAlign w:val="top"/>
          </w:tcPr>
          <w:p w14:paraId="629614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3"/>
                <w:sz w:val="20"/>
                <w:szCs w:val="20"/>
                <w:highlight w:val="none"/>
              </w:rPr>
              <w:t>≤6.5</w:t>
            </w:r>
          </w:p>
        </w:tc>
        <w:tc>
          <w:tcPr>
            <w:tcW w:w="452" w:type="pct"/>
            <w:tcBorders>
              <w:bottom w:val="single" w:color="000000" w:sz="10" w:space="0"/>
            </w:tcBorders>
            <w:vAlign w:val="top"/>
          </w:tcPr>
          <w:p w14:paraId="25F279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4"/>
                <w:sz w:val="20"/>
                <w:szCs w:val="20"/>
                <w:highlight w:val="none"/>
              </w:rPr>
              <w:t>≤48</w:t>
            </w:r>
          </w:p>
        </w:tc>
        <w:tc>
          <w:tcPr>
            <w:tcW w:w="460" w:type="pct"/>
            <w:tcBorders>
              <w:bottom w:val="single" w:color="000000" w:sz="10" w:space="0"/>
              <w:right w:val="single" w:color="000000" w:sz="10" w:space="0"/>
            </w:tcBorders>
            <w:vAlign w:val="center"/>
          </w:tcPr>
          <w:p w14:paraId="11B6E1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100</w:t>
            </w:r>
          </w:p>
        </w:tc>
        <w:tc>
          <w:tcPr>
            <w:tcW w:w="460" w:type="pct"/>
            <w:tcBorders>
              <w:bottom w:val="single" w:color="000000" w:sz="10" w:space="0"/>
              <w:right w:val="single" w:color="000000" w:sz="10" w:space="0"/>
            </w:tcBorders>
            <w:vAlign w:val="center"/>
          </w:tcPr>
          <w:p w14:paraId="6CFF49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3"/>
                <w:sz w:val="21"/>
                <w:szCs w:val="21"/>
                <w:highlight w:val="none"/>
                <w:lang w:val="en-US" w:eastAsia="zh-CN"/>
              </w:rPr>
            </w:pPr>
            <w:r>
              <w:rPr>
                <w:rFonts w:hint="eastAsia" w:eastAsia="宋体" w:cs="Times New Roman"/>
                <w:spacing w:val="-3"/>
                <w:sz w:val="21"/>
                <w:szCs w:val="21"/>
                <w:highlight w:val="none"/>
                <w:lang w:val="en-US" w:eastAsia="zh-CN"/>
              </w:rPr>
              <w:t>20</w:t>
            </w:r>
          </w:p>
        </w:tc>
      </w:tr>
    </w:tbl>
    <w:p w14:paraId="1202036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eastAsia="宋体" w:cs="Times New Roman"/>
          <w:b/>
          <w:bCs/>
          <w:spacing w:val="-1"/>
          <w:sz w:val="24"/>
          <w:szCs w:val="24"/>
          <w:highlight w:val="none"/>
          <w:lang w:val="en-US" w:eastAsia="zh-CN"/>
        </w:rPr>
      </w:pPr>
      <w:r>
        <w:rPr>
          <w:rFonts w:hint="eastAsia" w:eastAsia="宋体" w:cs="Times New Roman"/>
          <w:b/>
          <w:bCs/>
          <w:spacing w:val="-1"/>
          <w:sz w:val="24"/>
          <w:szCs w:val="24"/>
          <w:highlight w:val="none"/>
          <w:lang w:val="en-US" w:eastAsia="zh-CN"/>
        </w:rPr>
        <w:t xml:space="preserve">   </w:t>
      </w:r>
    </w:p>
    <w:p w14:paraId="7B0C43B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b/>
          <w:bCs/>
          <w:spacing w:val="-1"/>
          <w:sz w:val="24"/>
          <w:szCs w:val="24"/>
          <w:highlight w:val="none"/>
          <w:lang w:val="en-US" w:eastAsia="zh-CN"/>
        </w:rPr>
      </w:pPr>
    </w:p>
    <w:p w14:paraId="32EEE9C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b/>
          <w:bCs/>
          <w:spacing w:val="-1"/>
          <w:sz w:val="24"/>
          <w:szCs w:val="24"/>
          <w:highlight w:val="none"/>
          <w:lang w:val="en-US" w:eastAsia="zh-CN"/>
        </w:rPr>
      </w:pPr>
    </w:p>
    <w:p w14:paraId="77E7DC7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b/>
          <w:bCs/>
          <w:spacing w:val="-1"/>
          <w:sz w:val="24"/>
          <w:szCs w:val="24"/>
          <w:highlight w:val="none"/>
          <w:lang w:val="en-US" w:eastAsia="zh-CN"/>
        </w:rPr>
      </w:pPr>
      <w:r>
        <w:rPr>
          <w:rFonts w:hint="eastAsia" w:ascii="Times New Roman" w:hAnsi="Times New Roman" w:eastAsia="宋体" w:cs="Times New Roman"/>
          <w:b/>
          <w:bCs/>
          <w:spacing w:val="-1"/>
          <w:sz w:val="24"/>
          <w:szCs w:val="24"/>
          <w:highlight w:val="none"/>
          <w:lang w:val="en-US" w:eastAsia="zh-CN"/>
        </w:rPr>
        <w:t xml:space="preserve">表 </w:t>
      </w:r>
      <w:r>
        <w:rPr>
          <w:rFonts w:hint="eastAsia" w:eastAsia="宋体" w:cs="Times New Roman"/>
          <w:b/>
          <w:bCs/>
          <w:spacing w:val="-1"/>
          <w:sz w:val="24"/>
          <w:szCs w:val="24"/>
          <w:highlight w:val="none"/>
          <w:lang w:val="en-US" w:eastAsia="zh-CN"/>
        </w:rPr>
        <w:t>2.4-11</w:t>
      </w:r>
      <w:r>
        <w:rPr>
          <w:rFonts w:hint="eastAsia" w:ascii="Times New Roman" w:hAnsi="Times New Roman" w:eastAsia="宋体" w:cs="Times New Roman"/>
          <w:b/>
          <w:bCs/>
          <w:spacing w:val="-1"/>
          <w:sz w:val="24"/>
          <w:szCs w:val="24"/>
          <w:highlight w:val="none"/>
          <w:lang w:val="en-US" w:eastAsia="zh-CN"/>
        </w:rPr>
        <w:t xml:space="preserve"> 《城镇污水处理厂污染物排放标准》中一级 A 标准（单位：mg/L）</w:t>
      </w:r>
    </w:p>
    <w:p w14:paraId="547653B7">
      <w:pPr>
        <w:spacing w:line="79" w:lineRule="exact"/>
        <w:rPr>
          <w:highlight w:val="none"/>
        </w:rPr>
      </w:pPr>
    </w:p>
    <w:tbl>
      <w:tblPr>
        <w:tblStyle w:val="37"/>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67"/>
        <w:gridCol w:w="622"/>
        <w:gridCol w:w="623"/>
        <w:gridCol w:w="623"/>
        <w:gridCol w:w="537"/>
        <w:gridCol w:w="713"/>
        <w:gridCol w:w="713"/>
        <w:gridCol w:w="824"/>
        <w:gridCol w:w="824"/>
        <w:gridCol w:w="836"/>
        <w:gridCol w:w="836"/>
      </w:tblGrid>
      <w:tr w14:paraId="2C949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01" w:type="pct"/>
            <w:tcBorders>
              <w:top w:val="single" w:color="000000" w:sz="10" w:space="0"/>
              <w:left w:val="single" w:color="000000" w:sz="10" w:space="0"/>
            </w:tcBorders>
            <w:vAlign w:val="center"/>
          </w:tcPr>
          <w:p w14:paraId="6D5110B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7"/>
                <w:sz w:val="21"/>
                <w:szCs w:val="21"/>
                <w:highlight w:val="none"/>
              </w:rPr>
              <w:t>污染物名称</w:t>
            </w:r>
          </w:p>
        </w:tc>
        <w:tc>
          <w:tcPr>
            <w:tcW w:w="374" w:type="pct"/>
            <w:tcBorders>
              <w:top w:val="single" w:color="000000" w:sz="10" w:space="0"/>
            </w:tcBorders>
            <w:vAlign w:val="center"/>
          </w:tcPr>
          <w:p w14:paraId="46E726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pH</w:t>
            </w:r>
          </w:p>
        </w:tc>
        <w:tc>
          <w:tcPr>
            <w:tcW w:w="374" w:type="pct"/>
            <w:tcBorders>
              <w:top w:val="single" w:color="000000" w:sz="10" w:space="0"/>
            </w:tcBorders>
            <w:vAlign w:val="center"/>
          </w:tcPr>
          <w:p w14:paraId="5AAC6C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SS</w:t>
            </w:r>
          </w:p>
        </w:tc>
        <w:tc>
          <w:tcPr>
            <w:tcW w:w="374" w:type="pct"/>
            <w:tcBorders>
              <w:top w:val="single" w:color="000000" w:sz="10" w:space="0"/>
            </w:tcBorders>
            <w:vAlign w:val="center"/>
          </w:tcPr>
          <w:p w14:paraId="5A6469E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COD</w:t>
            </w:r>
          </w:p>
        </w:tc>
        <w:tc>
          <w:tcPr>
            <w:tcW w:w="321" w:type="pct"/>
            <w:tcBorders>
              <w:top w:val="single" w:color="000000" w:sz="10" w:space="0"/>
            </w:tcBorders>
            <w:vAlign w:val="center"/>
          </w:tcPr>
          <w:p w14:paraId="4AB48CE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BOD</w:t>
            </w:r>
            <w:r>
              <w:rPr>
                <w:rFonts w:ascii="Times New Roman" w:hAnsi="Times New Roman" w:eastAsia="Times New Roman" w:cs="Times New Roman"/>
                <w:spacing w:val="19"/>
                <w:position w:val="-1"/>
                <w:sz w:val="21"/>
                <w:szCs w:val="21"/>
                <w:highlight w:val="none"/>
                <w:vertAlign w:val="subscript"/>
              </w:rPr>
              <w:t>5</w:t>
            </w:r>
          </w:p>
        </w:tc>
        <w:tc>
          <w:tcPr>
            <w:tcW w:w="428" w:type="pct"/>
            <w:tcBorders>
              <w:top w:val="single" w:color="000000" w:sz="10" w:space="0"/>
            </w:tcBorders>
            <w:vAlign w:val="center"/>
          </w:tcPr>
          <w:p w14:paraId="52922FC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4"/>
                <w:sz w:val="21"/>
                <w:szCs w:val="21"/>
                <w:highlight w:val="none"/>
              </w:rPr>
              <w:t>氨氮</w:t>
            </w:r>
          </w:p>
        </w:tc>
        <w:tc>
          <w:tcPr>
            <w:tcW w:w="428" w:type="pct"/>
            <w:tcBorders>
              <w:top w:val="single" w:color="000000" w:sz="10" w:space="0"/>
            </w:tcBorders>
            <w:vAlign w:val="center"/>
          </w:tcPr>
          <w:p w14:paraId="5A09DA7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6"/>
                <w:sz w:val="21"/>
                <w:szCs w:val="21"/>
                <w:highlight w:val="none"/>
              </w:rPr>
              <w:t>石油类</w:t>
            </w:r>
          </w:p>
        </w:tc>
        <w:tc>
          <w:tcPr>
            <w:tcW w:w="495" w:type="pct"/>
            <w:tcBorders>
              <w:top w:val="single" w:color="000000" w:sz="10" w:space="0"/>
            </w:tcBorders>
            <w:vAlign w:val="center"/>
          </w:tcPr>
          <w:p w14:paraId="1169248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
                <w:sz w:val="21"/>
                <w:szCs w:val="21"/>
                <w:highlight w:val="none"/>
                <w:lang w:val="en-US" w:eastAsia="zh-CN"/>
              </w:rPr>
            </w:pPr>
            <w:r>
              <w:rPr>
                <w:rFonts w:hint="eastAsia" w:eastAsia="宋体" w:cs="Times New Roman"/>
                <w:spacing w:val="1"/>
                <w:sz w:val="21"/>
                <w:szCs w:val="21"/>
                <w:highlight w:val="none"/>
                <w:lang w:val="en-US" w:eastAsia="zh-CN"/>
              </w:rPr>
              <w:t>动植物油</w:t>
            </w:r>
          </w:p>
        </w:tc>
        <w:tc>
          <w:tcPr>
            <w:tcW w:w="495" w:type="pct"/>
            <w:tcBorders>
              <w:top w:val="single" w:color="000000" w:sz="10" w:space="0"/>
            </w:tcBorders>
            <w:vAlign w:val="center"/>
          </w:tcPr>
          <w:p w14:paraId="5D41F4B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TP</w:t>
            </w:r>
          </w:p>
        </w:tc>
        <w:tc>
          <w:tcPr>
            <w:tcW w:w="502" w:type="pct"/>
            <w:tcBorders>
              <w:top w:val="single" w:color="000000" w:sz="10" w:space="0"/>
              <w:right w:val="single" w:color="000000" w:sz="10" w:space="0"/>
            </w:tcBorders>
            <w:vAlign w:val="center"/>
          </w:tcPr>
          <w:p w14:paraId="26EF35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pacing w:val="1"/>
                <w:sz w:val="21"/>
                <w:szCs w:val="21"/>
                <w:highlight w:val="none"/>
              </w:rPr>
            </w:pPr>
            <w:r>
              <w:rPr>
                <w:rFonts w:hint="default" w:ascii="Times New Roman" w:hAnsi="Times New Roman" w:eastAsia="宋体" w:cs="Times New Roman"/>
                <w:spacing w:val="2"/>
                <w:sz w:val="21"/>
                <w:szCs w:val="21"/>
                <w:highlight w:val="none"/>
              </w:rPr>
              <w:t>TN</w:t>
            </w:r>
          </w:p>
        </w:tc>
        <w:tc>
          <w:tcPr>
            <w:tcW w:w="502" w:type="pct"/>
            <w:tcBorders>
              <w:top w:val="single" w:color="000000" w:sz="10" w:space="0"/>
              <w:right w:val="single" w:color="000000" w:sz="10" w:space="0"/>
            </w:tcBorders>
            <w:vAlign w:val="center"/>
          </w:tcPr>
          <w:p w14:paraId="061E8B8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7"/>
                <w:sz w:val="21"/>
                <w:szCs w:val="21"/>
                <w:highlight w:val="none"/>
              </w:rPr>
              <w:t>粪大肠菌群</w:t>
            </w:r>
          </w:p>
        </w:tc>
      </w:tr>
      <w:tr w14:paraId="68621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01" w:type="pct"/>
            <w:tcBorders>
              <w:left w:val="single" w:color="000000" w:sz="10" w:space="0"/>
              <w:bottom w:val="single" w:color="000000" w:sz="10" w:space="0"/>
            </w:tcBorders>
            <w:vAlign w:val="center"/>
          </w:tcPr>
          <w:p w14:paraId="75E7B49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1"/>
                <w:szCs w:val="21"/>
                <w:highlight w:val="none"/>
              </w:rPr>
            </w:pPr>
            <w:r>
              <w:rPr>
                <w:spacing w:val="7"/>
                <w:sz w:val="21"/>
                <w:szCs w:val="21"/>
                <w:highlight w:val="none"/>
              </w:rPr>
              <w:t>标准限值</w:t>
            </w:r>
          </w:p>
        </w:tc>
        <w:tc>
          <w:tcPr>
            <w:tcW w:w="374" w:type="pct"/>
            <w:tcBorders>
              <w:bottom w:val="single" w:color="000000" w:sz="10" w:space="0"/>
            </w:tcBorders>
            <w:vAlign w:val="center"/>
          </w:tcPr>
          <w:p w14:paraId="4F32286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3"/>
                <w:position w:val="1"/>
                <w:sz w:val="21"/>
                <w:szCs w:val="21"/>
                <w:highlight w:val="none"/>
              </w:rPr>
              <w:t>6</w:t>
            </w:r>
            <w:r>
              <w:rPr>
                <w:spacing w:val="3"/>
                <w:position w:val="1"/>
                <w:sz w:val="21"/>
                <w:szCs w:val="21"/>
                <w:highlight w:val="none"/>
              </w:rPr>
              <w:t>～</w:t>
            </w:r>
            <w:r>
              <w:rPr>
                <w:rFonts w:ascii="Times New Roman" w:hAnsi="Times New Roman" w:eastAsia="Times New Roman" w:cs="Times New Roman"/>
                <w:spacing w:val="3"/>
                <w:position w:val="1"/>
                <w:sz w:val="21"/>
                <w:szCs w:val="21"/>
                <w:highlight w:val="none"/>
              </w:rPr>
              <w:t>9</w:t>
            </w:r>
          </w:p>
        </w:tc>
        <w:tc>
          <w:tcPr>
            <w:tcW w:w="374" w:type="pct"/>
            <w:tcBorders>
              <w:bottom w:val="single" w:color="000000" w:sz="10" w:space="0"/>
            </w:tcBorders>
            <w:vAlign w:val="center"/>
          </w:tcPr>
          <w:p w14:paraId="539D515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10</w:t>
            </w:r>
          </w:p>
        </w:tc>
        <w:tc>
          <w:tcPr>
            <w:tcW w:w="374" w:type="pct"/>
            <w:tcBorders>
              <w:bottom w:val="single" w:color="000000" w:sz="10" w:space="0"/>
            </w:tcBorders>
            <w:vAlign w:val="center"/>
          </w:tcPr>
          <w:p w14:paraId="36BF9F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50</w:t>
            </w:r>
          </w:p>
        </w:tc>
        <w:tc>
          <w:tcPr>
            <w:tcW w:w="321" w:type="pct"/>
            <w:tcBorders>
              <w:bottom w:val="single" w:color="000000" w:sz="10" w:space="0"/>
            </w:tcBorders>
            <w:vAlign w:val="center"/>
          </w:tcPr>
          <w:p w14:paraId="2822E28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8"/>
                <w:sz w:val="21"/>
                <w:szCs w:val="21"/>
                <w:highlight w:val="none"/>
              </w:rPr>
              <w:t>10</w:t>
            </w:r>
          </w:p>
        </w:tc>
        <w:tc>
          <w:tcPr>
            <w:tcW w:w="428" w:type="pct"/>
            <w:tcBorders>
              <w:bottom w:val="single" w:color="000000" w:sz="10" w:space="0"/>
            </w:tcBorders>
            <w:vAlign w:val="center"/>
          </w:tcPr>
          <w:p w14:paraId="32B29D2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5</w:t>
            </w:r>
          </w:p>
        </w:tc>
        <w:tc>
          <w:tcPr>
            <w:tcW w:w="428" w:type="pct"/>
            <w:tcBorders>
              <w:bottom w:val="single" w:color="000000" w:sz="10" w:space="0"/>
            </w:tcBorders>
            <w:vAlign w:val="center"/>
          </w:tcPr>
          <w:p w14:paraId="446E9D3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495" w:type="pct"/>
            <w:tcBorders>
              <w:bottom w:val="single" w:color="000000" w:sz="10" w:space="0"/>
            </w:tcBorders>
            <w:vAlign w:val="center"/>
          </w:tcPr>
          <w:p w14:paraId="622DD14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spacing w:val="3"/>
                <w:sz w:val="21"/>
                <w:szCs w:val="21"/>
                <w:highlight w:val="none"/>
                <w:lang w:val="en-US" w:eastAsia="zh-CN"/>
              </w:rPr>
            </w:pPr>
            <w:r>
              <w:rPr>
                <w:rFonts w:hint="eastAsia" w:eastAsia="宋体" w:cs="Times New Roman"/>
                <w:spacing w:val="3"/>
                <w:sz w:val="21"/>
                <w:szCs w:val="21"/>
                <w:highlight w:val="none"/>
                <w:lang w:val="en-US" w:eastAsia="zh-CN"/>
              </w:rPr>
              <w:t>1</w:t>
            </w:r>
          </w:p>
        </w:tc>
        <w:tc>
          <w:tcPr>
            <w:tcW w:w="495" w:type="pct"/>
            <w:tcBorders>
              <w:bottom w:val="single" w:color="000000" w:sz="10" w:space="0"/>
            </w:tcBorders>
            <w:vAlign w:val="center"/>
          </w:tcPr>
          <w:p w14:paraId="0B9572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≤0.5</w:t>
            </w:r>
          </w:p>
        </w:tc>
        <w:tc>
          <w:tcPr>
            <w:tcW w:w="502" w:type="pct"/>
            <w:tcBorders>
              <w:bottom w:val="single" w:color="000000" w:sz="10" w:space="0"/>
              <w:right w:val="single" w:color="000000" w:sz="10" w:space="0"/>
            </w:tcBorders>
            <w:vAlign w:val="center"/>
          </w:tcPr>
          <w:p w14:paraId="4E11D0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3"/>
                <w:sz w:val="21"/>
                <w:szCs w:val="21"/>
                <w:highlight w:val="none"/>
                <w:lang w:val="en-US" w:eastAsia="zh-CN"/>
              </w:rPr>
            </w:pPr>
            <w:r>
              <w:rPr>
                <w:rFonts w:hint="eastAsia" w:ascii="Times New Roman" w:hAnsi="Times New Roman" w:eastAsia="宋体" w:cs="Times New Roman"/>
                <w:spacing w:val="3"/>
                <w:sz w:val="21"/>
                <w:szCs w:val="21"/>
                <w:highlight w:val="none"/>
                <w:lang w:val="en-US" w:eastAsia="zh-CN"/>
              </w:rPr>
              <w:t>15</w:t>
            </w:r>
          </w:p>
        </w:tc>
        <w:tc>
          <w:tcPr>
            <w:tcW w:w="502" w:type="pct"/>
            <w:tcBorders>
              <w:bottom w:val="single" w:color="000000" w:sz="10" w:space="0"/>
              <w:right w:val="single" w:color="000000" w:sz="10" w:space="0"/>
            </w:tcBorders>
            <w:vAlign w:val="center"/>
          </w:tcPr>
          <w:p w14:paraId="5620EDA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1000</w:t>
            </w:r>
            <w:r>
              <w:rPr>
                <w:rFonts w:ascii="Times New Roman" w:hAnsi="Times New Roman" w:eastAsia="Times New Roman" w:cs="Times New Roman"/>
                <w:spacing w:val="13"/>
                <w:sz w:val="21"/>
                <w:szCs w:val="21"/>
                <w:highlight w:val="none"/>
              </w:rPr>
              <w:t xml:space="preserve"> </w:t>
            </w:r>
            <w:r>
              <w:rPr>
                <w:sz w:val="21"/>
                <w:szCs w:val="21"/>
                <w:highlight w:val="none"/>
              </w:rPr>
              <w:t>个</w:t>
            </w:r>
            <w:r>
              <w:rPr>
                <w:rFonts w:ascii="Times New Roman" w:hAnsi="Times New Roman" w:eastAsia="Times New Roman" w:cs="Times New Roman"/>
                <w:sz w:val="21"/>
                <w:szCs w:val="21"/>
                <w:highlight w:val="none"/>
              </w:rPr>
              <w:t>/L</w:t>
            </w:r>
          </w:p>
        </w:tc>
      </w:tr>
    </w:tbl>
    <w:p w14:paraId="4DEBA7B3">
      <w:pPr>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jc w:val="both"/>
        <w:textAlignment w:val="auto"/>
        <w:rPr>
          <w:rFonts w:hint="eastAsia" w:ascii="Times New Roman" w:hAnsi="Times New Roman" w:eastAsia="宋体" w:cs="Times New Roman"/>
          <w:b/>
          <w:bCs/>
          <w:spacing w:val="-1"/>
          <w:sz w:val="24"/>
          <w:szCs w:val="24"/>
          <w:highlight w:val="none"/>
          <w:lang w:val="en-US" w:eastAsia="zh-CN"/>
        </w:rPr>
      </w:pPr>
      <w:r>
        <w:rPr>
          <w:rFonts w:hint="eastAsia" w:eastAsia="宋体" w:cs="Times New Roman"/>
          <w:b/>
          <w:bCs/>
          <w:spacing w:val="-1"/>
          <w:sz w:val="24"/>
          <w:szCs w:val="24"/>
          <w:highlight w:val="none"/>
          <w:lang w:val="en-US" w:eastAsia="zh-CN"/>
        </w:rPr>
        <w:t>3、</w:t>
      </w:r>
      <w:r>
        <w:rPr>
          <w:rFonts w:hint="eastAsia" w:ascii="Times New Roman" w:hAnsi="Times New Roman" w:eastAsia="宋体" w:cs="Times New Roman"/>
          <w:b/>
          <w:bCs/>
          <w:spacing w:val="-1"/>
          <w:sz w:val="24"/>
          <w:szCs w:val="24"/>
          <w:highlight w:val="none"/>
          <w:lang w:val="en-US" w:eastAsia="zh-CN"/>
        </w:rPr>
        <w:t>噪声排放标准</w:t>
      </w:r>
    </w:p>
    <w:p w14:paraId="6C9AF2FF">
      <w:pPr>
        <w:keepNext w:val="0"/>
        <w:keepLines w:val="0"/>
        <w:pageBreakBefore w:val="0"/>
        <w:widowControl w:val="0"/>
        <w:kinsoku/>
        <w:wordWrap/>
        <w:overflowPunct/>
        <w:topLinePunct w:val="0"/>
        <w:autoSpaceDE/>
        <w:autoSpaceDN/>
        <w:bidi w:val="0"/>
        <w:adjustRightInd/>
        <w:snapToGrid/>
        <w:ind w:firstLine="552" w:firstLineChars="200"/>
        <w:jc w:val="both"/>
        <w:textAlignment w:val="auto"/>
        <w:rPr>
          <w:rFonts w:ascii="Times New Roman" w:hAnsi="Times New Roman" w:eastAsia="宋体" w:cs="Times New Roman"/>
          <w:spacing w:val="18"/>
          <w:kern w:val="0"/>
          <w:sz w:val="24"/>
          <w:szCs w:val="20"/>
          <w:highlight w:val="none"/>
          <w:lang w:val="en-US" w:eastAsia="zh-CN" w:bidi="ar-SA"/>
        </w:rPr>
      </w:pPr>
      <w:r>
        <w:rPr>
          <w:rFonts w:ascii="Times New Roman" w:hAnsi="Times New Roman" w:eastAsia="宋体" w:cs="Times New Roman"/>
          <w:spacing w:val="18"/>
          <w:kern w:val="0"/>
          <w:sz w:val="24"/>
          <w:szCs w:val="20"/>
          <w:highlight w:val="none"/>
          <w:lang w:val="en-US" w:eastAsia="zh-CN" w:bidi="ar-SA"/>
        </w:rPr>
        <w:t>本项目施工期噪声执行《建筑施工场界环境噪声排放标准》(GB12523-2011)的标准；营运期</w:t>
      </w:r>
      <w:r>
        <w:rPr>
          <w:rFonts w:hint="eastAsia" w:ascii="Times New Roman" w:hAnsi="Times New Roman" w:eastAsia="宋体" w:cs="Times New Roman"/>
          <w:spacing w:val="18"/>
          <w:kern w:val="0"/>
          <w:sz w:val="24"/>
          <w:szCs w:val="20"/>
          <w:highlight w:val="none"/>
          <w:lang w:val="en-US" w:eastAsia="zh-CN" w:bidi="ar-SA"/>
        </w:rPr>
        <w:t>东厂界、北厂界、南厂界执行</w:t>
      </w:r>
      <w:r>
        <w:rPr>
          <w:rFonts w:ascii="Times New Roman" w:hAnsi="Times New Roman" w:eastAsia="宋体" w:cs="Times New Roman"/>
          <w:spacing w:val="18"/>
          <w:kern w:val="0"/>
          <w:sz w:val="24"/>
          <w:szCs w:val="20"/>
          <w:highlight w:val="none"/>
          <w:lang w:val="en-US" w:eastAsia="zh-CN" w:bidi="ar-SA"/>
        </w:rPr>
        <w:t>《工业企业厂界环境噪声排放标准》（GB12348-2008）</w:t>
      </w:r>
      <w:r>
        <w:rPr>
          <w:rFonts w:hint="eastAsia" w:ascii="Times New Roman" w:hAnsi="Times New Roman" w:eastAsia="宋体" w:cs="Times New Roman"/>
          <w:spacing w:val="18"/>
          <w:kern w:val="0"/>
          <w:sz w:val="24"/>
          <w:szCs w:val="20"/>
          <w:highlight w:val="none"/>
          <w:lang w:val="en-US" w:eastAsia="zh-CN" w:bidi="ar-SA"/>
        </w:rPr>
        <w:t>中的3 类区标准，西厂界靠近二级公路和武广高铁铁路干线，因此西厂界执行</w:t>
      </w:r>
      <w:r>
        <w:rPr>
          <w:rFonts w:ascii="Times New Roman" w:hAnsi="Times New Roman" w:eastAsia="宋体" w:cs="Times New Roman"/>
          <w:spacing w:val="18"/>
          <w:kern w:val="0"/>
          <w:sz w:val="24"/>
          <w:szCs w:val="20"/>
          <w:highlight w:val="none"/>
          <w:lang w:val="en-US" w:eastAsia="zh-CN" w:bidi="ar-SA"/>
        </w:rPr>
        <w:t>《工业企业厂界环境噪声排放标准》（GB12348-2008）</w:t>
      </w:r>
      <w:r>
        <w:rPr>
          <w:rFonts w:hint="eastAsia" w:ascii="Times New Roman" w:hAnsi="Times New Roman" w:eastAsia="宋体" w:cs="Times New Roman"/>
          <w:spacing w:val="18"/>
          <w:kern w:val="0"/>
          <w:sz w:val="24"/>
          <w:szCs w:val="20"/>
          <w:highlight w:val="none"/>
          <w:lang w:val="en-US" w:eastAsia="zh-CN" w:bidi="ar-SA"/>
        </w:rPr>
        <w:t>中的4 类区标准</w:t>
      </w:r>
      <w:r>
        <w:rPr>
          <w:rFonts w:ascii="Times New Roman" w:hAnsi="Times New Roman" w:eastAsia="宋体" w:cs="Times New Roman"/>
          <w:spacing w:val="18"/>
          <w:kern w:val="0"/>
          <w:sz w:val="24"/>
          <w:szCs w:val="20"/>
          <w:highlight w:val="none"/>
          <w:lang w:val="en-US" w:eastAsia="zh-CN" w:bidi="ar-SA"/>
        </w:rPr>
        <w:t>，噪声标准限值详见下表。</w:t>
      </w:r>
    </w:p>
    <w:p w14:paraId="678DD38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b/>
          <w:bCs/>
          <w:spacing w:val="-1"/>
          <w:sz w:val="24"/>
          <w:szCs w:val="24"/>
          <w:highlight w:val="none"/>
          <w:lang w:val="en-US" w:eastAsia="zh-CN"/>
        </w:rPr>
      </w:pPr>
      <w:r>
        <w:rPr>
          <w:rFonts w:hint="eastAsia" w:ascii="Times New Roman" w:hAnsi="Times New Roman" w:eastAsia="宋体" w:cs="Times New Roman"/>
          <w:b/>
          <w:bCs/>
          <w:spacing w:val="-1"/>
          <w:sz w:val="24"/>
          <w:szCs w:val="24"/>
          <w:highlight w:val="none"/>
          <w:lang w:val="en-US" w:eastAsia="zh-CN"/>
        </w:rPr>
        <w:t>表2.4-</w:t>
      </w:r>
      <w:r>
        <w:rPr>
          <w:rFonts w:hint="eastAsia" w:eastAsia="宋体" w:cs="Times New Roman"/>
          <w:b/>
          <w:bCs/>
          <w:spacing w:val="-1"/>
          <w:sz w:val="24"/>
          <w:szCs w:val="24"/>
          <w:highlight w:val="none"/>
          <w:lang w:val="en-US" w:eastAsia="zh-CN"/>
        </w:rPr>
        <w:t>12</w:t>
      </w:r>
      <w:r>
        <w:rPr>
          <w:rFonts w:hint="eastAsia" w:ascii="Times New Roman" w:hAnsi="Times New Roman" w:eastAsia="宋体" w:cs="Times New Roman"/>
          <w:b/>
          <w:bCs/>
          <w:spacing w:val="-1"/>
          <w:sz w:val="24"/>
          <w:szCs w:val="24"/>
          <w:highlight w:val="none"/>
          <w:lang w:val="en-US" w:eastAsia="zh-CN"/>
        </w:rPr>
        <w:t xml:space="preserve">  噪声排放限值  单位：dB(A)</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113"/>
        <w:gridCol w:w="1154"/>
        <w:gridCol w:w="1245"/>
      </w:tblGrid>
      <w:tr w14:paraId="775A0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90" w:type="pct"/>
            <w:vMerge w:val="restart"/>
            <w:tcBorders>
              <w:tl2br w:val="nil"/>
              <w:tr2bl w:val="nil"/>
            </w:tcBorders>
            <w:noWrap w:val="0"/>
            <w:vAlign w:val="center"/>
          </w:tcPr>
          <w:p w14:paraId="570783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c>
          <w:tcPr>
            <w:tcW w:w="1409" w:type="pct"/>
            <w:gridSpan w:val="2"/>
            <w:tcBorders>
              <w:tl2br w:val="nil"/>
              <w:tr2bl w:val="nil"/>
            </w:tcBorders>
            <w:noWrap w:val="0"/>
            <w:vAlign w:val="center"/>
          </w:tcPr>
          <w:p w14:paraId="4CA5B4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w:t>
            </w:r>
          </w:p>
        </w:tc>
      </w:tr>
      <w:tr w14:paraId="0A27E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90" w:type="pct"/>
            <w:vMerge w:val="continue"/>
            <w:tcBorders>
              <w:tl2br w:val="nil"/>
              <w:tr2bl w:val="nil"/>
            </w:tcBorders>
            <w:noWrap w:val="0"/>
            <w:vAlign w:val="center"/>
          </w:tcPr>
          <w:p w14:paraId="3D57AE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p>
        </w:tc>
        <w:tc>
          <w:tcPr>
            <w:tcW w:w="678" w:type="pct"/>
            <w:tcBorders>
              <w:tl2br w:val="nil"/>
              <w:tr2bl w:val="nil"/>
            </w:tcBorders>
            <w:noWrap w:val="0"/>
            <w:vAlign w:val="center"/>
          </w:tcPr>
          <w:p w14:paraId="640605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昼间</w:t>
            </w:r>
          </w:p>
        </w:tc>
        <w:tc>
          <w:tcPr>
            <w:tcW w:w="730" w:type="pct"/>
            <w:tcBorders>
              <w:tl2br w:val="nil"/>
              <w:tr2bl w:val="nil"/>
            </w:tcBorders>
            <w:noWrap w:val="0"/>
            <w:vAlign w:val="center"/>
          </w:tcPr>
          <w:p w14:paraId="5CD716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夜间</w:t>
            </w:r>
          </w:p>
        </w:tc>
      </w:tr>
      <w:tr w14:paraId="3A23C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90" w:type="pct"/>
            <w:tcBorders>
              <w:tl2br w:val="nil"/>
              <w:tr2bl w:val="nil"/>
            </w:tcBorders>
            <w:noWrap w:val="0"/>
            <w:vAlign w:val="center"/>
          </w:tcPr>
          <w:p w14:paraId="38BB42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《建筑施工场界环境噪声排放标准》(GB12523-2011)</w:t>
            </w:r>
          </w:p>
        </w:tc>
        <w:tc>
          <w:tcPr>
            <w:tcW w:w="678" w:type="pct"/>
            <w:tcBorders>
              <w:tl2br w:val="nil"/>
              <w:tr2bl w:val="nil"/>
            </w:tcBorders>
            <w:noWrap w:val="0"/>
            <w:vAlign w:val="center"/>
          </w:tcPr>
          <w:p w14:paraId="678406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730" w:type="pct"/>
            <w:tcBorders>
              <w:tl2br w:val="nil"/>
              <w:tr2bl w:val="nil"/>
            </w:tcBorders>
            <w:noWrap w:val="0"/>
            <w:vAlign w:val="center"/>
          </w:tcPr>
          <w:p w14:paraId="4407E6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r w14:paraId="281772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90" w:type="pct"/>
            <w:tcBorders>
              <w:tl2br w:val="nil"/>
              <w:tr2bl w:val="nil"/>
            </w:tcBorders>
            <w:noWrap w:val="0"/>
            <w:vAlign w:val="center"/>
          </w:tcPr>
          <w:p w14:paraId="32D369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《工业企业厂界环境噪声排放标准》(GB12348-2008)3类标准</w:t>
            </w:r>
          </w:p>
        </w:tc>
        <w:tc>
          <w:tcPr>
            <w:tcW w:w="678" w:type="pct"/>
            <w:tcBorders>
              <w:tl2br w:val="nil"/>
              <w:tr2bl w:val="nil"/>
            </w:tcBorders>
            <w:noWrap w:val="0"/>
            <w:vAlign w:val="center"/>
          </w:tcPr>
          <w:p w14:paraId="0433A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730" w:type="pct"/>
            <w:tcBorders>
              <w:tl2br w:val="nil"/>
              <w:tr2bl w:val="nil"/>
            </w:tcBorders>
            <w:noWrap w:val="0"/>
            <w:vAlign w:val="center"/>
          </w:tcPr>
          <w:p w14:paraId="1A1A86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r w14:paraId="20A351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90" w:type="pct"/>
            <w:tcBorders>
              <w:tl2br w:val="nil"/>
              <w:tr2bl w:val="nil"/>
            </w:tcBorders>
            <w:noWrap w:val="0"/>
            <w:vAlign w:val="center"/>
          </w:tcPr>
          <w:p w14:paraId="3DA703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w:t>
            </w:r>
          </w:p>
        </w:tc>
        <w:tc>
          <w:tcPr>
            <w:tcW w:w="678" w:type="pct"/>
            <w:tcBorders>
              <w:tl2br w:val="nil"/>
              <w:tr2bl w:val="nil"/>
            </w:tcBorders>
            <w:noWrap w:val="0"/>
            <w:vAlign w:val="center"/>
          </w:tcPr>
          <w:p w14:paraId="56223E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730" w:type="pct"/>
            <w:tcBorders>
              <w:tl2br w:val="nil"/>
              <w:tr2bl w:val="nil"/>
            </w:tcBorders>
            <w:noWrap w:val="0"/>
            <w:vAlign w:val="center"/>
          </w:tcPr>
          <w:p w14:paraId="2AE6A5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r>
    </w:tbl>
    <w:p w14:paraId="2EAC4059">
      <w:pPr>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jc w:val="both"/>
        <w:textAlignment w:val="auto"/>
        <w:rPr>
          <w:rFonts w:hint="eastAsia" w:eastAsia="宋体" w:cs="Times New Roman"/>
          <w:b/>
          <w:bCs/>
          <w:spacing w:val="-1"/>
          <w:sz w:val="24"/>
          <w:szCs w:val="24"/>
          <w:highlight w:val="none"/>
          <w:lang w:val="en-US" w:eastAsia="zh-CN"/>
        </w:rPr>
      </w:pPr>
      <w:r>
        <w:rPr>
          <w:rFonts w:hint="eastAsia" w:eastAsia="宋体" w:cs="Times New Roman"/>
          <w:b/>
          <w:bCs/>
          <w:spacing w:val="-1"/>
          <w:sz w:val="24"/>
          <w:szCs w:val="24"/>
          <w:highlight w:val="none"/>
          <w:lang w:val="en-US" w:eastAsia="zh-CN"/>
        </w:rPr>
        <w:t>4、固体废弃物排放标准</w:t>
      </w:r>
    </w:p>
    <w:p w14:paraId="5DC2EF03">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cs="Times New Roman"/>
          <w:color w:val="auto"/>
          <w:highlight w:val="none"/>
          <w:lang w:val="en-US" w:eastAsia="zh-CN"/>
        </w:rPr>
      </w:pPr>
      <w:r>
        <w:rPr>
          <w:rFonts w:ascii="Times New Roman" w:hAnsi="Times New Roman" w:eastAsia="宋体" w:cs="Times New Roman"/>
          <w:spacing w:val="18"/>
          <w:kern w:val="0"/>
          <w:sz w:val="24"/>
          <w:szCs w:val="20"/>
          <w:highlight w:val="none"/>
          <w:lang w:val="en-US" w:eastAsia="zh-CN" w:bidi="ar-SA"/>
        </w:rPr>
        <w:t>一般工业固废执行《一般工业固体废物贮存和填埋污染控制标准》（GB 18599-2020）；危险废物执行《危险废物贮存污染控制标准》（GB 18597—2023）；生活垃圾交由环卫部门统一处理。</w:t>
      </w:r>
    </w:p>
    <w:p w14:paraId="778BB422">
      <w:pPr>
        <w:pStyle w:val="6"/>
        <w:keepNext/>
        <w:keepLines/>
        <w:pageBreakBefore w:val="0"/>
        <w:widowControl w:val="0"/>
        <w:kinsoku/>
        <w:wordWrap/>
        <w:overflowPunct/>
        <w:topLinePunct w:val="0"/>
        <w:autoSpaceDE/>
        <w:autoSpaceDN/>
        <w:bidi w:val="0"/>
        <w:adjustRightInd/>
        <w:snapToGrid/>
        <w:spacing w:before="0" w:beforeLines="50" w:after="0" w:afterLines="50"/>
        <w:textAlignment w:val="auto"/>
        <w:rPr>
          <w:rFonts w:hint="default" w:ascii="Times New Roman" w:hAnsi="Times New Roman" w:eastAsia="宋体" w:cs="Times New Roman"/>
          <w:highlight w:val="none"/>
          <w:lang w:val="en-US" w:eastAsia="zh-CN"/>
        </w:rPr>
      </w:pPr>
      <w:bookmarkStart w:id="63" w:name="_Toc27556"/>
      <w:r>
        <w:rPr>
          <w:rFonts w:ascii="Times New Roman" w:hAnsi="Times New Roman" w:eastAsia="宋体" w:cs="Times New Roman"/>
          <w:highlight w:val="none"/>
        </w:rPr>
        <w:t>2.5</w:t>
      </w:r>
      <w:r>
        <w:rPr>
          <w:rFonts w:hint="eastAsia" w:ascii="Times New Roman" w:hAnsi="Times New Roman" w:eastAsia="宋体" w:cs="Times New Roman"/>
          <w:highlight w:val="none"/>
          <w:lang w:val="en-US" w:eastAsia="zh-CN"/>
        </w:rPr>
        <w:t xml:space="preserve"> </w:t>
      </w:r>
      <w:r>
        <w:rPr>
          <w:rFonts w:ascii="Times New Roman" w:hAnsi="Times New Roman" w:eastAsia="宋体" w:cs="Times New Roman"/>
          <w:highlight w:val="none"/>
        </w:rPr>
        <w:t>评价等级</w:t>
      </w:r>
      <w:r>
        <w:rPr>
          <w:rFonts w:hint="eastAsia" w:ascii="Times New Roman" w:hAnsi="Times New Roman" w:eastAsia="宋体" w:cs="Times New Roman"/>
          <w:highlight w:val="none"/>
          <w:lang w:val="en-US" w:eastAsia="zh-CN"/>
        </w:rPr>
        <w:t>及评价范围</w:t>
      </w:r>
      <w:bookmarkEnd w:id="63"/>
    </w:p>
    <w:p w14:paraId="4296D698">
      <w:pPr>
        <w:pStyle w:val="7"/>
        <w:keepNext/>
        <w:keepLines/>
        <w:pageBreakBefore w:val="0"/>
        <w:widowControl w:val="0"/>
        <w:kinsoku/>
        <w:wordWrap/>
        <w:overflowPunct/>
        <w:topLinePunct w:val="0"/>
        <w:autoSpaceDE/>
        <w:autoSpaceDN/>
        <w:bidi w:val="0"/>
        <w:adjustRightInd/>
        <w:snapToGrid/>
        <w:spacing w:before="0" w:beforeLines="50" w:after="0" w:afterLines="50"/>
        <w:textAlignment w:val="auto"/>
        <w:rPr>
          <w:rFonts w:hint="eastAsia" w:ascii="Times New Roman" w:hAnsi="Times New Roman" w:eastAsia="宋体" w:cs="Times New Roman"/>
          <w:highlight w:val="none"/>
          <w:lang w:val="en-US" w:eastAsia="zh-CN"/>
        </w:rPr>
      </w:pPr>
      <w:bookmarkStart w:id="64" w:name="_Toc23073"/>
      <w:r>
        <w:rPr>
          <w:rFonts w:ascii="Times New Roman" w:hAnsi="Times New Roman" w:eastAsia="宋体" w:cs="Times New Roman"/>
          <w:highlight w:val="none"/>
          <w:lang w:val="en-US" w:eastAsia="zh-CN"/>
        </w:rPr>
        <w:t>2.5.</w:t>
      </w:r>
      <w:r>
        <w:rPr>
          <w:rFonts w:hint="eastAsia" w:ascii="Times New Roman" w:hAnsi="Times New Roman" w:eastAsia="宋体" w:cs="Times New Roman"/>
          <w:highlight w:val="none"/>
          <w:lang w:val="en-US" w:eastAsia="zh-CN"/>
        </w:rPr>
        <w:t>1 评价等级</w:t>
      </w:r>
      <w:bookmarkEnd w:id="64"/>
    </w:p>
    <w:p w14:paraId="1476E541">
      <w:pPr>
        <w:pStyle w:val="9"/>
        <w:keepNext/>
        <w:keepLines/>
        <w:pageBreakBefore w:val="0"/>
        <w:widowControl w:val="0"/>
        <w:kinsoku/>
        <w:wordWrap/>
        <w:overflowPunct/>
        <w:topLinePunct w:val="0"/>
        <w:autoSpaceDE/>
        <w:autoSpaceDN/>
        <w:bidi w:val="0"/>
        <w:adjustRightInd/>
        <w:snapToGrid/>
        <w:spacing w:before="0" w:beforeLines="50" w:after="0" w:afterLines="50"/>
        <w:textAlignment w:val="auto"/>
        <w:rPr>
          <w:rFonts w:hint="default" w:ascii="Times New Roman" w:hAnsi="宋体" w:eastAsia="宋体" w:cs="Times New Roman"/>
          <w:color w:val="auto"/>
          <w:sz w:val="24"/>
          <w:szCs w:val="24"/>
          <w:highlight w:val="none"/>
          <w:lang w:val="en-US" w:eastAsia="zh-CN"/>
        </w:rPr>
      </w:pPr>
      <w:bookmarkStart w:id="65" w:name="_Toc488833082"/>
      <w:r>
        <w:rPr>
          <w:rFonts w:hint="eastAsia"/>
          <w:highlight w:val="none"/>
          <w:lang w:val="en-US" w:eastAsia="zh-CN"/>
        </w:rPr>
        <w:t>2.5.1.1</w:t>
      </w:r>
      <w:bookmarkEnd w:id="65"/>
      <w:r>
        <w:rPr>
          <w:rFonts w:hint="eastAsia"/>
          <w:highlight w:val="none"/>
          <w:lang w:val="en-US" w:eastAsia="zh-CN"/>
        </w:rPr>
        <w:t>环境空气</w:t>
      </w:r>
    </w:p>
    <w:p w14:paraId="120AD45E">
      <w:pPr>
        <w:keepNext w:val="0"/>
        <w:keepLines w:val="0"/>
        <w:pageBreakBefore w:val="0"/>
        <w:widowControl/>
        <w:suppressLineNumbers w:val="0"/>
        <w:kinsoku/>
        <w:wordWrap/>
        <w:overflowPunct/>
        <w:topLinePunct w:val="0"/>
        <w:autoSpaceDE/>
        <w:autoSpaceDN/>
        <w:bidi w:val="0"/>
        <w:adjustRightInd/>
        <w:spacing w:line="360" w:lineRule="auto"/>
        <w:ind w:right="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评价工作等级划分</w:t>
      </w:r>
    </w:p>
    <w:p w14:paraId="0996598E">
      <w:pPr>
        <w:pStyle w:val="11"/>
        <w:ind w:firstLine="48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根据《环境影响评价技术导则大气环境》（HJ2.2-2018），评价等级划分见</w:t>
      </w:r>
      <w:r>
        <w:rPr>
          <w:rFonts w:hint="default" w:ascii="Times New Roman" w:hAnsi="Times New Roman" w:cs="Times New Roman" w:eastAsiaTheme="minorEastAsia"/>
          <w:color w:val="auto"/>
          <w:sz w:val="24"/>
          <w:szCs w:val="24"/>
          <w:highlight w:val="none"/>
          <w:lang w:val="en-US" w:eastAsia="zh-CN"/>
        </w:rPr>
        <w:t>下</w:t>
      </w:r>
      <w:r>
        <w:rPr>
          <w:rFonts w:hint="default" w:ascii="Times New Roman" w:hAnsi="Times New Roman" w:cs="Times New Roman" w:eastAsiaTheme="minorEastAsia"/>
          <w:color w:val="auto"/>
          <w:sz w:val="24"/>
          <w:szCs w:val="24"/>
          <w:highlight w:val="none"/>
        </w:rPr>
        <w:t>表。</w:t>
      </w:r>
    </w:p>
    <w:p w14:paraId="0C99925E">
      <w:pPr>
        <w:keepNext/>
        <w:keepLines/>
        <w:pageBreakBefore w:val="0"/>
        <w:widowControl w:val="0"/>
        <w:tabs>
          <w:tab w:val="left" w:pos="1008"/>
        </w:tabs>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w:t>
      </w:r>
      <w:r>
        <w:rPr>
          <w:rFonts w:hint="default" w:ascii="Times New Roman" w:hAnsi="Times New Roman" w:cs="Times New Roman" w:eastAsiaTheme="minorEastAsia"/>
          <w:b/>
          <w:bCs/>
          <w:color w:val="auto"/>
          <w:sz w:val="24"/>
          <w:szCs w:val="24"/>
          <w:highlight w:val="none"/>
          <w:lang w:val="en-US" w:eastAsia="zh-CN"/>
        </w:rPr>
        <w:t>2.</w:t>
      </w:r>
      <w:r>
        <w:rPr>
          <w:rFonts w:hint="eastAsia" w:ascii="Times New Roman" w:hAnsi="Times New Roman" w:cs="Times New Roman" w:eastAsiaTheme="minorEastAsia"/>
          <w:b/>
          <w:bCs/>
          <w:color w:val="auto"/>
          <w:sz w:val="24"/>
          <w:szCs w:val="24"/>
          <w:highlight w:val="none"/>
          <w:lang w:val="en-US" w:eastAsia="zh-CN"/>
        </w:rPr>
        <w:t>5-</w:t>
      </w:r>
      <w:r>
        <w:rPr>
          <w:rFonts w:hint="default" w:ascii="Times New Roman" w:hAnsi="Times New Roman" w:cs="Times New Roman" w:eastAsiaTheme="minorEastAsia"/>
          <w:b/>
          <w:bCs/>
          <w:color w:val="auto"/>
          <w:sz w:val="24"/>
          <w:szCs w:val="24"/>
          <w:highlight w:val="none"/>
          <w:lang w:val="en-US" w:eastAsia="zh-CN"/>
        </w:rPr>
        <w:t xml:space="preserve">1 </w:t>
      </w:r>
      <w:r>
        <w:rPr>
          <w:rFonts w:hint="default" w:ascii="Times New Roman" w:hAnsi="Times New Roman" w:cs="Times New Roman" w:eastAsiaTheme="minorEastAsia"/>
          <w:b/>
          <w:bCs/>
          <w:color w:val="auto"/>
          <w:sz w:val="24"/>
          <w:szCs w:val="24"/>
          <w:highlight w:val="none"/>
        </w:rPr>
        <w:t>环境空气评价工作等级判据一览表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4789"/>
      </w:tblGrid>
      <w:tr w14:paraId="2846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8" w:type="pct"/>
            <w:noWrap w:val="0"/>
            <w:vAlign w:val="center"/>
          </w:tcPr>
          <w:p w14:paraId="044DCAD8">
            <w:pPr>
              <w:pStyle w:val="32"/>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评价工作等级</w:t>
            </w:r>
          </w:p>
        </w:tc>
        <w:tc>
          <w:tcPr>
            <w:tcW w:w="2812" w:type="pct"/>
            <w:noWrap w:val="0"/>
            <w:vAlign w:val="center"/>
          </w:tcPr>
          <w:p w14:paraId="691FB1CF">
            <w:pPr>
              <w:pStyle w:val="32"/>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评价工作分级判据</w:t>
            </w:r>
          </w:p>
        </w:tc>
      </w:tr>
      <w:tr w14:paraId="1F41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88" w:type="pct"/>
            <w:noWrap w:val="0"/>
            <w:vAlign w:val="center"/>
          </w:tcPr>
          <w:p w14:paraId="05E94D96">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p>
        </w:tc>
        <w:tc>
          <w:tcPr>
            <w:tcW w:w="2812" w:type="pct"/>
            <w:noWrap w:val="0"/>
            <w:vAlign w:val="center"/>
          </w:tcPr>
          <w:p w14:paraId="6FD4FF3F">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Pmax≥10%</w:t>
            </w:r>
          </w:p>
        </w:tc>
      </w:tr>
      <w:tr w14:paraId="13C28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88" w:type="pct"/>
            <w:noWrap w:val="0"/>
            <w:vAlign w:val="center"/>
          </w:tcPr>
          <w:p w14:paraId="1B61C917">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w:t>
            </w:r>
          </w:p>
        </w:tc>
        <w:tc>
          <w:tcPr>
            <w:tcW w:w="2812" w:type="pct"/>
            <w:noWrap w:val="0"/>
            <w:vAlign w:val="center"/>
          </w:tcPr>
          <w:p w14:paraId="117B148E">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1%≤Pmax＜10%</w:t>
            </w:r>
          </w:p>
        </w:tc>
      </w:tr>
      <w:tr w14:paraId="6EDF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88" w:type="pct"/>
            <w:noWrap w:val="0"/>
            <w:vAlign w:val="center"/>
          </w:tcPr>
          <w:p w14:paraId="3816B702">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w:t>
            </w:r>
          </w:p>
        </w:tc>
        <w:tc>
          <w:tcPr>
            <w:tcW w:w="2812" w:type="pct"/>
            <w:noWrap w:val="0"/>
            <w:vAlign w:val="center"/>
          </w:tcPr>
          <w:p w14:paraId="26DDBFBD">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Pmax＜1%</w:t>
            </w:r>
          </w:p>
        </w:tc>
      </w:tr>
    </w:tbl>
    <w:p w14:paraId="6215750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按照《环境影响评价技术导则—大气环境》（HJ2.2-2018），</w:t>
      </w:r>
      <w:r>
        <w:rPr>
          <w:rFonts w:hint="eastAsia" w:ascii="Times New Roman" w:hAnsi="Times New Roman" w:cs="Times New Roman" w:eastAsiaTheme="minorEastAsia"/>
          <w:color w:val="auto"/>
          <w:kern w:val="2"/>
          <w:sz w:val="24"/>
          <w:szCs w:val="24"/>
          <w:highlight w:val="none"/>
          <w:lang w:val="en-US" w:eastAsia="zh-CN" w:bidi="ar-SA"/>
        </w:rPr>
        <w:t>对</w:t>
      </w:r>
      <w:r>
        <w:rPr>
          <w:rFonts w:hint="default" w:ascii="Times New Roman" w:hAnsi="Times New Roman" w:cs="Times New Roman" w:eastAsiaTheme="minorEastAsia"/>
          <w:color w:val="auto"/>
          <w:kern w:val="2"/>
          <w:sz w:val="24"/>
          <w:szCs w:val="24"/>
          <w:highlight w:val="none"/>
          <w:lang w:val="en-US" w:eastAsia="zh-CN" w:bidi="ar-SA"/>
        </w:rPr>
        <w:t>本项目在</w:t>
      </w:r>
      <w:r>
        <w:rPr>
          <w:rFonts w:hint="eastAsia" w:ascii="Times New Roman" w:hAnsi="Times New Roman" w:cs="Times New Roman" w:eastAsiaTheme="minorEastAsia"/>
          <w:color w:val="auto"/>
          <w:kern w:val="2"/>
          <w:sz w:val="24"/>
          <w:szCs w:val="24"/>
          <w:highlight w:val="none"/>
          <w:lang w:val="en-US" w:eastAsia="zh-CN" w:bidi="ar-SA"/>
        </w:rPr>
        <w:t>生产过程中产生的废气主要是有机废气和无组织粉尘</w:t>
      </w:r>
      <w:r>
        <w:rPr>
          <w:rFonts w:hint="eastAsia" w:cs="Times New Roman" w:eastAsiaTheme="minorEastAsia"/>
          <w:color w:val="auto"/>
          <w:kern w:val="2"/>
          <w:sz w:val="24"/>
          <w:szCs w:val="24"/>
          <w:highlight w:val="none"/>
          <w:lang w:val="en-US" w:eastAsia="zh-CN" w:bidi="ar-SA"/>
        </w:rPr>
        <w:t>、无组织</w:t>
      </w:r>
      <w:r>
        <w:rPr>
          <w:rFonts w:hint="eastAsia" w:ascii="Times New Roman" w:hAnsi="Times New Roman" w:eastAsia="宋体" w:cs="Times New Roman"/>
          <w:i w:val="0"/>
          <w:iCs w:val="0"/>
          <w:color w:val="auto"/>
          <w:sz w:val="24"/>
          <w:szCs w:val="24"/>
          <w:highlight w:val="none"/>
          <w:u w:val="none"/>
          <w:lang w:val="en-US" w:eastAsia="zh-CN"/>
        </w:rPr>
        <w:t>TVOC</w:t>
      </w:r>
      <w:r>
        <w:rPr>
          <w:rFonts w:hint="eastAsia" w:ascii="Times New Roman" w:hAnsi="Times New Roman" w:cs="Times New Roman" w:eastAsiaTheme="minorEastAsia"/>
          <w:color w:val="auto"/>
          <w:kern w:val="2"/>
          <w:sz w:val="24"/>
          <w:szCs w:val="24"/>
          <w:highlight w:val="none"/>
          <w:lang w:val="en-US" w:eastAsia="zh-CN" w:bidi="ar-SA"/>
        </w:rPr>
        <w:t>进行评价，</w:t>
      </w:r>
      <w:r>
        <w:rPr>
          <w:rFonts w:hint="default" w:ascii="Times New Roman" w:hAnsi="Times New Roman" w:cs="Times New Roman" w:eastAsiaTheme="minorEastAsia"/>
          <w:color w:val="auto"/>
          <w:kern w:val="2"/>
          <w:sz w:val="24"/>
          <w:szCs w:val="24"/>
          <w:highlight w:val="none"/>
          <w:lang w:val="en-US" w:eastAsia="zh-CN" w:bidi="ar-SA"/>
        </w:rPr>
        <w:t>用附录A推荐模型中的AERSCREEN模式计算项目污染物的最大环境影响，然后按评价工作分级判据进行分级。</w:t>
      </w:r>
    </w:p>
    <w:p w14:paraId="7FCE5A63">
      <w:pPr>
        <w:keepNext w:val="0"/>
        <w:keepLines w:val="0"/>
        <w:pageBreakBefore w:val="0"/>
        <w:widowControl w:val="0"/>
        <w:kinsoku/>
        <w:wordWrap/>
        <w:overflowPunct/>
        <w:topLinePunct w:val="0"/>
        <w:autoSpaceDE/>
        <w:autoSpaceDN/>
        <w:bidi w:val="0"/>
        <w:adjustRightInd/>
        <w:snapToGrid/>
        <w:spacing w:line="360" w:lineRule="auto"/>
        <w:ind w:right="0" w:firstLine="48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pict>
          <v:shape id="Object 116" o:spid="_x0000_s2051" o:spt="75" alt="6971027061313886614953" type="#_x0000_t75" style="position:absolute;left:0pt;margin-left:114.2pt;margin-top:64.1pt;height:42pt;width:120pt;z-index:251682816;mso-width-relative:page;mso-height-relative:page;" o:ole="t" filled="f" o:preferrelative="t" stroked="f" coordsize="21600,21600">
            <v:path/>
            <v:fill on="f" focussize="0,0"/>
            <v:stroke on="f"/>
            <v:imagedata r:id="rId16" o:title=""/>
            <o:lock v:ext="edit" aspectratio="t"/>
          </v:shape>
          <o:OLEObject Type="Embed" ProgID="Equation.3" ShapeID="Object 116" DrawAspect="Content" ObjectID="_1468075725" r:id="rId15">
            <o:LockedField>false</o:LockedField>
          </o:OLEObject>
        </w:pict>
      </w:r>
      <w:r>
        <w:rPr>
          <w:rFonts w:hint="default" w:ascii="Times New Roman" w:hAnsi="Times New Roman" w:cs="Times New Roman" w:eastAsiaTheme="minorEastAsia"/>
          <w:color w:val="auto"/>
          <w:kern w:val="2"/>
          <w:sz w:val="24"/>
          <w:szCs w:val="24"/>
          <w:highlight w:val="none"/>
          <w:lang w:val="en-US" w:eastAsia="zh-CN" w:bidi="ar-SA"/>
        </w:rPr>
        <w:t>按《导则》推荐的估算模式和如下公式计算主要大气污染物的最大地面空气质量浓度占标率Pi，及第i个污染物的地面空气质量浓度达标准限值10%时所对应的最远距离D10%。其中Pi定义为：</w:t>
      </w:r>
    </w:p>
    <w:p w14:paraId="2224ED54">
      <w:pPr>
        <w:pStyle w:val="2"/>
        <w:keepNext w:val="0"/>
        <w:keepLines w:val="0"/>
        <w:pageBreakBefore w:val="0"/>
        <w:kinsoku/>
        <w:wordWrap/>
        <w:overflowPunct/>
        <w:topLinePunct w:val="0"/>
        <w:autoSpaceDE/>
        <w:autoSpaceDN/>
        <w:bidi w:val="0"/>
        <w:adjustRightInd/>
        <w:spacing w:before="0" w:after="0" w:line="360" w:lineRule="auto"/>
        <w:ind w:right="0"/>
        <w:textAlignment w:val="auto"/>
        <w:rPr>
          <w:rFonts w:hint="default" w:ascii="Times New Roman" w:hAnsi="Times New Roman" w:eastAsia="宋体" w:cs="Times New Roman"/>
          <w:color w:val="auto"/>
          <w:sz w:val="24"/>
          <w:szCs w:val="24"/>
          <w:highlight w:val="none"/>
        </w:rPr>
      </w:pPr>
    </w:p>
    <w:p w14:paraId="0C10F85C">
      <w:pPr>
        <w:pStyle w:val="2"/>
        <w:keepNext w:val="0"/>
        <w:keepLines w:val="0"/>
        <w:pageBreakBefore w:val="0"/>
        <w:kinsoku/>
        <w:wordWrap/>
        <w:overflowPunct/>
        <w:topLinePunct w:val="0"/>
        <w:autoSpaceDE/>
        <w:autoSpaceDN/>
        <w:bidi w:val="0"/>
        <w:adjustRightInd/>
        <w:spacing w:before="0" w:after="0" w:line="360" w:lineRule="auto"/>
        <w:ind w:right="0"/>
        <w:textAlignment w:val="auto"/>
        <w:rPr>
          <w:rFonts w:hint="default" w:ascii="Times New Roman" w:hAnsi="Times New Roman" w:eastAsia="宋体" w:cs="Times New Roman"/>
          <w:color w:val="auto"/>
          <w:sz w:val="24"/>
          <w:szCs w:val="24"/>
          <w:highlight w:val="none"/>
        </w:rPr>
      </w:pPr>
    </w:p>
    <w:p w14:paraId="73341742">
      <w:pPr>
        <w:keepNext w:val="0"/>
        <w:keepLines w:val="0"/>
        <w:pageBreakBefore w:val="0"/>
        <w:kinsoku/>
        <w:wordWrap/>
        <w:overflowPunct/>
        <w:topLinePunct w:val="0"/>
        <w:autoSpaceDE/>
        <w:autoSpaceDN/>
        <w:bidi w:val="0"/>
        <w:adjustRightInd/>
        <w:spacing w:line="360" w:lineRule="auto"/>
        <w:ind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式中：Pi——第i个污染物的最大地面浓度占标率，100%；</w:t>
      </w:r>
    </w:p>
    <w:p w14:paraId="406D1742">
      <w:pPr>
        <w:keepNext w:val="0"/>
        <w:keepLines w:val="0"/>
        <w:pageBreakBefore w:val="0"/>
        <w:kinsoku/>
        <w:wordWrap/>
        <w:overflowPunct/>
        <w:topLinePunct w:val="0"/>
        <w:autoSpaceDE/>
        <w:autoSpaceDN/>
        <w:bidi w:val="0"/>
        <w:adjustRightInd/>
        <w:spacing w:line="360" w:lineRule="auto"/>
        <w:ind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Ci——采用估算模式计算出的第i个污染物的最大地面浓度，mg/m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7E6B1125">
      <w:pPr>
        <w:keepNext w:val="0"/>
        <w:keepLines w:val="0"/>
        <w:pageBreakBefore w:val="0"/>
        <w:kinsoku/>
        <w:wordWrap/>
        <w:overflowPunct/>
        <w:topLinePunct w:val="0"/>
        <w:autoSpaceDE/>
        <w:autoSpaceDN/>
        <w:bidi w:val="0"/>
        <w:adjustRightInd/>
        <w:spacing w:line="360" w:lineRule="auto"/>
        <w:ind w:right="0" w:firstLine="480"/>
        <w:textAlignment w:val="auto"/>
        <w:rPr>
          <w:rFonts w:hint="eastAsia"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szCs w:val="24"/>
          <w:highlight w:val="none"/>
        </w:rPr>
        <w:t>C0i——第i个污染物的环境空气质量标准，mg/m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一般选用GB3095中1h平均质量浓度的二级浓度限值；对于该标准中未包含的污染物，使用5.2确定的各级评价因子1h平均质量浓度限值。对仅有8h平均质量浓度限值、日平均质量浓度限值或年平均质量浓度限值的，可分别按2倍、3倍、6倍折算为1h平均质量浓度限值。</w:t>
      </w:r>
    </w:p>
    <w:p w14:paraId="37AB0B7B">
      <w:pPr>
        <w:keepNext w:val="0"/>
        <w:keepLines w:val="0"/>
        <w:pageBreakBefore w:val="0"/>
        <w:kinsoku/>
        <w:wordWrap/>
        <w:overflowPunct/>
        <w:topLinePunct w:val="0"/>
        <w:autoSpaceDE/>
        <w:autoSpaceDN/>
        <w:bidi w:val="0"/>
        <w:adjustRightInd/>
        <w:spacing w:line="360" w:lineRule="auto"/>
        <w:ind w:right="0" w:firstLine="480"/>
        <w:textAlignment w:val="auto"/>
        <w:rPr>
          <w:rFonts w:hint="default" w:ascii="Times New Roman" w:hAnsi="Times New Roman" w:eastAsia="宋体" w:cs="Times New Roman"/>
          <w:b/>
          <w:bCs/>
          <w:color w:val="auto"/>
          <w:sz w:val="24"/>
          <w:szCs w:val="24"/>
          <w:highlight w:val="none"/>
        </w:rPr>
      </w:pPr>
      <w:r>
        <w:rPr>
          <w:rFonts w:hint="eastAsia"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、评价因子和评价标准</w:t>
      </w:r>
    </w:p>
    <w:p w14:paraId="3428EA7C">
      <w:pPr>
        <w:keepNext w:val="0"/>
        <w:keepLines w:val="0"/>
        <w:pageBreakBefore w:val="0"/>
        <w:widowControl/>
        <w:suppressLineNumbers w:val="0"/>
        <w:kinsoku/>
        <w:wordWrap/>
        <w:overflowPunct/>
        <w:topLinePunct w:val="0"/>
        <w:autoSpaceDE/>
        <w:autoSpaceDN/>
        <w:bidi w:val="0"/>
        <w:adjustRightInd/>
        <w:spacing w:line="360" w:lineRule="auto"/>
        <w:ind w:right="0" w:firstLine="720" w:firstLineChars="300"/>
        <w:jc w:val="left"/>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本次评价因子</w:t>
      </w:r>
      <w:r>
        <w:rPr>
          <w:rFonts w:hint="default" w:ascii="Times New Roman" w:hAnsi="Times New Roman" w:cs="Times New Roman" w:eastAsiaTheme="minorEastAsia"/>
          <w:color w:val="auto"/>
          <w:kern w:val="2"/>
          <w:sz w:val="24"/>
          <w:szCs w:val="24"/>
          <w:highlight w:val="none"/>
          <w:lang w:val="en-US" w:eastAsia="zh-CN" w:bidi="ar-SA"/>
        </w:rPr>
        <w:t>执行《环境空气质量标准》（GB3095-2012）中二级标准</w:t>
      </w:r>
      <w:r>
        <w:rPr>
          <w:rFonts w:hint="eastAsia" w:ascii="Times New Roman" w:hAnsi="Times New Roman" w:cs="Times New Roman" w:eastAsiaTheme="minorEastAsia"/>
          <w:color w:val="auto"/>
          <w:kern w:val="2"/>
          <w:sz w:val="24"/>
          <w:szCs w:val="24"/>
          <w:highlight w:val="none"/>
          <w:lang w:val="en-US" w:eastAsia="zh-CN" w:bidi="ar-SA"/>
        </w:rPr>
        <w:t>及</w:t>
      </w:r>
      <w:r>
        <w:rPr>
          <w:rFonts w:hint="default" w:ascii="Times New Roman" w:hAnsi="Times New Roman" w:cs="Times New Roman" w:eastAsiaTheme="minorEastAsia"/>
          <w:color w:val="auto"/>
          <w:kern w:val="2"/>
          <w:sz w:val="24"/>
          <w:szCs w:val="24"/>
          <w:highlight w:val="none"/>
          <w:lang w:val="en-US" w:eastAsia="zh-CN" w:bidi="ar-SA"/>
        </w:rPr>
        <w:t>《环境影响评价技术导则 大气环境》（HJ2.2-2018）中附录D。本次环境影响评价因子和评价标准如下表：</w:t>
      </w:r>
    </w:p>
    <w:p w14:paraId="618A6A43">
      <w:pPr>
        <w:pStyle w:val="2"/>
        <w:keepNext w:val="0"/>
        <w:keepLines w:val="0"/>
        <w:pageBreakBefore w:val="0"/>
        <w:kinsoku/>
        <w:wordWrap/>
        <w:overflowPunct/>
        <w:topLinePunct w:val="0"/>
        <w:autoSpaceDE/>
        <w:autoSpaceDN/>
        <w:bidi w:val="0"/>
        <w:adjustRightInd/>
        <w:spacing w:before="0" w:after="0" w:line="360" w:lineRule="auto"/>
        <w:ind w:right="0" w:firstLine="1687" w:firstLineChars="7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w:t>
      </w:r>
      <w:r>
        <w:rPr>
          <w:rFonts w:hint="eastAsia" w:cs="Times New Roman"/>
          <w:b/>
          <w:bCs/>
          <w:color w:val="auto"/>
          <w:kern w:val="0"/>
          <w:sz w:val="24"/>
          <w:szCs w:val="24"/>
          <w:highlight w:val="none"/>
          <w:lang w:val="en-US" w:eastAsia="zh-CN" w:bidi="ar"/>
        </w:rPr>
        <w:t>5-</w:t>
      </w:r>
      <w:r>
        <w:rPr>
          <w:rFonts w:hint="eastAsia" w:ascii="Times New Roman" w:hAnsi="Times New Roman" w:eastAsia="宋体" w:cs="Times New Roman"/>
          <w:b/>
          <w:bCs/>
          <w:color w:val="auto"/>
          <w:kern w:val="0"/>
          <w:sz w:val="24"/>
          <w:szCs w:val="24"/>
          <w:highlight w:val="none"/>
          <w:lang w:val="en-US" w:eastAsia="zh-CN" w:bidi="ar"/>
        </w:rPr>
        <w:t xml:space="preserve">2 </w:t>
      </w:r>
      <w:r>
        <w:rPr>
          <w:rFonts w:hint="default" w:ascii="Times New Roman" w:hAnsi="Times New Roman" w:eastAsia="宋体" w:cs="Times New Roman"/>
          <w:b/>
          <w:bCs/>
          <w:color w:val="auto"/>
          <w:kern w:val="0"/>
          <w:sz w:val="24"/>
          <w:szCs w:val="24"/>
          <w:highlight w:val="none"/>
          <w:lang w:val="en-US" w:eastAsia="zh-CN" w:bidi="ar"/>
        </w:rPr>
        <w:t>评价因子和评价标准表</w:t>
      </w:r>
      <w:r>
        <w:rPr>
          <w:b/>
          <w:bCs/>
          <w:color w:val="auto"/>
          <w:sz w:val="24"/>
          <w:szCs w:val="24"/>
          <w:highlight w:val="none"/>
        </w:rPr>
        <w:t>单位：μg/m</w:t>
      </w:r>
      <w:r>
        <w:rPr>
          <w:b/>
          <w:bCs/>
          <w:color w:val="auto"/>
          <w:sz w:val="24"/>
          <w:szCs w:val="24"/>
          <w:highlight w:val="none"/>
          <w:vertAlign w:val="superscript"/>
        </w:rPr>
        <w:t>3</w:t>
      </w:r>
    </w:p>
    <w:tbl>
      <w:tblPr>
        <w:tblStyle w:val="23"/>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84"/>
        <w:gridCol w:w="1967"/>
        <w:gridCol w:w="1601"/>
        <w:gridCol w:w="1502"/>
        <w:gridCol w:w="2159"/>
      </w:tblGrid>
      <w:tr w14:paraId="4AEBB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tcBorders>
              <w:tl2br w:val="nil"/>
              <w:tr2bl w:val="nil"/>
            </w:tcBorders>
            <w:noWrap w:val="0"/>
            <w:vAlign w:val="center"/>
          </w:tcPr>
          <w:p w14:paraId="21995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评价因子</w:t>
            </w:r>
          </w:p>
        </w:tc>
        <w:tc>
          <w:tcPr>
            <w:tcW w:w="1155" w:type="pct"/>
            <w:tcBorders>
              <w:tl2br w:val="nil"/>
              <w:tr2bl w:val="nil"/>
            </w:tcBorders>
            <w:noWrap w:val="0"/>
            <w:vAlign w:val="center"/>
          </w:tcPr>
          <w:p w14:paraId="5F6E52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取样时间</w:t>
            </w:r>
          </w:p>
        </w:tc>
        <w:tc>
          <w:tcPr>
            <w:tcW w:w="1822" w:type="pct"/>
            <w:gridSpan w:val="2"/>
            <w:tcBorders>
              <w:tl2br w:val="nil"/>
              <w:tr2bl w:val="nil"/>
            </w:tcBorders>
            <w:noWrap w:val="0"/>
            <w:vAlign w:val="center"/>
          </w:tcPr>
          <w:p w14:paraId="4180FE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w:t>
            </w:r>
          </w:p>
        </w:tc>
        <w:tc>
          <w:tcPr>
            <w:tcW w:w="1267" w:type="pct"/>
            <w:tcBorders>
              <w:tl2br w:val="nil"/>
              <w:tr2bl w:val="nil"/>
            </w:tcBorders>
            <w:noWrap w:val="0"/>
            <w:vAlign w:val="center"/>
          </w:tcPr>
          <w:p w14:paraId="6D7AD6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备注</w:t>
            </w:r>
          </w:p>
        </w:tc>
      </w:tr>
      <w:tr w14:paraId="5A350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754" w:type="pct"/>
            <w:vMerge w:val="restart"/>
            <w:tcBorders>
              <w:tl2br w:val="nil"/>
              <w:tr2bl w:val="nil"/>
            </w:tcBorders>
            <w:noWrap w:val="0"/>
            <w:vAlign w:val="center"/>
          </w:tcPr>
          <w:p w14:paraId="042C5E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ascii="Times New Roman" w:hAnsi="Times New Roman" w:eastAsia="Times New Roman" w:cs="Times New Roman"/>
                <w:spacing w:val="2"/>
                <w:sz w:val="20"/>
                <w:szCs w:val="20"/>
                <w:highlight w:val="none"/>
              </w:rPr>
              <w:t>TSP</w:t>
            </w:r>
          </w:p>
        </w:tc>
        <w:tc>
          <w:tcPr>
            <w:tcW w:w="1155" w:type="pct"/>
            <w:tcBorders>
              <w:tl2br w:val="nil"/>
              <w:tr2bl w:val="nil"/>
            </w:tcBorders>
            <w:noWrap w:val="0"/>
            <w:vAlign w:val="center"/>
          </w:tcPr>
          <w:p w14:paraId="7D757A44">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spacing w:val="6"/>
                <w:highlight w:val="none"/>
              </w:rPr>
              <w:t>年平均</w:t>
            </w:r>
          </w:p>
        </w:tc>
        <w:tc>
          <w:tcPr>
            <w:tcW w:w="940" w:type="pct"/>
            <w:tcBorders>
              <w:tl2br w:val="nil"/>
              <w:tr2bl w:val="nil"/>
            </w:tcBorders>
            <w:noWrap w:val="0"/>
            <w:vAlign w:val="center"/>
          </w:tcPr>
          <w:p w14:paraId="55FB2A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0F31A0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eastAsia="宋体" w:cs="Times New Roman"/>
                <w:i w:val="0"/>
                <w:iCs w:val="0"/>
                <w:color w:val="auto"/>
                <w:kern w:val="0"/>
                <w:sz w:val="21"/>
                <w:szCs w:val="21"/>
                <w:highlight w:val="none"/>
                <w:u w:val="none"/>
                <w:lang w:val="en-US" w:eastAsia="zh-CN" w:bidi="ar"/>
              </w:rPr>
              <w:t>200</w:t>
            </w:r>
          </w:p>
        </w:tc>
        <w:tc>
          <w:tcPr>
            <w:tcW w:w="1267" w:type="pct"/>
            <w:tcBorders>
              <w:tl2br w:val="nil"/>
              <w:tr2bl w:val="nil"/>
            </w:tcBorders>
            <w:noWrap w:val="0"/>
            <w:vAlign w:val="center"/>
          </w:tcPr>
          <w:p w14:paraId="28AC3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w:t>
            </w:r>
          </w:p>
        </w:tc>
      </w:tr>
      <w:tr w14:paraId="484E9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754" w:type="pct"/>
            <w:vMerge w:val="continue"/>
            <w:tcBorders>
              <w:tl2br w:val="nil"/>
              <w:tr2bl w:val="nil"/>
            </w:tcBorders>
            <w:noWrap w:val="0"/>
            <w:vAlign w:val="center"/>
          </w:tcPr>
          <w:p w14:paraId="4E51F6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155" w:type="pct"/>
            <w:tcBorders>
              <w:tl2br w:val="nil"/>
              <w:tr2bl w:val="nil"/>
            </w:tcBorders>
            <w:noWrap/>
            <w:vAlign w:val="center"/>
          </w:tcPr>
          <w:p w14:paraId="477753B6">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940" w:type="pct"/>
            <w:tcBorders>
              <w:tl2br w:val="nil"/>
              <w:tr2bl w:val="nil"/>
            </w:tcBorders>
            <w:noWrap w:val="0"/>
            <w:vAlign w:val="center"/>
          </w:tcPr>
          <w:p w14:paraId="0BDD47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50408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eastAsia="宋体" w:cs="Times New Roman"/>
                <w:i w:val="0"/>
                <w:iCs w:val="0"/>
                <w:color w:val="auto"/>
                <w:kern w:val="0"/>
                <w:sz w:val="21"/>
                <w:szCs w:val="21"/>
                <w:highlight w:val="none"/>
                <w:u w:val="none"/>
                <w:lang w:val="en-US" w:eastAsia="zh-CN" w:bidi="ar"/>
              </w:rPr>
              <w:t>300</w:t>
            </w:r>
          </w:p>
        </w:tc>
        <w:tc>
          <w:tcPr>
            <w:tcW w:w="1267" w:type="pct"/>
            <w:tcBorders>
              <w:tl2br w:val="nil"/>
              <w:tr2bl w:val="nil"/>
            </w:tcBorders>
            <w:noWrap w:val="0"/>
            <w:vAlign w:val="center"/>
          </w:tcPr>
          <w:p w14:paraId="2EED9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w:t>
            </w:r>
          </w:p>
        </w:tc>
      </w:tr>
      <w:tr w14:paraId="3E31C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vMerge w:val="continue"/>
            <w:tcBorders>
              <w:tl2br w:val="nil"/>
              <w:tr2bl w:val="nil"/>
            </w:tcBorders>
            <w:noWrap w:val="0"/>
            <w:vAlign w:val="center"/>
          </w:tcPr>
          <w:p w14:paraId="2F725E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155" w:type="pct"/>
            <w:tcBorders>
              <w:tl2br w:val="nil"/>
              <w:tr2bl w:val="nil"/>
            </w:tcBorders>
            <w:noWrap w:val="0"/>
            <w:vAlign w:val="center"/>
          </w:tcPr>
          <w:p w14:paraId="180045DF">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小时均值</w:t>
            </w:r>
          </w:p>
        </w:tc>
        <w:tc>
          <w:tcPr>
            <w:tcW w:w="940" w:type="pct"/>
            <w:tcBorders>
              <w:tl2br w:val="nil"/>
              <w:tr2bl w:val="nil"/>
            </w:tcBorders>
            <w:noWrap w:val="0"/>
            <w:vAlign w:val="center"/>
          </w:tcPr>
          <w:p w14:paraId="5B70AE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79934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eastAsia="宋体" w:cs="Times New Roman"/>
                <w:i w:val="0"/>
                <w:iCs w:val="0"/>
                <w:color w:val="auto"/>
                <w:kern w:val="0"/>
                <w:sz w:val="21"/>
                <w:szCs w:val="21"/>
                <w:highlight w:val="none"/>
                <w:u w:val="none"/>
                <w:lang w:val="en-US" w:eastAsia="zh-CN" w:bidi="ar"/>
              </w:rPr>
              <w:t>900</w:t>
            </w:r>
          </w:p>
        </w:tc>
        <w:tc>
          <w:tcPr>
            <w:tcW w:w="1267" w:type="pct"/>
            <w:tcBorders>
              <w:tl2br w:val="nil"/>
              <w:tr2bl w:val="nil"/>
            </w:tcBorders>
            <w:noWrap w:val="0"/>
            <w:vAlign w:val="center"/>
          </w:tcPr>
          <w:p w14:paraId="5DEE6C5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按</w:t>
            </w:r>
            <w:r>
              <w:rPr>
                <w:rFonts w:hint="eastAsia" w:ascii="Times New Roman" w:hAnsi="Times New Roman" w:eastAsia="宋体" w:cs="Times New Roman"/>
                <w:i w:val="0"/>
                <w:iCs w:val="0"/>
                <w:color w:val="auto"/>
                <w:kern w:val="0"/>
                <w:sz w:val="21"/>
                <w:szCs w:val="21"/>
                <w:highlight w:val="none"/>
                <w:u w:val="none"/>
                <w:lang w:val="en-US" w:eastAsia="zh-CN" w:bidi="ar"/>
              </w:rPr>
              <w:t>日</w:t>
            </w:r>
            <w:r>
              <w:rPr>
                <w:rFonts w:hint="default" w:ascii="Times New Roman" w:hAnsi="Times New Roman" w:eastAsia="宋体" w:cs="Times New Roman"/>
                <w:i w:val="0"/>
                <w:iCs w:val="0"/>
                <w:color w:val="auto"/>
                <w:kern w:val="0"/>
                <w:sz w:val="21"/>
                <w:szCs w:val="21"/>
                <w:highlight w:val="none"/>
                <w:u w:val="none"/>
                <w:lang w:val="en-US" w:eastAsia="zh-CN" w:bidi="ar"/>
              </w:rPr>
              <w:t>平均</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倍计</w:t>
            </w:r>
          </w:p>
        </w:tc>
      </w:tr>
      <w:tr w14:paraId="273E2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vMerge w:val="restart"/>
            <w:tcBorders>
              <w:tl2br w:val="nil"/>
              <w:tr2bl w:val="nil"/>
            </w:tcBorders>
            <w:noWrap w:val="0"/>
            <w:vAlign w:val="center"/>
          </w:tcPr>
          <w:p w14:paraId="441E713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TVOC</w:t>
            </w:r>
          </w:p>
        </w:tc>
        <w:tc>
          <w:tcPr>
            <w:tcW w:w="1155" w:type="pct"/>
            <w:tcBorders>
              <w:tl2br w:val="nil"/>
              <w:tr2bl w:val="nil"/>
            </w:tcBorders>
            <w:noWrap w:val="0"/>
            <w:vAlign w:val="center"/>
          </w:tcPr>
          <w:p w14:paraId="723BB5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 小时平均</w:t>
            </w:r>
          </w:p>
        </w:tc>
        <w:tc>
          <w:tcPr>
            <w:tcW w:w="940" w:type="pct"/>
            <w:tcBorders>
              <w:tl2br w:val="nil"/>
              <w:tr2bl w:val="nil"/>
            </w:tcBorders>
            <w:noWrap w:val="0"/>
            <w:vAlign w:val="center"/>
          </w:tcPr>
          <w:p w14:paraId="36667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66F71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1200</w:t>
            </w:r>
          </w:p>
        </w:tc>
        <w:tc>
          <w:tcPr>
            <w:tcW w:w="1267" w:type="pct"/>
            <w:tcBorders>
              <w:tl2br w:val="nil"/>
              <w:tr2bl w:val="nil"/>
            </w:tcBorders>
            <w:noWrap w:val="0"/>
            <w:vAlign w:val="center"/>
          </w:tcPr>
          <w:p w14:paraId="2BE253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按</w:t>
            </w: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小时平均</w:t>
            </w:r>
            <w:r>
              <w:rPr>
                <w:rFonts w:hint="eastAsia" w:eastAsia="宋体" w:cs="Times New Roman"/>
                <w:i w:val="0"/>
                <w:iCs w:val="0"/>
                <w:color w:val="auto"/>
                <w:kern w:val="0"/>
                <w:sz w:val="21"/>
                <w:szCs w:val="21"/>
                <w:highlight w:val="none"/>
                <w:u w:val="none"/>
                <w:lang w:val="en-US" w:eastAsia="zh-CN" w:bidi="ar"/>
              </w:rPr>
              <w:t>值2倍计</w:t>
            </w:r>
          </w:p>
        </w:tc>
      </w:tr>
      <w:tr w14:paraId="1CF5E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vMerge w:val="continue"/>
            <w:tcBorders>
              <w:tl2br w:val="nil"/>
              <w:tr2bl w:val="nil"/>
            </w:tcBorders>
            <w:noWrap w:val="0"/>
            <w:vAlign w:val="center"/>
          </w:tcPr>
          <w:p w14:paraId="1225DC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highlight w:val="none"/>
                <w:u w:val="none"/>
                <w:lang w:val="en-US" w:eastAsia="zh-CN"/>
              </w:rPr>
            </w:pPr>
          </w:p>
        </w:tc>
        <w:tc>
          <w:tcPr>
            <w:tcW w:w="1155" w:type="pct"/>
            <w:tcBorders>
              <w:tl2br w:val="nil"/>
              <w:tr2bl w:val="nil"/>
            </w:tcBorders>
            <w:noWrap w:val="0"/>
            <w:vAlign w:val="center"/>
          </w:tcPr>
          <w:p w14:paraId="6B2F02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小时平均</w:t>
            </w:r>
          </w:p>
        </w:tc>
        <w:tc>
          <w:tcPr>
            <w:tcW w:w="940" w:type="pct"/>
            <w:tcBorders>
              <w:tl2br w:val="nil"/>
              <w:tr2bl w:val="nil"/>
            </w:tcBorders>
            <w:noWrap w:val="0"/>
            <w:vAlign w:val="center"/>
          </w:tcPr>
          <w:p w14:paraId="71C52E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1BA1C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600</w:t>
            </w:r>
          </w:p>
        </w:tc>
        <w:tc>
          <w:tcPr>
            <w:tcW w:w="1267" w:type="pct"/>
            <w:tcBorders>
              <w:tl2br w:val="nil"/>
              <w:tr2bl w:val="nil"/>
            </w:tcBorders>
            <w:noWrap w:val="0"/>
            <w:vAlign w:val="center"/>
          </w:tcPr>
          <w:p w14:paraId="782B9C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w:t>
            </w:r>
          </w:p>
        </w:tc>
      </w:tr>
    </w:tbl>
    <w:p w14:paraId="773F3CA4">
      <w:pPr>
        <w:pStyle w:val="11"/>
        <w:ind w:firstLine="480"/>
        <w:rPr>
          <w:rFonts w:hint="default" w:ascii="Times New Roman" w:hAnsi="Times New Roman" w:eastAsia="宋体" w:cs="Times New Roman"/>
          <w:b/>
          <w:color w:val="auto"/>
          <w:sz w:val="21"/>
          <w:szCs w:val="21"/>
          <w:highlight w:val="none"/>
          <w:u w:val="none" w:color="auto"/>
        </w:rPr>
      </w:pPr>
      <w:r>
        <w:rPr>
          <w:rFonts w:hint="eastAsia" w:ascii="Times New Roman" w:hAnsi="Times New Roman" w:cs="Times New Roman" w:eastAsiaTheme="minorEastAsia"/>
          <w:color w:val="auto"/>
          <w:kern w:val="2"/>
          <w:sz w:val="24"/>
          <w:szCs w:val="24"/>
          <w:highlight w:val="none"/>
          <w:lang w:val="en-US" w:eastAsia="zh-CN" w:bidi="ar-SA"/>
        </w:rPr>
        <w:t>利用大气环评专业辅助系统（EIAProA2018）大气预测软件，采用AERSCREEN模型计算。《环境影响评价技术导则大气环境》（HJ2.2-2018）附录B6.1：“当项目周边3km半径范围内一半以上面积属于城市建成区或者规划区时，选择城市，否则选择农村。”</w:t>
      </w:r>
    </w:p>
    <w:p w14:paraId="35FAEE4B">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 xml:space="preserve">表2-5-3 </w:t>
      </w:r>
      <w:r>
        <w:rPr>
          <w:rFonts w:hint="default" w:ascii="Times New Roman" w:hAnsi="Times New Roman" w:eastAsia="宋体" w:cs="Times New Roman"/>
          <w:b/>
          <w:bCs/>
          <w:color w:val="auto"/>
          <w:kern w:val="0"/>
          <w:sz w:val="24"/>
          <w:szCs w:val="24"/>
          <w:highlight w:val="none"/>
          <w:lang w:val="en-US" w:eastAsia="zh-CN" w:bidi="ar"/>
        </w:rPr>
        <w:t>估算模型参数表</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50"/>
        <w:gridCol w:w="3954"/>
        <w:gridCol w:w="1909"/>
      </w:tblGrid>
      <w:tr w14:paraId="4ED36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5" w:hRule="atLeast"/>
          <w:tblHeader/>
          <w:jc w:val="center"/>
        </w:trPr>
        <w:tc>
          <w:tcPr>
            <w:tcW w:w="3878" w:type="pct"/>
            <w:gridSpan w:val="2"/>
            <w:tcBorders>
              <w:tl2br w:val="nil"/>
              <w:tr2bl w:val="nil"/>
            </w:tcBorders>
            <w:noWrap w:val="0"/>
            <w:vAlign w:val="center"/>
          </w:tcPr>
          <w:p w14:paraId="1FB7AD6F">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参数</w:t>
            </w:r>
          </w:p>
        </w:tc>
        <w:tc>
          <w:tcPr>
            <w:tcW w:w="1121" w:type="pct"/>
            <w:tcBorders>
              <w:tl2br w:val="nil"/>
              <w:tr2bl w:val="nil"/>
            </w:tcBorders>
            <w:noWrap w:val="0"/>
            <w:vAlign w:val="center"/>
          </w:tcPr>
          <w:p w14:paraId="342914E1">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取值</w:t>
            </w:r>
          </w:p>
        </w:tc>
      </w:tr>
      <w:tr w14:paraId="676FF7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556" w:type="pct"/>
            <w:vMerge w:val="restart"/>
            <w:tcBorders>
              <w:tl2br w:val="nil"/>
              <w:tr2bl w:val="nil"/>
            </w:tcBorders>
            <w:noWrap w:val="0"/>
            <w:vAlign w:val="center"/>
          </w:tcPr>
          <w:p w14:paraId="55B135AB">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城市农村/选项</w:t>
            </w:r>
          </w:p>
        </w:tc>
        <w:tc>
          <w:tcPr>
            <w:tcW w:w="2322" w:type="pct"/>
            <w:tcBorders>
              <w:tl2br w:val="nil"/>
              <w:tr2bl w:val="nil"/>
            </w:tcBorders>
            <w:noWrap w:val="0"/>
            <w:vAlign w:val="center"/>
          </w:tcPr>
          <w:p w14:paraId="529D3FA1">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城市/农村</w:t>
            </w:r>
          </w:p>
        </w:tc>
        <w:tc>
          <w:tcPr>
            <w:tcW w:w="1121" w:type="pct"/>
            <w:tcBorders>
              <w:tl2br w:val="nil"/>
              <w:tr2bl w:val="nil"/>
            </w:tcBorders>
            <w:noWrap w:val="0"/>
            <w:vAlign w:val="center"/>
          </w:tcPr>
          <w:p w14:paraId="1159BA81">
            <w:pPr>
              <w:keepNext w:val="0"/>
              <w:keepLines w:val="0"/>
              <w:pageBreakBefore w:val="0"/>
              <w:kinsoku/>
              <w:wordWrap/>
              <w:overflowPunct/>
              <w:topLinePunct w:val="0"/>
              <w:autoSpaceDE/>
              <w:autoSpaceDN/>
              <w:bidi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城市</w:t>
            </w:r>
          </w:p>
        </w:tc>
      </w:tr>
      <w:tr w14:paraId="5CB62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556" w:type="pct"/>
            <w:vMerge w:val="continue"/>
            <w:tcBorders>
              <w:tl2br w:val="nil"/>
              <w:tr2bl w:val="nil"/>
            </w:tcBorders>
            <w:noWrap w:val="0"/>
            <w:vAlign w:val="center"/>
          </w:tcPr>
          <w:p w14:paraId="550C42FE">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058FFD15">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人口数（城市人口数）</w:t>
            </w:r>
          </w:p>
        </w:tc>
        <w:tc>
          <w:tcPr>
            <w:tcW w:w="1121" w:type="pct"/>
            <w:tcBorders>
              <w:tl2br w:val="nil"/>
              <w:tr2bl w:val="nil"/>
            </w:tcBorders>
            <w:noWrap w:val="0"/>
            <w:vAlign w:val="center"/>
          </w:tcPr>
          <w:p w14:paraId="0C1D2F18">
            <w:pPr>
              <w:keepNext w:val="0"/>
              <w:keepLines w:val="0"/>
              <w:pageBreakBefore w:val="0"/>
              <w:kinsoku/>
              <w:wordWrap/>
              <w:overflowPunct/>
              <w:topLinePunct w:val="0"/>
              <w:autoSpaceDE/>
              <w:autoSpaceDN/>
              <w:bidi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200000</w:t>
            </w:r>
          </w:p>
        </w:tc>
      </w:tr>
      <w:tr w14:paraId="0403E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 w:hRule="atLeast"/>
          <w:jc w:val="center"/>
        </w:trPr>
        <w:tc>
          <w:tcPr>
            <w:tcW w:w="3878" w:type="pct"/>
            <w:gridSpan w:val="2"/>
            <w:tcBorders>
              <w:tl2br w:val="nil"/>
              <w:tr2bl w:val="nil"/>
            </w:tcBorders>
            <w:noWrap w:val="0"/>
            <w:vAlign w:val="center"/>
          </w:tcPr>
          <w:p w14:paraId="7E597364">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最高环境温度（℃）</w:t>
            </w:r>
          </w:p>
        </w:tc>
        <w:tc>
          <w:tcPr>
            <w:tcW w:w="1121" w:type="pct"/>
            <w:tcBorders>
              <w:tl2br w:val="nil"/>
              <w:tr2bl w:val="nil"/>
            </w:tcBorders>
            <w:noWrap w:val="0"/>
            <w:vAlign w:val="center"/>
          </w:tcPr>
          <w:p w14:paraId="1849B7FD">
            <w:pPr>
              <w:keepNext w:val="0"/>
              <w:keepLines w:val="0"/>
              <w:pageBreakBefore w:val="0"/>
              <w:kinsoku/>
              <w:wordWrap/>
              <w:overflowPunct/>
              <w:topLinePunct w:val="0"/>
              <w:autoSpaceDE/>
              <w:autoSpaceDN/>
              <w:bidi w:val="0"/>
              <w:adjustRightIn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39.3</w:t>
            </w:r>
          </w:p>
        </w:tc>
      </w:tr>
      <w:tr w14:paraId="720E9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3878" w:type="pct"/>
            <w:gridSpan w:val="2"/>
            <w:tcBorders>
              <w:tl2br w:val="nil"/>
              <w:tr2bl w:val="nil"/>
            </w:tcBorders>
            <w:noWrap w:val="0"/>
            <w:vAlign w:val="center"/>
          </w:tcPr>
          <w:p w14:paraId="770FB315">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最低环境温度（℃）</w:t>
            </w:r>
          </w:p>
        </w:tc>
        <w:tc>
          <w:tcPr>
            <w:tcW w:w="1121" w:type="pct"/>
            <w:tcBorders>
              <w:tl2br w:val="nil"/>
              <w:tr2bl w:val="nil"/>
            </w:tcBorders>
            <w:noWrap w:val="0"/>
            <w:vAlign w:val="center"/>
          </w:tcPr>
          <w:p w14:paraId="2C28BCC7">
            <w:pPr>
              <w:keepNext w:val="0"/>
              <w:keepLines w:val="0"/>
              <w:pageBreakBefore w:val="0"/>
              <w:kinsoku/>
              <w:wordWrap/>
              <w:overflowPunct/>
              <w:topLinePunct w:val="0"/>
              <w:autoSpaceDE/>
              <w:autoSpaceDN/>
              <w:bidi w:val="0"/>
              <w:adjustRightIn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r>
              <w:rPr>
                <w:rFonts w:hint="eastAsia" w:ascii="Times New Roman" w:hAnsi="Times New Roman" w:cs="Times New Roman"/>
                <w:color w:val="auto"/>
                <w:sz w:val="21"/>
                <w:szCs w:val="21"/>
                <w:highlight w:val="none"/>
                <w:u w:val="none" w:color="auto"/>
                <w:lang w:val="en-US" w:eastAsia="zh-CN"/>
              </w:rPr>
              <w:t>11.8</w:t>
            </w:r>
          </w:p>
        </w:tc>
      </w:tr>
      <w:tr w14:paraId="7671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3878" w:type="pct"/>
            <w:gridSpan w:val="2"/>
            <w:tcBorders>
              <w:tl2br w:val="nil"/>
              <w:tr2bl w:val="nil"/>
            </w:tcBorders>
            <w:noWrap w:val="0"/>
            <w:vAlign w:val="center"/>
          </w:tcPr>
          <w:p w14:paraId="35790C44">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土地利用类型</w:t>
            </w:r>
          </w:p>
        </w:tc>
        <w:tc>
          <w:tcPr>
            <w:tcW w:w="1121" w:type="pct"/>
            <w:tcBorders>
              <w:tl2br w:val="nil"/>
              <w:tr2bl w:val="nil"/>
            </w:tcBorders>
            <w:noWrap w:val="0"/>
            <w:vAlign w:val="center"/>
          </w:tcPr>
          <w:p w14:paraId="3A23CD7F">
            <w:pPr>
              <w:keepNext w:val="0"/>
              <w:keepLines w:val="0"/>
              <w:pageBreakBefore w:val="0"/>
              <w:kinsoku/>
              <w:wordWrap/>
              <w:overflowPunct/>
              <w:topLinePunct w:val="0"/>
              <w:autoSpaceDE/>
              <w:autoSpaceDN/>
              <w:bidi w:val="0"/>
              <w:adjustRightIn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城市</w:t>
            </w:r>
          </w:p>
        </w:tc>
      </w:tr>
      <w:tr w14:paraId="6D294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3878" w:type="pct"/>
            <w:gridSpan w:val="2"/>
            <w:tcBorders>
              <w:tl2br w:val="nil"/>
              <w:tr2bl w:val="nil"/>
            </w:tcBorders>
            <w:noWrap w:val="0"/>
            <w:vAlign w:val="center"/>
          </w:tcPr>
          <w:p w14:paraId="0233ED2F">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区域湿度条件</w:t>
            </w:r>
          </w:p>
        </w:tc>
        <w:tc>
          <w:tcPr>
            <w:tcW w:w="1121" w:type="pct"/>
            <w:tcBorders>
              <w:tl2br w:val="nil"/>
              <w:tr2bl w:val="nil"/>
            </w:tcBorders>
            <w:noWrap w:val="0"/>
            <w:vAlign w:val="center"/>
          </w:tcPr>
          <w:p w14:paraId="235DD506">
            <w:pPr>
              <w:keepNext w:val="0"/>
              <w:keepLines w:val="0"/>
              <w:pageBreakBefore w:val="0"/>
              <w:kinsoku/>
              <w:wordWrap/>
              <w:overflowPunct/>
              <w:topLinePunct w:val="0"/>
              <w:autoSpaceDE/>
              <w:autoSpaceDN/>
              <w:bidi w:val="0"/>
              <w:adjustRightInd w:val="0"/>
              <w:spacing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潮湿气候</w:t>
            </w:r>
          </w:p>
        </w:tc>
      </w:tr>
      <w:tr w14:paraId="7AFD7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6" w:type="pct"/>
            <w:vMerge w:val="restart"/>
            <w:tcBorders>
              <w:tl2br w:val="nil"/>
              <w:tr2bl w:val="nil"/>
            </w:tcBorders>
            <w:noWrap w:val="0"/>
            <w:vAlign w:val="center"/>
          </w:tcPr>
          <w:p w14:paraId="1F192CBE">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是否考虑地形</w:t>
            </w:r>
          </w:p>
        </w:tc>
        <w:tc>
          <w:tcPr>
            <w:tcW w:w="2322" w:type="pct"/>
            <w:tcBorders>
              <w:tl2br w:val="nil"/>
              <w:tr2bl w:val="nil"/>
            </w:tcBorders>
            <w:noWrap w:val="0"/>
            <w:vAlign w:val="center"/>
          </w:tcPr>
          <w:p w14:paraId="0A1A4F77">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考虑地形</w:t>
            </w:r>
          </w:p>
        </w:tc>
        <w:tc>
          <w:tcPr>
            <w:tcW w:w="1121" w:type="pct"/>
            <w:tcBorders>
              <w:tl2br w:val="nil"/>
              <w:tr2bl w:val="nil"/>
            </w:tcBorders>
            <w:noWrap w:val="0"/>
            <w:vAlign w:val="center"/>
          </w:tcPr>
          <w:p w14:paraId="60F3E775">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w:t>
            </w:r>
          </w:p>
        </w:tc>
      </w:tr>
      <w:tr w14:paraId="1CE42F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556" w:type="pct"/>
            <w:vMerge w:val="continue"/>
            <w:tcBorders>
              <w:tl2br w:val="nil"/>
              <w:tr2bl w:val="nil"/>
            </w:tcBorders>
            <w:noWrap w:val="0"/>
            <w:vAlign w:val="center"/>
          </w:tcPr>
          <w:p w14:paraId="3722E06B">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1E312C0F">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地形数据分辨率（m）</w:t>
            </w:r>
          </w:p>
        </w:tc>
        <w:tc>
          <w:tcPr>
            <w:tcW w:w="1121" w:type="pct"/>
            <w:tcBorders>
              <w:tl2br w:val="nil"/>
              <w:tr2bl w:val="nil"/>
            </w:tcBorders>
            <w:noWrap w:val="0"/>
            <w:vAlign w:val="center"/>
          </w:tcPr>
          <w:p w14:paraId="180C3376">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w:t>
            </w:r>
          </w:p>
        </w:tc>
      </w:tr>
      <w:tr w14:paraId="58874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556" w:type="pct"/>
            <w:vMerge w:val="restart"/>
            <w:tcBorders>
              <w:tl2br w:val="nil"/>
              <w:tr2bl w:val="nil"/>
            </w:tcBorders>
            <w:noWrap w:val="0"/>
            <w:vAlign w:val="center"/>
          </w:tcPr>
          <w:p w14:paraId="521CC39E">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是否考虑海岸线熏烟</w:t>
            </w:r>
          </w:p>
        </w:tc>
        <w:tc>
          <w:tcPr>
            <w:tcW w:w="2322" w:type="pct"/>
            <w:tcBorders>
              <w:tl2br w:val="nil"/>
              <w:tr2bl w:val="nil"/>
            </w:tcBorders>
            <w:noWrap w:val="0"/>
            <w:vAlign w:val="center"/>
          </w:tcPr>
          <w:p w14:paraId="3DAA6891">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考虑海岸线熏烟</w:t>
            </w:r>
          </w:p>
        </w:tc>
        <w:tc>
          <w:tcPr>
            <w:tcW w:w="1121" w:type="pct"/>
            <w:tcBorders>
              <w:tl2br w:val="nil"/>
              <w:tr2bl w:val="nil"/>
            </w:tcBorders>
            <w:noWrap w:val="0"/>
            <w:vAlign w:val="center"/>
          </w:tcPr>
          <w:p w14:paraId="564553F4">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否</w:t>
            </w:r>
          </w:p>
        </w:tc>
      </w:tr>
      <w:tr w14:paraId="7285A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556" w:type="pct"/>
            <w:vMerge w:val="continue"/>
            <w:tcBorders>
              <w:tl2br w:val="nil"/>
              <w:tr2bl w:val="nil"/>
            </w:tcBorders>
            <w:noWrap w:val="0"/>
            <w:vAlign w:val="center"/>
          </w:tcPr>
          <w:p w14:paraId="75306A1F">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0E08051D">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海岸线距离/km</w:t>
            </w:r>
          </w:p>
        </w:tc>
        <w:tc>
          <w:tcPr>
            <w:tcW w:w="1121" w:type="pct"/>
            <w:tcBorders>
              <w:tl2br w:val="nil"/>
              <w:tr2bl w:val="nil"/>
            </w:tcBorders>
            <w:noWrap w:val="0"/>
            <w:vAlign w:val="center"/>
          </w:tcPr>
          <w:p w14:paraId="4B8B0A2A">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503D4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1556" w:type="pct"/>
            <w:vMerge w:val="continue"/>
            <w:tcBorders>
              <w:tl2br w:val="nil"/>
              <w:tr2bl w:val="nil"/>
            </w:tcBorders>
            <w:noWrap w:val="0"/>
            <w:vAlign w:val="center"/>
          </w:tcPr>
          <w:p w14:paraId="448F648A">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1FD5F5CC">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岸线方向/ °</w:t>
            </w:r>
          </w:p>
        </w:tc>
        <w:tc>
          <w:tcPr>
            <w:tcW w:w="1121" w:type="pct"/>
            <w:tcBorders>
              <w:tl2br w:val="nil"/>
              <w:tr2bl w:val="nil"/>
            </w:tcBorders>
            <w:noWrap w:val="0"/>
            <w:vAlign w:val="center"/>
          </w:tcPr>
          <w:p w14:paraId="7BBADE5E">
            <w:pPr>
              <w:pStyle w:val="49"/>
              <w:keepNext w:val="0"/>
              <w:keepLines w:val="0"/>
              <w:pageBreakBefore w:val="0"/>
              <w:kinsoku/>
              <w:wordWrap/>
              <w:overflowPunct/>
              <w:topLinePunct w:val="0"/>
              <w:autoSpaceDE/>
              <w:autoSpaceDN/>
              <w:bidi w:val="0"/>
              <w:adjustRightInd/>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bl>
    <w:p w14:paraId="617DB8E5">
      <w:pPr>
        <w:pStyle w:val="2"/>
        <w:spacing w:before="115" w:line="360" w:lineRule="auto"/>
        <w:ind w:left="174" w:right="156" w:firstLine="472"/>
        <w:rPr>
          <w:highlight w:val="none"/>
        </w:rPr>
      </w:pPr>
      <w:r>
        <w:rPr>
          <w:rFonts w:hint="eastAsia" w:ascii="Times New Roman" w:hAnsi="Times New Roman" w:eastAsia="宋体" w:cs="Times New Roman"/>
          <w:b w:val="0"/>
          <w:spacing w:val="1"/>
          <w:kern w:val="0"/>
          <w:sz w:val="24"/>
          <w:szCs w:val="20"/>
          <w:highlight w:val="none"/>
          <w:lang w:val="en-US" w:eastAsia="zh-CN" w:bidi="ar-SA"/>
        </w:rPr>
        <w:t>本项目主要废气污染源为</w:t>
      </w:r>
      <w:r>
        <w:rPr>
          <w:rFonts w:hint="eastAsia" w:ascii="Times New Roman" w:hAnsi="Times New Roman" w:cs="Times New Roman"/>
          <w:b w:val="0"/>
          <w:spacing w:val="1"/>
          <w:kern w:val="0"/>
          <w:sz w:val="24"/>
          <w:szCs w:val="20"/>
          <w:highlight w:val="none"/>
          <w:lang w:val="en-US" w:eastAsia="zh-CN" w:bidi="ar-SA"/>
        </w:rPr>
        <w:t>助剂粉剂冷却下料时</w:t>
      </w:r>
      <w:r>
        <w:rPr>
          <w:rFonts w:hint="eastAsia" w:ascii="Times New Roman" w:hAnsi="Times New Roman" w:eastAsia="宋体" w:cs="Times New Roman"/>
          <w:b w:val="0"/>
          <w:spacing w:val="1"/>
          <w:kern w:val="0"/>
          <w:sz w:val="24"/>
          <w:szCs w:val="20"/>
          <w:highlight w:val="none"/>
          <w:lang w:val="en-US" w:eastAsia="zh-CN" w:bidi="ar-SA"/>
        </w:rPr>
        <w:t>产生的有机废气</w:t>
      </w:r>
      <w:r>
        <w:rPr>
          <w:rFonts w:hint="eastAsia" w:ascii="Times New Roman" w:hAnsi="Times New Roman" w:cs="Times New Roman"/>
          <w:b w:val="0"/>
          <w:spacing w:val="1"/>
          <w:kern w:val="0"/>
          <w:sz w:val="24"/>
          <w:szCs w:val="20"/>
          <w:highlight w:val="none"/>
          <w:lang w:val="en-US" w:eastAsia="zh-CN" w:bidi="ar-SA"/>
        </w:rPr>
        <w:t>和项目投料及打粉阶段产生的粉尘，根据6.2.2</w:t>
      </w:r>
      <w:r>
        <w:rPr>
          <w:spacing w:val="-1"/>
          <w:highlight w:val="none"/>
        </w:rPr>
        <w:t>章节预测结果可知，预测及评价工作定级详见表</w:t>
      </w:r>
      <w:r>
        <w:rPr>
          <w:spacing w:val="-53"/>
          <w:highlight w:val="none"/>
        </w:rPr>
        <w:t xml:space="preserve"> </w:t>
      </w:r>
      <w:r>
        <w:rPr>
          <w:rFonts w:ascii="Times New Roman" w:hAnsi="Times New Roman" w:eastAsia="Times New Roman" w:cs="Times New Roman"/>
          <w:spacing w:val="-1"/>
          <w:highlight w:val="none"/>
        </w:rPr>
        <w:t>2.</w:t>
      </w:r>
      <w:r>
        <w:rPr>
          <w:rFonts w:hint="eastAsia" w:eastAsia="宋体" w:cs="Times New Roman"/>
          <w:spacing w:val="-1"/>
          <w:highlight w:val="none"/>
          <w:lang w:val="en-US" w:eastAsia="zh-CN"/>
        </w:rPr>
        <w:t>5</w:t>
      </w:r>
      <w:r>
        <w:rPr>
          <w:rFonts w:ascii="Times New Roman" w:hAnsi="Times New Roman" w:eastAsia="Times New Roman" w:cs="Times New Roman"/>
          <w:spacing w:val="-1"/>
          <w:highlight w:val="none"/>
        </w:rPr>
        <w:t>-</w:t>
      </w:r>
      <w:r>
        <w:rPr>
          <w:rFonts w:hint="eastAsia" w:eastAsia="宋体" w:cs="Times New Roman"/>
          <w:spacing w:val="-1"/>
          <w:highlight w:val="none"/>
          <w:lang w:val="en-US" w:eastAsia="zh-CN"/>
        </w:rPr>
        <w:t>4</w:t>
      </w:r>
      <w:r>
        <w:rPr>
          <w:spacing w:val="-1"/>
          <w:highlight w:val="none"/>
        </w:rPr>
        <w:t>。</w:t>
      </w:r>
    </w:p>
    <w:p w14:paraId="26A9E1C9">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表2.5-4   各污染物预测及评价工作定级表</w:t>
      </w:r>
    </w:p>
    <w:tbl>
      <w:tblPr>
        <w:tblStyle w:val="37"/>
        <w:tblW w:w="5043"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66"/>
        <w:gridCol w:w="1207"/>
        <w:gridCol w:w="1440"/>
        <w:gridCol w:w="1554"/>
        <w:gridCol w:w="1230"/>
        <w:gridCol w:w="1890"/>
      </w:tblGrid>
      <w:tr w14:paraId="3C716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635" w:type="pct"/>
            <w:tcBorders>
              <w:tl2br w:val="nil"/>
              <w:tr2bl w:val="nil"/>
            </w:tcBorders>
            <w:vAlign w:val="center"/>
          </w:tcPr>
          <w:p w14:paraId="3E653B0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4"/>
                <w:sz w:val="21"/>
                <w:szCs w:val="21"/>
                <w:highlight w:val="none"/>
              </w:rPr>
              <w:t>类别</w:t>
            </w:r>
          </w:p>
        </w:tc>
        <w:tc>
          <w:tcPr>
            <w:tcW w:w="719" w:type="pct"/>
            <w:tcBorders>
              <w:tl2br w:val="nil"/>
              <w:tr2bl w:val="nil"/>
            </w:tcBorders>
            <w:vAlign w:val="center"/>
          </w:tcPr>
          <w:p w14:paraId="31F2F4F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污染源</w:t>
            </w:r>
          </w:p>
        </w:tc>
        <w:tc>
          <w:tcPr>
            <w:tcW w:w="858" w:type="pct"/>
            <w:tcBorders>
              <w:tl2br w:val="nil"/>
              <w:tr2bl w:val="nil"/>
            </w:tcBorders>
            <w:vAlign w:val="center"/>
          </w:tcPr>
          <w:p w14:paraId="306F240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6"/>
                <w:sz w:val="21"/>
                <w:szCs w:val="21"/>
                <w:highlight w:val="none"/>
              </w:rPr>
              <w:t>污染物</w:t>
            </w:r>
          </w:p>
        </w:tc>
        <w:tc>
          <w:tcPr>
            <w:tcW w:w="926" w:type="pct"/>
            <w:tcBorders>
              <w:tl2br w:val="nil"/>
              <w:tr2bl w:val="nil"/>
            </w:tcBorders>
            <w:vAlign w:val="center"/>
          </w:tcPr>
          <w:p w14:paraId="1BEE8F3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7"/>
                <w:sz w:val="21"/>
                <w:szCs w:val="21"/>
                <w:highlight w:val="none"/>
              </w:rPr>
              <w:t>最大落地浓度</w:t>
            </w:r>
            <w:r>
              <w:rPr>
                <w:rFonts w:hint="default" w:ascii="Times New Roman" w:hAnsi="Times New Roman" w:eastAsia="宋体" w:cs="Times New Roman"/>
                <w:b w:val="0"/>
                <w:bCs w:val="0"/>
                <w:color w:val="auto"/>
                <w:spacing w:val="7"/>
                <w:sz w:val="21"/>
                <w:szCs w:val="21"/>
                <w:highlight w:val="none"/>
                <w:lang w:eastAsia="zh-CN"/>
              </w:rPr>
              <w:t>（</w:t>
            </w:r>
            <w:r>
              <w:rPr>
                <w:rFonts w:hint="default" w:ascii="Times New Roman" w:hAnsi="Times New Roman" w:eastAsia="宋体" w:cs="Times New Roman"/>
                <w:b w:val="0"/>
                <w:bCs w:val="0"/>
                <w:color w:val="auto"/>
                <w:sz w:val="21"/>
                <w:szCs w:val="21"/>
                <w:highlight w:val="none"/>
              </w:rPr>
              <w:t>μg/m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pacing w:val="7"/>
                <w:sz w:val="21"/>
                <w:szCs w:val="21"/>
                <w:highlight w:val="none"/>
                <w:lang w:eastAsia="zh-CN"/>
              </w:rPr>
              <w:t>）</w:t>
            </w:r>
          </w:p>
        </w:tc>
        <w:tc>
          <w:tcPr>
            <w:tcW w:w="733" w:type="pct"/>
            <w:tcBorders>
              <w:tl2br w:val="nil"/>
              <w:tr2bl w:val="nil"/>
            </w:tcBorders>
            <w:vAlign w:val="center"/>
          </w:tcPr>
          <w:p w14:paraId="5CC567C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最大占标率</w:t>
            </w:r>
            <w:r>
              <w:rPr>
                <w:rFonts w:hint="default" w:ascii="Times New Roman" w:hAnsi="Times New Roman" w:eastAsia="宋体" w:cs="Times New Roman"/>
                <w:b w:val="0"/>
                <w:bCs w:val="0"/>
                <w:color w:val="auto"/>
                <w:spacing w:val="2"/>
                <w:sz w:val="21"/>
                <w:szCs w:val="21"/>
                <w:highlight w:val="none"/>
              </w:rPr>
              <w:t xml:space="preserve"> </w:t>
            </w:r>
            <w:r>
              <w:rPr>
                <w:rFonts w:hint="default" w:ascii="Times New Roman" w:hAnsi="Times New Roman" w:eastAsia="宋体" w:cs="Times New Roman"/>
                <w:b w:val="0"/>
                <w:bCs w:val="0"/>
                <w:color w:val="auto"/>
                <w:sz w:val="21"/>
                <w:szCs w:val="21"/>
                <w:highlight w:val="none"/>
              </w:rPr>
              <w:t>Pmax</w:t>
            </w:r>
            <w:r>
              <w:rPr>
                <w:rFonts w:hint="default" w:ascii="Times New Roman" w:hAnsi="Times New Roman" w:eastAsia="宋体" w:cs="Times New Roman"/>
                <w:b w:val="0"/>
                <w:bCs w:val="0"/>
                <w:color w:val="auto"/>
                <w:spacing w:val="8"/>
                <w:sz w:val="21"/>
                <w:szCs w:val="21"/>
                <w:highlight w:val="none"/>
              </w:rPr>
              <w:t>（%）</w:t>
            </w:r>
          </w:p>
        </w:tc>
        <w:tc>
          <w:tcPr>
            <w:tcW w:w="1126" w:type="pct"/>
            <w:tcBorders>
              <w:tl2br w:val="nil"/>
              <w:tr2bl w:val="nil"/>
            </w:tcBorders>
            <w:vAlign w:val="center"/>
          </w:tcPr>
          <w:p w14:paraId="75952B0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pacing w:val="7"/>
                <w:sz w:val="21"/>
                <w:szCs w:val="21"/>
                <w:highlight w:val="none"/>
              </w:rPr>
              <w:t>下风向最大浓度出</w:t>
            </w:r>
            <w:r>
              <w:rPr>
                <w:rFonts w:hint="default" w:ascii="Times New Roman" w:hAnsi="Times New Roman" w:eastAsia="宋体" w:cs="Times New Roman"/>
                <w:b w:val="0"/>
                <w:bCs w:val="0"/>
                <w:color w:val="auto"/>
                <w:spacing w:val="6"/>
                <w:sz w:val="21"/>
                <w:szCs w:val="21"/>
                <w:highlight w:val="none"/>
              </w:rPr>
              <w:t xml:space="preserve"> 现距离</w:t>
            </w:r>
            <w:r>
              <w:rPr>
                <w:rFonts w:hint="default" w:ascii="Times New Roman" w:hAnsi="Times New Roman" w:eastAsia="宋体" w:cs="Times New Roman"/>
                <w:b w:val="0"/>
                <w:bCs w:val="0"/>
                <w:color w:val="auto"/>
                <w:spacing w:val="-46"/>
                <w:sz w:val="21"/>
                <w:szCs w:val="21"/>
                <w:highlight w:val="none"/>
              </w:rPr>
              <w:t xml:space="preserve"> </w:t>
            </w:r>
            <w:r>
              <w:rPr>
                <w:rFonts w:hint="default" w:ascii="Times New Roman" w:hAnsi="Times New Roman" w:eastAsia="宋体" w:cs="Times New Roman"/>
                <w:b w:val="0"/>
                <w:bCs w:val="0"/>
                <w:color w:val="auto"/>
                <w:spacing w:val="6"/>
                <w:sz w:val="21"/>
                <w:szCs w:val="21"/>
                <w:highlight w:val="none"/>
              </w:rPr>
              <w:t>m</w:t>
            </w:r>
          </w:p>
        </w:tc>
      </w:tr>
      <w:tr w14:paraId="178C3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635" w:type="pct"/>
            <w:tcBorders>
              <w:tl2br w:val="nil"/>
              <w:tr2bl w:val="nil"/>
            </w:tcBorders>
            <w:vAlign w:val="center"/>
          </w:tcPr>
          <w:p w14:paraId="742BE6D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4"/>
                <w:sz w:val="21"/>
                <w:szCs w:val="21"/>
                <w:highlight w:val="none"/>
                <w:lang w:val="en-US" w:eastAsia="zh-CN"/>
              </w:rPr>
            </w:pPr>
            <w:r>
              <w:rPr>
                <w:rFonts w:hint="default" w:ascii="Times New Roman" w:hAnsi="Times New Roman" w:eastAsia="宋体" w:cs="Times New Roman"/>
                <w:b w:val="0"/>
                <w:bCs w:val="0"/>
                <w:color w:val="auto"/>
                <w:spacing w:val="4"/>
                <w:sz w:val="21"/>
                <w:szCs w:val="21"/>
                <w:highlight w:val="none"/>
                <w:lang w:val="en-US" w:eastAsia="zh-CN"/>
              </w:rPr>
              <w:t>有组织</w:t>
            </w:r>
          </w:p>
        </w:tc>
        <w:tc>
          <w:tcPr>
            <w:tcW w:w="719" w:type="pct"/>
            <w:tcBorders>
              <w:tl2br w:val="nil"/>
              <w:tr2bl w:val="nil"/>
            </w:tcBorders>
            <w:vAlign w:val="center"/>
          </w:tcPr>
          <w:p w14:paraId="4AD6E1E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DA001</w:t>
            </w:r>
          </w:p>
        </w:tc>
        <w:tc>
          <w:tcPr>
            <w:tcW w:w="858" w:type="pct"/>
            <w:tcBorders>
              <w:tl2br w:val="nil"/>
              <w:tr2bl w:val="nil"/>
            </w:tcBorders>
            <w:vAlign w:val="center"/>
          </w:tcPr>
          <w:p w14:paraId="702F662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6"/>
                <w:sz w:val="21"/>
                <w:szCs w:val="21"/>
                <w:highlight w:val="none"/>
              </w:rPr>
            </w:pPr>
            <w:r>
              <w:rPr>
                <w:rFonts w:hint="default" w:ascii="Times New Roman" w:hAnsi="Times New Roman" w:eastAsia="宋体" w:cs="Times New Roman"/>
                <w:b w:val="0"/>
                <w:bCs w:val="0"/>
                <w:color w:val="auto"/>
                <w:spacing w:val="4"/>
                <w:sz w:val="21"/>
                <w:szCs w:val="21"/>
                <w:highlight w:val="none"/>
              </w:rPr>
              <w:t>TVOC</w:t>
            </w:r>
          </w:p>
        </w:tc>
        <w:tc>
          <w:tcPr>
            <w:tcW w:w="1556" w:type="dxa"/>
            <w:tcBorders>
              <w:tl2br w:val="nil"/>
              <w:tr2bl w:val="nil"/>
            </w:tcBorders>
            <w:shd w:val="clear" w:color="auto" w:fill="auto"/>
            <w:vAlign w:val="center"/>
          </w:tcPr>
          <w:p w14:paraId="606A268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2.21E+00</w:t>
            </w:r>
          </w:p>
        </w:tc>
        <w:tc>
          <w:tcPr>
            <w:tcW w:w="1232" w:type="dxa"/>
            <w:tcBorders>
              <w:tl2br w:val="nil"/>
              <w:tr2bl w:val="nil"/>
            </w:tcBorders>
            <w:vAlign w:val="center"/>
          </w:tcPr>
          <w:p w14:paraId="7E16B7B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0.18</w:t>
            </w:r>
          </w:p>
        </w:tc>
        <w:tc>
          <w:tcPr>
            <w:tcW w:w="1126" w:type="pct"/>
            <w:tcBorders>
              <w:tl2br w:val="nil"/>
              <w:tr2bl w:val="nil"/>
            </w:tcBorders>
            <w:vAlign w:val="center"/>
          </w:tcPr>
          <w:p w14:paraId="7A404EA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60</w:t>
            </w:r>
          </w:p>
        </w:tc>
      </w:tr>
      <w:tr w14:paraId="09A41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635" w:type="pct"/>
            <w:vMerge w:val="restart"/>
            <w:tcBorders>
              <w:tl2br w:val="nil"/>
              <w:tr2bl w:val="nil"/>
            </w:tcBorders>
            <w:vAlign w:val="center"/>
          </w:tcPr>
          <w:p w14:paraId="146AD0E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4"/>
                <w:sz w:val="21"/>
                <w:szCs w:val="21"/>
                <w:highlight w:val="none"/>
                <w:lang w:val="en-US" w:eastAsia="zh-CN"/>
              </w:rPr>
            </w:pPr>
            <w:r>
              <w:rPr>
                <w:rFonts w:hint="default" w:ascii="Times New Roman" w:hAnsi="Times New Roman" w:eastAsia="宋体" w:cs="Times New Roman"/>
                <w:b w:val="0"/>
                <w:bCs w:val="0"/>
                <w:color w:val="auto"/>
                <w:spacing w:val="4"/>
                <w:sz w:val="21"/>
                <w:szCs w:val="21"/>
                <w:highlight w:val="none"/>
                <w:lang w:val="en-US" w:eastAsia="zh-CN"/>
              </w:rPr>
              <w:t>无组织</w:t>
            </w:r>
          </w:p>
        </w:tc>
        <w:tc>
          <w:tcPr>
            <w:tcW w:w="719" w:type="pct"/>
            <w:tcBorders>
              <w:tl2br w:val="nil"/>
              <w:tr2bl w:val="nil"/>
            </w:tcBorders>
            <w:vAlign w:val="center"/>
          </w:tcPr>
          <w:p w14:paraId="3A1312C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eastAsia" w:ascii="Times New Roman" w:hAnsi="Times New Roman" w:cs="Times New Roman"/>
                <w:b w:val="0"/>
                <w:bCs w:val="0"/>
                <w:color w:val="auto"/>
                <w:spacing w:val="6"/>
                <w:sz w:val="21"/>
                <w:szCs w:val="21"/>
                <w:highlight w:val="none"/>
                <w:lang w:val="en-US" w:eastAsia="zh-CN"/>
              </w:rPr>
              <w:t>生产</w:t>
            </w:r>
            <w:r>
              <w:rPr>
                <w:rFonts w:hint="default" w:ascii="Times New Roman" w:hAnsi="Times New Roman" w:eastAsia="宋体" w:cs="Times New Roman"/>
                <w:b w:val="0"/>
                <w:bCs w:val="0"/>
                <w:color w:val="auto"/>
                <w:spacing w:val="6"/>
                <w:sz w:val="21"/>
                <w:szCs w:val="21"/>
                <w:highlight w:val="none"/>
                <w:lang w:val="en-US" w:eastAsia="zh-CN"/>
              </w:rPr>
              <w:t>车间</w:t>
            </w:r>
          </w:p>
        </w:tc>
        <w:tc>
          <w:tcPr>
            <w:tcW w:w="858" w:type="pct"/>
            <w:tcBorders>
              <w:tl2br w:val="nil"/>
              <w:tr2bl w:val="nil"/>
            </w:tcBorders>
            <w:vAlign w:val="center"/>
          </w:tcPr>
          <w:p w14:paraId="72C3BF5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6"/>
                <w:sz w:val="21"/>
                <w:szCs w:val="21"/>
                <w:highlight w:val="none"/>
                <w:lang w:val="en-US" w:eastAsia="zh-CN"/>
              </w:rPr>
              <w:t>TSP</w:t>
            </w:r>
          </w:p>
        </w:tc>
        <w:tc>
          <w:tcPr>
            <w:tcW w:w="1556" w:type="dxa"/>
            <w:tcBorders>
              <w:tl2br w:val="nil"/>
              <w:tr2bl w:val="nil"/>
            </w:tcBorders>
            <w:shd w:val="clear" w:color="auto" w:fill="auto"/>
            <w:vAlign w:val="center"/>
          </w:tcPr>
          <w:p w14:paraId="0F421C2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4.4541</w:t>
            </w:r>
          </w:p>
        </w:tc>
        <w:tc>
          <w:tcPr>
            <w:tcW w:w="1232" w:type="dxa"/>
            <w:tcBorders>
              <w:tl2br w:val="nil"/>
              <w:tr2bl w:val="nil"/>
            </w:tcBorders>
            <w:shd w:val="clear" w:color="auto" w:fill="auto"/>
            <w:vAlign w:val="center"/>
          </w:tcPr>
          <w:p w14:paraId="15630FC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0.49</w:t>
            </w:r>
          </w:p>
        </w:tc>
        <w:tc>
          <w:tcPr>
            <w:tcW w:w="1126" w:type="pct"/>
            <w:tcBorders>
              <w:tl2br w:val="nil"/>
              <w:tr2bl w:val="nil"/>
            </w:tcBorders>
            <w:vAlign w:val="center"/>
          </w:tcPr>
          <w:p w14:paraId="00DD6AA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34</w:t>
            </w:r>
          </w:p>
        </w:tc>
      </w:tr>
      <w:tr w14:paraId="33000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1" w:hRule="atLeast"/>
        </w:trPr>
        <w:tc>
          <w:tcPr>
            <w:tcW w:w="635" w:type="pct"/>
            <w:vMerge w:val="continue"/>
            <w:tcBorders>
              <w:tl2br w:val="nil"/>
              <w:tr2bl w:val="nil"/>
            </w:tcBorders>
            <w:vAlign w:val="center"/>
          </w:tcPr>
          <w:p w14:paraId="0E190A5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4"/>
                <w:sz w:val="21"/>
                <w:szCs w:val="21"/>
                <w:highlight w:val="none"/>
                <w:lang w:val="en-US" w:eastAsia="zh-CN"/>
              </w:rPr>
            </w:pPr>
          </w:p>
        </w:tc>
        <w:tc>
          <w:tcPr>
            <w:tcW w:w="719" w:type="pct"/>
            <w:tcBorders>
              <w:tl2br w:val="nil"/>
              <w:tr2bl w:val="nil"/>
            </w:tcBorders>
            <w:vAlign w:val="center"/>
          </w:tcPr>
          <w:p w14:paraId="1E93076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eastAsia" w:ascii="Times New Roman" w:hAnsi="Times New Roman" w:cs="Times New Roman"/>
                <w:b w:val="0"/>
                <w:bCs w:val="0"/>
                <w:color w:val="auto"/>
                <w:spacing w:val="6"/>
                <w:sz w:val="21"/>
                <w:szCs w:val="21"/>
                <w:highlight w:val="none"/>
                <w:lang w:val="en-US" w:eastAsia="zh-CN"/>
              </w:rPr>
              <w:t>生产车间</w:t>
            </w:r>
          </w:p>
        </w:tc>
        <w:tc>
          <w:tcPr>
            <w:tcW w:w="858" w:type="pct"/>
            <w:tcBorders>
              <w:tl2br w:val="nil"/>
              <w:tr2bl w:val="nil"/>
            </w:tcBorders>
            <w:vAlign w:val="center"/>
          </w:tcPr>
          <w:p w14:paraId="42CDB0A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pacing w:val="4"/>
                <w:sz w:val="21"/>
                <w:szCs w:val="21"/>
                <w:highlight w:val="none"/>
              </w:rPr>
              <w:t>TVOC</w:t>
            </w:r>
          </w:p>
        </w:tc>
        <w:tc>
          <w:tcPr>
            <w:tcW w:w="1556" w:type="dxa"/>
            <w:tcBorders>
              <w:tl2br w:val="nil"/>
              <w:tr2bl w:val="nil"/>
            </w:tcBorders>
            <w:shd w:val="clear" w:color="auto" w:fill="auto"/>
            <w:vAlign w:val="center"/>
          </w:tcPr>
          <w:p w14:paraId="45D31AD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19.43607</w:t>
            </w:r>
          </w:p>
        </w:tc>
        <w:tc>
          <w:tcPr>
            <w:tcW w:w="1232" w:type="dxa"/>
            <w:tcBorders>
              <w:tl2br w:val="nil"/>
              <w:tr2bl w:val="nil"/>
            </w:tcBorders>
            <w:shd w:val="clear" w:color="auto" w:fill="auto"/>
            <w:vAlign w:val="center"/>
          </w:tcPr>
          <w:p w14:paraId="5B76AA3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1.62</w:t>
            </w:r>
          </w:p>
        </w:tc>
        <w:tc>
          <w:tcPr>
            <w:tcW w:w="1126" w:type="pct"/>
            <w:tcBorders>
              <w:tl2br w:val="nil"/>
              <w:tr2bl w:val="nil"/>
            </w:tcBorders>
            <w:shd w:val="clear" w:color="auto" w:fill="auto"/>
            <w:vAlign w:val="center"/>
          </w:tcPr>
          <w:p w14:paraId="073B610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val="0"/>
                <w:color w:val="auto"/>
                <w:spacing w:val="7"/>
                <w:sz w:val="21"/>
                <w:szCs w:val="21"/>
                <w:highlight w:val="none"/>
                <w:lang w:val="en-US" w:eastAsia="zh-CN"/>
              </w:rPr>
            </w:pPr>
            <w:r>
              <w:rPr>
                <w:rFonts w:hint="eastAsia" w:ascii="Times New Roman" w:hAnsi="Times New Roman" w:cs="Times New Roman"/>
                <w:b w:val="0"/>
                <w:bCs w:val="0"/>
                <w:color w:val="auto"/>
                <w:spacing w:val="7"/>
                <w:sz w:val="21"/>
                <w:szCs w:val="21"/>
                <w:highlight w:val="none"/>
                <w:lang w:val="en-US" w:eastAsia="zh-CN"/>
              </w:rPr>
              <w:t>34</w:t>
            </w:r>
          </w:p>
        </w:tc>
      </w:tr>
    </w:tbl>
    <w:p w14:paraId="0EAD31F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eastAsia="宋体" w:cs="Times New Roman"/>
          <w:spacing w:val="1"/>
          <w:sz w:val="24"/>
          <w:szCs w:val="24"/>
          <w:highlight w:val="none"/>
          <w:lang w:eastAsia="zh-CN"/>
        </w:rPr>
      </w:pPr>
      <w:r>
        <w:rPr>
          <w:spacing w:val="1"/>
          <w:highlight w:val="none"/>
        </w:rPr>
        <w:t>根据《环境影响评价技术导则</w:t>
      </w:r>
      <w:r>
        <w:rPr>
          <w:rFonts w:ascii="Times New Roman" w:hAnsi="Times New Roman" w:eastAsia="Times New Roman" w:cs="Times New Roman"/>
          <w:spacing w:val="1"/>
          <w:highlight w:val="none"/>
        </w:rPr>
        <w:t>-</w:t>
      </w:r>
      <w:r>
        <w:rPr>
          <w:spacing w:val="1"/>
          <w:highlight w:val="none"/>
        </w:rPr>
        <w:t>大气环境》</w:t>
      </w:r>
      <w:r>
        <w:rPr>
          <w:rFonts w:ascii="Times New Roman" w:hAnsi="Times New Roman" w:eastAsia="Times New Roman" w:cs="Times New Roman"/>
          <w:spacing w:val="1"/>
          <w:highlight w:val="none"/>
        </w:rPr>
        <w:t>(</w:t>
      </w:r>
      <w:r>
        <w:rPr>
          <w:rFonts w:ascii="Times New Roman" w:hAnsi="Times New Roman" w:eastAsia="Times New Roman" w:cs="Times New Roman"/>
          <w:highlight w:val="none"/>
        </w:rPr>
        <w:t>HJ</w:t>
      </w:r>
      <w:r>
        <w:rPr>
          <w:rFonts w:ascii="Times New Roman" w:hAnsi="Times New Roman" w:eastAsia="Times New Roman" w:cs="Times New Roman"/>
          <w:spacing w:val="1"/>
          <w:highlight w:val="none"/>
        </w:rPr>
        <w:t>2.2-2018)</w:t>
      </w:r>
      <w:r>
        <w:rPr>
          <w:spacing w:val="1"/>
          <w:highlight w:val="none"/>
        </w:rPr>
        <w:t>中</w:t>
      </w:r>
      <w:r>
        <w:rPr>
          <w:rFonts w:ascii="Times New Roman" w:hAnsi="Times New Roman" w:eastAsia="Times New Roman" w:cs="Times New Roman"/>
          <w:spacing w:val="1"/>
          <w:highlight w:val="none"/>
        </w:rPr>
        <w:t>“5.3.3.1</w:t>
      </w:r>
      <w:r>
        <w:rPr>
          <w:spacing w:val="1"/>
          <w:highlight w:val="none"/>
        </w:rPr>
        <w:t>同一项目有多个</w:t>
      </w:r>
      <w:r>
        <w:rPr>
          <w:spacing w:val="5"/>
          <w:highlight w:val="none"/>
        </w:rPr>
        <w:t>污染源时，则按各污染源分别确定评价等级</w:t>
      </w:r>
      <w:r>
        <w:rPr>
          <w:spacing w:val="5"/>
          <w:sz w:val="24"/>
          <w:szCs w:val="24"/>
          <w:highlight w:val="none"/>
        </w:rPr>
        <w:t>，并取评价等级最高者</w:t>
      </w:r>
      <w:r>
        <w:rPr>
          <w:spacing w:val="4"/>
          <w:sz w:val="24"/>
          <w:szCs w:val="24"/>
          <w:highlight w:val="none"/>
        </w:rPr>
        <w:t>作为项目的评价等</w:t>
      </w:r>
      <w:r>
        <w:rPr>
          <w:spacing w:val="-3"/>
          <w:sz w:val="24"/>
          <w:szCs w:val="24"/>
          <w:highlight w:val="none"/>
        </w:rPr>
        <w:t>级</w:t>
      </w:r>
      <w:r>
        <w:rPr>
          <w:rFonts w:ascii="Times New Roman" w:hAnsi="Times New Roman" w:eastAsia="Times New Roman" w:cs="Times New Roman"/>
          <w:spacing w:val="-3"/>
          <w:sz w:val="24"/>
          <w:szCs w:val="24"/>
          <w:highlight w:val="none"/>
        </w:rPr>
        <w:t>”</w:t>
      </w:r>
      <w:r>
        <w:rPr>
          <w:rFonts w:ascii="Times New Roman" w:hAnsi="Times New Roman" w:eastAsia="Times New Roman" w:cs="Times New Roman"/>
          <w:spacing w:val="-22"/>
          <w:sz w:val="24"/>
          <w:szCs w:val="24"/>
          <w:highlight w:val="none"/>
        </w:rPr>
        <w:t xml:space="preserve"> </w:t>
      </w:r>
      <w:r>
        <w:rPr>
          <w:spacing w:val="-3"/>
          <w:sz w:val="24"/>
          <w:szCs w:val="24"/>
          <w:highlight w:val="none"/>
        </w:rPr>
        <w:t>，本项目最大占标率</w:t>
      </w:r>
      <w:r>
        <w:rPr>
          <w:spacing w:val="-56"/>
          <w:sz w:val="24"/>
          <w:szCs w:val="24"/>
          <w:highlight w:val="none"/>
        </w:rPr>
        <w:t xml:space="preserve"> </w:t>
      </w:r>
      <w:r>
        <w:rPr>
          <w:rFonts w:ascii="Times New Roman" w:hAnsi="Times New Roman" w:eastAsia="Times New Roman" w:cs="Times New Roman"/>
          <w:spacing w:val="1"/>
          <w:sz w:val="24"/>
          <w:szCs w:val="24"/>
          <w:highlight w:val="none"/>
        </w:rPr>
        <w:t>Pmax ＝</w:t>
      </w:r>
      <w:r>
        <w:rPr>
          <w:rFonts w:hint="eastAsia" w:ascii="Times New Roman" w:hAnsi="Times New Roman" w:cs="Times New Roman"/>
          <w:b w:val="0"/>
          <w:bCs w:val="0"/>
          <w:color w:val="auto"/>
          <w:spacing w:val="7"/>
          <w:sz w:val="24"/>
          <w:szCs w:val="24"/>
          <w:highlight w:val="none"/>
          <w:lang w:val="en-US" w:eastAsia="zh-CN"/>
        </w:rPr>
        <w:t>1.62</w:t>
      </w:r>
      <w:r>
        <w:rPr>
          <w:rFonts w:ascii="Times New Roman" w:hAnsi="Times New Roman" w:eastAsia="Times New Roman" w:cs="Times New Roman"/>
          <w:spacing w:val="1"/>
          <w:sz w:val="24"/>
          <w:szCs w:val="24"/>
          <w:highlight w:val="none"/>
        </w:rPr>
        <w:t>%</w:t>
      </w:r>
      <w:r>
        <w:rPr>
          <w:rFonts w:hint="default" w:ascii="Times New Roman" w:hAnsi="Times New Roman" w:eastAsia="宋体" w:cs="Times New Roman"/>
          <w:color w:val="auto"/>
          <w:sz w:val="24"/>
          <w:szCs w:val="24"/>
          <w:highlight w:val="none"/>
        </w:rPr>
        <w:t>＜1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ascii="Times New Roman" w:hAnsi="Times New Roman" w:eastAsia="Times New Roman" w:cs="Times New Roman"/>
          <w:spacing w:val="1"/>
          <w:sz w:val="24"/>
          <w:szCs w:val="24"/>
          <w:highlight w:val="none"/>
        </w:rPr>
        <w:t xml:space="preserve"> </w:t>
      </w:r>
      <w:r>
        <w:rPr>
          <w:rFonts w:hint="eastAsia" w:eastAsia="宋体" w:cs="Times New Roman"/>
          <w:spacing w:val="1"/>
          <w:sz w:val="24"/>
          <w:szCs w:val="24"/>
          <w:highlight w:val="none"/>
          <w:lang w:eastAsia="zh-CN"/>
        </w:rPr>
        <w:t>。</w:t>
      </w:r>
    </w:p>
    <w:p w14:paraId="0793ABFA">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ascii="Times New Roman" w:hAnsi="Times New Roman" w:eastAsia="宋体" w:cs="Times New Roman"/>
          <w:b w:val="0"/>
          <w:spacing w:val="1"/>
          <w:kern w:val="0"/>
          <w:sz w:val="24"/>
          <w:szCs w:val="20"/>
          <w:highlight w:val="none"/>
          <w:lang w:val="en-US" w:eastAsia="zh-CN" w:bidi="ar-SA"/>
        </w:rPr>
      </w:pPr>
      <w:r>
        <w:rPr>
          <w:rFonts w:hint="eastAsia" w:eastAsia="宋体" w:cs="Times New Roman"/>
          <w:spacing w:val="1"/>
          <w:sz w:val="24"/>
          <w:szCs w:val="24"/>
          <w:highlight w:val="none"/>
          <w:lang w:eastAsia="zh-CN"/>
        </w:rPr>
        <w:t>对照《湖南省“两高”项目管理目录》可知，本项目属于C2661化学试剂和助剂制造和和C2662专项化学用品制造，不涉及《湖南省“两高”项目管理目录》中列明的产品及工艺，故本项目不属于高耗能行业的多源项目或使用高污染燃料为主的多源项目，因此根据《环境影响评价技术导则 大气环境》（HJ2.2-2018），确定本项目大气环境影响评价等级为二级。</w:t>
      </w:r>
    </w:p>
    <w:p w14:paraId="4244A434">
      <w:pPr>
        <w:pStyle w:val="9"/>
        <w:bidi w:val="0"/>
        <w:rPr>
          <w:highlight w:val="none"/>
        </w:rPr>
      </w:pPr>
      <w:r>
        <w:rPr>
          <w:rFonts w:hint="eastAsia"/>
          <w:highlight w:val="none"/>
          <w:lang w:val="en-US" w:eastAsia="zh-CN"/>
        </w:rPr>
        <w:t xml:space="preserve">2.5.1.2 </w:t>
      </w:r>
      <w:r>
        <w:rPr>
          <w:highlight w:val="none"/>
        </w:rPr>
        <w:t>地表水</w:t>
      </w:r>
    </w:p>
    <w:p w14:paraId="054AAB9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3"/>
        <w:jc w:val="both"/>
        <w:textAlignment w:val="auto"/>
        <w:rPr>
          <w:spacing w:val="-2"/>
          <w:highlight w:val="none"/>
        </w:rPr>
      </w:pPr>
      <w:r>
        <w:rPr>
          <w:spacing w:val="1"/>
          <w:highlight w:val="none"/>
        </w:rPr>
        <w:t>工程分析可知，本项目</w:t>
      </w:r>
      <w:r>
        <w:rPr>
          <w:rFonts w:hint="eastAsia"/>
          <w:spacing w:val="1"/>
          <w:highlight w:val="none"/>
        </w:rPr>
        <w:t>地面清洁废水经沉淀池沉淀后同纯水制备浓水一起进入园区污水管网</w:t>
      </w:r>
      <w:r>
        <w:rPr>
          <w:rFonts w:hint="eastAsia"/>
          <w:spacing w:val="1"/>
          <w:highlight w:val="none"/>
          <w:lang w:eastAsia="zh-CN"/>
        </w:rPr>
        <w:t>，</w:t>
      </w:r>
      <w:r>
        <w:rPr>
          <w:rFonts w:hint="eastAsia"/>
          <w:spacing w:val="1"/>
          <w:highlight w:val="none"/>
        </w:rPr>
        <w:t>生活污水依托园区创新创业基地</w:t>
      </w:r>
      <w:r>
        <w:rPr>
          <w:rFonts w:hint="eastAsia"/>
          <w:spacing w:val="1"/>
          <w:highlight w:val="none"/>
          <w:lang w:val="en-US" w:eastAsia="zh-CN"/>
        </w:rPr>
        <w:t>的</w:t>
      </w:r>
      <w:r>
        <w:rPr>
          <w:rFonts w:hint="eastAsia"/>
          <w:spacing w:val="1"/>
          <w:highlight w:val="none"/>
        </w:rPr>
        <w:t>隔油池</w:t>
      </w:r>
      <w:r>
        <w:rPr>
          <w:rFonts w:hint="eastAsia"/>
          <w:spacing w:val="1"/>
          <w:highlight w:val="none"/>
          <w:lang w:val="en-US" w:eastAsia="zh-CN"/>
        </w:rPr>
        <w:t>和</w:t>
      </w:r>
      <w:r>
        <w:rPr>
          <w:rFonts w:hint="eastAsia"/>
          <w:spacing w:val="1"/>
          <w:highlight w:val="none"/>
        </w:rPr>
        <w:t>化粪池处理后经园区污水管网排入岳阳高新技术产业园区污水处理厂处理达标后排入新墙河。</w:t>
      </w:r>
      <w:r>
        <w:rPr>
          <w:rFonts w:hint="eastAsia" w:ascii="Times New Roman" w:hAnsi="Times New Roman" w:eastAsia="宋体" w:cs="Times New Roman"/>
          <w:color w:val="000000"/>
          <w:kern w:val="0"/>
          <w:sz w:val="24"/>
          <w:szCs w:val="24"/>
          <w:highlight w:val="none"/>
          <w:lang w:val="en-US" w:eastAsia="zh-CN" w:bidi="ar"/>
        </w:rPr>
        <w:t>冷却水循环利用不外排</w:t>
      </w:r>
      <w:r>
        <w:rPr>
          <w:rFonts w:hint="eastAsia" w:eastAsia="宋体" w:cs="Times New Roman"/>
          <w:color w:val="000000"/>
          <w:kern w:val="0"/>
          <w:sz w:val="24"/>
          <w:szCs w:val="24"/>
          <w:highlight w:val="none"/>
          <w:lang w:val="en-US" w:eastAsia="zh-CN" w:bidi="ar"/>
        </w:rPr>
        <w:t>，</w:t>
      </w:r>
      <w:r>
        <w:rPr>
          <w:rFonts w:hint="eastAsia" w:cs="Times New Roman"/>
          <w:color w:val="000000"/>
          <w:kern w:val="0"/>
          <w:sz w:val="24"/>
          <w:szCs w:val="24"/>
          <w:highlight w:val="none"/>
          <w:lang w:val="en-US" w:eastAsia="zh-CN" w:bidi="ar"/>
        </w:rPr>
        <w:t>设备</w:t>
      </w:r>
      <w:r>
        <w:rPr>
          <w:rFonts w:hint="eastAsia" w:ascii="Times New Roman" w:hAnsi="Times New Roman" w:eastAsia="宋体" w:cs="Times New Roman"/>
          <w:color w:val="000000"/>
          <w:kern w:val="0"/>
          <w:sz w:val="24"/>
          <w:szCs w:val="24"/>
          <w:highlight w:val="none"/>
          <w:lang w:val="en-US" w:eastAsia="zh-CN" w:bidi="ar"/>
        </w:rPr>
        <w:t>搅拌罐清洗水回用于生产不外排</w:t>
      </w:r>
      <w:r>
        <w:rPr>
          <w:rFonts w:hint="eastAsia" w:eastAsia="宋体" w:cs="Times New Roman"/>
          <w:color w:val="000000"/>
          <w:kern w:val="0"/>
          <w:sz w:val="24"/>
          <w:szCs w:val="24"/>
          <w:highlight w:val="none"/>
          <w:lang w:val="en-US" w:eastAsia="zh-CN" w:bidi="ar"/>
        </w:rPr>
        <w:t>，生产用水全部进入产品。</w:t>
      </w:r>
      <w:r>
        <w:rPr>
          <w:spacing w:val="-2"/>
          <w:highlight w:val="none"/>
        </w:rPr>
        <w:t>因此项目废水排放属于间</w:t>
      </w:r>
      <w:r>
        <w:rPr>
          <w:highlight w:val="none"/>
        </w:rPr>
        <w:t>接排放，根据《环境影响评价技术导则</w:t>
      </w:r>
      <w:r>
        <w:rPr>
          <w:rFonts w:ascii="Times New Roman" w:hAnsi="Times New Roman" w:eastAsia="Times New Roman" w:cs="Times New Roman"/>
          <w:highlight w:val="none"/>
        </w:rPr>
        <w:t>—</w:t>
      </w:r>
      <w:r>
        <w:rPr>
          <w:highlight w:val="none"/>
        </w:rPr>
        <w:t>地表水环境》（</w:t>
      </w:r>
      <w:r>
        <w:rPr>
          <w:rFonts w:ascii="Times New Roman" w:hAnsi="Times New Roman" w:eastAsia="Times New Roman" w:cs="Times New Roman"/>
          <w:highlight w:val="none"/>
        </w:rPr>
        <w:t>HJ2.3-2018</w:t>
      </w:r>
      <w:r>
        <w:rPr>
          <w:spacing w:val="6"/>
          <w:highlight w:val="none"/>
        </w:rPr>
        <w:t>），</w:t>
      </w:r>
      <w:r>
        <w:rPr>
          <w:highlight w:val="none"/>
        </w:rPr>
        <w:t>确定项目地表</w:t>
      </w:r>
      <w:r>
        <w:rPr>
          <w:spacing w:val="-2"/>
          <w:highlight w:val="none"/>
        </w:rPr>
        <w:t>水环境评价等级为三级</w:t>
      </w:r>
      <w:r>
        <w:rPr>
          <w:spacing w:val="-39"/>
          <w:highlight w:val="none"/>
        </w:rPr>
        <w:t xml:space="preserve"> </w:t>
      </w:r>
      <w:r>
        <w:rPr>
          <w:rFonts w:ascii="Times New Roman" w:hAnsi="Times New Roman" w:eastAsia="Times New Roman" w:cs="Times New Roman"/>
          <w:spacing w:val="-2"/>
          <w:highlight w:val="none"/>
        </w:rPr>
        <w:t>B</w:t>
      </w:r>
      <w:r>
        <w:rPr>
          <w:rFonts w:ascii="Times New Roman" w:hAnsi="Times New Roman" w:eastAsia="Times New Roman" w:cs="Times New Roman"/>
          <w:spacing w:val="-28"/>
          <w:highlight w:val="none"/>
        </w:rPr>
        <w:t xml:space="preserve"> </w:t>
      </w:r>
      <w:r>
        <w:rPr>
          <w:spacing w:val="-2"/>
          <w:highlight w:val="none"/>
        </w:rPr>
        <w:t>。</w:t>
      </w:r>
    </w:p>
    <w:p w14:paraId="4CDDFDD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3"/>
        <w:jc w:val="both"/>
        <w:textAlignment w:val="auto"/>
        <w:rPr>
          <w:highlight w:val="none"/>
        </w:rPr>
      </w:pPr>
      <w:r>
        <w:rPr>
          <w:rFonts w:hint="eastAsia"/>
          <w:spacing w:val="-2"/>
          <w:highlight w:val="none"/>
        </w:rPr>
        <w:t>因此本次地表水环境影响评价仅对水体环境现状简要分析，评价项目水污染控制和水环境影响减缓措施有效性，对依托的污水处理设施的环境可行性进行评价。</w:t>
      </w:r>
      <w:r>
        <w:rPr>
          <w:spacing w:val="-2"/>
          <w:highlight w:val="none"/>
        </w:rPr>
        <w:t>项目地表水环境影响评价等级判据见</w:t>
      </w:r>
      <w:r>
        <w:rPr>
          <w:rFonts w:hint="eastAsia"/>
          <w:spacing w:val="-2"/>
          <w:highlight w:val="none"/>
          <w:lang w:val="en-US" w:eastAsia="zh-CN"/>
        </w:rPr>
        <w:t>下</w:t>
      </w:r>
      <w:r>
        <w:rPr>
          <w:spacing w:val="-2"/>
          <w:highlight w:val="none"/>
        </w:rPr>
        <w:t>表。</w:t>
      </w:r>
    </w:p>
    <w:p w14:paraId="1B117AAF">
      <w:pPr>
        <w:spacing w:before="1" w:line="220" w:lineRule="auto"/>
        <w:ind w:left="2326"/>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w:t>
      </w:r>
      <w:r>
        <w:rPr>
          <w:rFonts w:hint="eastAsia" w:eastAsia="宋体" w:cs="Times New Roman"/>
          <w:b/>
          <w:bCs/>
          <w:color w:val="auto"/>
          <w:kern w:val="0"/>
          <w:sz w:val="24"/>
          <w:szCs w:val="24"/>
          <w:highlight w:val="none"/>
          <w:lang w:val="en-US" w:eastAsia="zh-CN" w:bidi="ar"/>
        </w:rPr>
        <w:t>5-5</w:t>
      </w:r>
      <w:r>
        <w:rPr>
          <w:rFonts w:hint="default" w:ascii="Times New Roman" w:hAnsi="Times New Roman" w:eastAsia="宋体" w:cs="Times New Roman"/>
          <w:b/>
          <w:bCs/>
          <w:color w:val="auto"/>
          <w:kern w:val="0"/>
          <w:sz w:val="24"/>
          <w:szCs w:val="24"/>
          <w:highlight w:val="none"/>
          <w:lang w:val="en-US" w:eastAsia="zh-CN" w:bidi="ar"/>
        </w:rPr>
        <w:t xml:space="preserve"> 水污染影响型建设项目评价等级判定</w:t>
      </w:r>
    </w:p>
    <w:tbl>
      <w:tblPr>
        <w:tblStyle w:val="3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34"/>
        <w:gridCol w:w="3287"/>
        <w:gridCol w:w="3102"/>
      </w:tblGrid>
      <w:tr w14:paraId="44258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1162" w:type="pct"/>
            <w:vMerge w:val="restart"/>
            <w:tcBorders>
              <w:top w:val="single" w:color="000000" w:sz="10" w:space="0"/>
              <w:left w:val="single" w:color="000000" w:sz="10" w:space="0"/>
              <w:bottom w:val="nil"/>
            </w:tcBorders>
            <w:vAlign w:val="center"/>
          </w:tcPr>
          <w:p w14:paraId="5AFF82A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007637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3023ED2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评价等级</w:t>
            </w:r>
          </w:p>
        </w:tc>
        <w:tc>
          <w:tcPr>
            <w:tcW w:w="3837" w:type="pct"/>
            <w:gridSpan w:val="2"/>
            <w:tcBorders>
              <w:top w:val="single" w:color="000000" w:sz="10" w:space="0"/>
              <w:right w:val="single" w:color="000000" w:sz="10" w:space="0"/>
            </w:tcBorders>
            <w:vAlign w:val="center"/>
          </w:tcPr>
          <w:p w14:paraId="3355133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判定依据</w:t>
            </w:r>
          </w:p>
        </w:tc>
      </w:tr>
      <w:tr w14:paraId="3B821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162" w:type="pct"/>
            <w:vMerge w:val="continue"/>
            <w:tcBorders>
              <w:top w:val="nil"/>
              <w:left w:val="single" w:color="000000" w:sz="10" w:space="0"/>
            </w:tcBorders>
            <w:vAlign w:val="center"/>
          </w:tcPr>
          <w:p w14:paraId="1825BDA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1974" w:type="pct"/>
            <w:vAlign w:val="center"/>
          </w:tcPr>
          <w:p w14:paraId="7A381BB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0536C04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排放方式</w:t>
            </w:r>
          </w:p>
        </w:tc>
        <w:tc>
          <w:tcPr>
            <w:tcW w:w="1862" w:type="pct"/>
            <w:tcBorders>
              <w:right w:val="single" w:color="000000" w:sz="10" w:space="0"/>
            </w:tcBorders>
            <w:vAlign w:val="center"/>
          </w:tcPr>
          <w:p w14:paraId="2945F73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废水排放量</w:t>
            </w:r>
            <w:r>
              <w:rPr>
                <w:rFonts w:hint="default" w:ascii="Times New Roman" w:hAnsi="Times New Roman" w:eastAsia="宋体" w:cs="Times New Roman"/>
                <w:spacing w:val="-38"/>
                <w:sz w:val="21"/>
                <w:szCs w:val="21"/>
                <w:highlight w:val="none"/>
              </w:rPr>
              <w:t xml:space="preserve"> </w:t>
            </w:r>
            <w:r>
              <w:rPr>
                <w:rFonts w:hint="default" w:ascii="Times New Roman" w:hAnsi="Times New Roman" w:eastAsia="宋体" w:cs="Times New Roman"/>
                <w:spacing w:val="5"/>
                <w:sz w:val="21"/>
                <w:szCs w:val="21"/>
                <w:highlight w:val="none"/>
              </w:rPr>
              <w:t>Q/（m</w:t>
            </w:r>
            <w:r>
              <w:rPr>
                <w:rFonts w:hint="default" w:ascii="Times New Roman" w:hAnsi="Times New Roman" w:eastAsia="宋体" w:cs="Times New Roman"/>
                <w:spacing w:val="5"/>
                <w:position w:val="6"/>
                <w:sz w:val="21"/>
                <w:szCs w:val="21"/>
                <w:highlight w:val="none"/>
              </w:rPr>
              <w:t>3</w:t>
            </w:r>
            <w:r>
              <w:rPr>
                <w:rFonts w:hint="default" w:ascii="Times New Roman" w:hAnsi="Times New Roman" w:eastAsia="宋体" w:cs="Times New Roman"/>
                <w:spacing w:val="5"/>
                <w:sz w:val="21"/>
                <w:szCs w:val="21"/>
                <w:highlight w:val="none"/>
              </w:rPr>
              <w:t>/d）；</w:t>
            </w:r>
          </w:p>
          <w:p w14:paraId="51C2770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水污染物当量数</w:t>
            </w:r>
            <w:r>
              <w:rPr>
                <w:rFonts w:hint="default" w:ascii="Times New Roman" w:hAnsi="Times New Roman" w:eastAsia="宋体" w:cs="Times New Roman"/>
                <w:spacing w:val="-36"/>
                <w:sz w:val="21"/>
                <w:szCs w:val="21"/>
                <w:highlight w:val="none"/>
              </w:rPr>
              <w:t xml:space="preserve"> </w:t>
            </w:r>
            <w:r>
              <w:rPr>
                <w:rFonts w:hint="default" w:ascii="Times New Roman" w:hAnsi="Times New Roman" w:eastAsia="宋体" w:cs="Times New Roman"/>
                <w:spacing w:val="7"/>
                <w:sz w:val="21"/>
                <w:szCs w:val="21"/>
                <w:highlight w:val="none"/>
              </w:rPr>
              <w:t>W/（无量纲）</w:t>
            </w:r>
          </w:p>
        </w:tc>
      </w:tr>
      <w:tr w14:paraId="5F49C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162" w:type="pct"/>
            <w:tcBorders>
              <w:left w:val="single" w:color="000000" w:sz="10" w:space="0"/>
            </w:tcBorders>
            <w:vAlign w:val="center"/>
          </w:tcPr>
          <w:p w14:paraId="0588A9A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一级</w:t>
            </w:r>
          </w:p>
        </w:tc>
        <w:tc>
          <w:tcPr>
            <w:tcW w:w="1974" w:type="pct"/>
            <w:vAlign w:val="center"/>
          </w:tcPr>
          <w:p w14:paraId="66F3D09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直接排放</w:t>
            </w:r>
          </w:p>
        </w:tc>
        <w:tc>
          <w:tcPr>
            <w:tcW w:w="1862" w:type="pct"/>
            <w:tcBorders>
              <w:right w:val="single" w:color="000000" w:sz="10" w:space="0"/>
            </w:tcBorders>
            <w:vAlign w:val="center"/>
          </w:tcPr>
          <w:p w14:paraId="08B2A3E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Q≥20000 或</w:t>
            </w:r>
            <w:r>
              <w:rPr>
                <w:rFonts w:hint="default" w:ascii="Times New Roman" w:hAnsi="Times New Roman" w:eastAsia="宋体" w:cs="Times New Roman"/>
                <w:spacing w:val="-45"/>
                <w:sz w:val="21"/>
                <w:szCs w:val="21"/>
                <w:highlight w:val="none"/>
              </w:rPr>
              <w:t xml:space="preserve"> </w:t>
            </w:r>
            <w:r>
              <w:rPr>
                <w:rFonts w:hint="default" w:ascii="Times New Roman" w:hAnsi="Times New Roman" w:eastAsia="宋体" w:cs="Times New Roman"/>
                <w:spacing w:val="5"/>
                <w:sz w:val="21"/>
                <w:szCs w:val="21"/>
                <w:highlight w:val="none"/>
              </w:rPr>
              <w:t>W≥600000</w:t>
            </w:r>
          </w:p>
        </w:tc>
      </w:tr>
      <w:tr w14:paraId="23B85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162" w:type="pct"/>
            <w:tcBorders>
              <w:left w:val="single" w:color="000000" w:sz="10" w:space="0"/>
            </w:tcBorders>
            <w:vAlign w:val="center"/>
          </w:tcPr>
          <w:p w14:paraId="773F621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1974" w:type="pct"/>
            <w:vAlign w:val="center"/>
          </w:tcPr>
          <w:p w14:paraId="4E04767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直接排放</w:t>
            </w:r>
          </w:p>
        </w:tc>
        <w:tc>
          <w:tcPr>
            <w:tcW w:w="1862" w:type="pct"/>
            <w:tcBorders>
              <w:right w:val="single" w:color="000000" w:sz="10" w:space="0"/>
            </w:tcBorders>
            <w:vAlign w:val="center"/>
          </w:tcPr>
          <w:p w14:paraId="37FB471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其他</w:t>
            </w:r>
          </w:p>
        </w:tc>
      </w:tr>
      <w:tr w14:paraId="11891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162" w:type="pct"/>
            <w:tcBorders>
              <w:left w:val="single" w:color="000000" w:sz="10" w:space="0"/>
            </w:tcBorders>
            <w:vAlign w:val="center"/>
          </w:tcPr>
          <w:p w14:paraId="592349F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r>
              <w:rPr>
                <w:rFonts w:hint="default" w:ascii="Times New Roman" w:hAnsi="Times New Roman" w:eastAsia="宋体" w:cs="Times New Roman"/>
                <w:spacing w:val="-42"/>
                <w:sz w:val="21"/>
                <w:szCs w:val="21"/>
                <w:highlight w:val="none"/>
              </w:rPr>
              <w:t xml:space="preserve"> </w:t>
            </w:r>
            <w:r>
              <w:rPr>
                <w:rFonts w:hint="default" w:ascii="Times New Roman" w:hAnsi="Times New Roman" w:eastAsia="宋体" w:cs="Times New Roman"/>
                <w:spacing w:val="4"/>
                <w:sz w:val="21"/>
                <w:szCs w:val="21"/>
                <w:highlight w:val="none"/>
              </w:rPr>
              <w:t>A</w:t>
            </w:r>
          </w:p>
        </w:tc>
        <w:tc>
          <w:tcPr>
            <w:tcW w:w="1974" w:type="pct"/>
            <w:vAlign w:val="center"/>
          </w:tcPr>
          <w:p w14:paraId="6D40118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直接排放</w:t>
            </w:r>
          </w:p>
        </w:tc>
        <w:tc>
          <w:tcPr>
            <w:tcW w:w="1862" w:type="pct"/>
            <w:tcBorders>
              <w:right w:val="single" w:color="000000" w:sz="10" w:space="0"/>
            </w:tcBorders>
            <w:vAlign w:val="center"/>
          </w:tcPr>
          <w:p w14:paraId="439FDFE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Q＜200 且</w:t>
            </w:r>
            <w:r>
              <w:rPr>
                <w:rFonts w:hint="default" w:ascii="Times New Roman" w:hAnsi="Times New Roman" w:eastAsia="宋体" w:cs="Times New Roman"/>
                <w:spacing w:val="-37"/>
                <w:sz w:val="21"/>
                <w:szCs w:val="21"/>
                <w:highlight w:val="none"/>
              </w:rPr>
              <w:t xml:space="preserve"> </w:t>
            </w:r>
            <w:r>
              <w:rPr>
                <w:rFonts w:hint="default" w:ascii="Times New Roman" w:hAnsi="Times New Roman" w:eastAsia="宋体" w:cs="Times New Roman"/>
                <w:spacing w:val="5"/>
                <w:sz w:val="21"/>
                <w:szCs w:val="21"/>
                <w:highlight w:val="none"/>
              </w:rPr>
              <w:t>W＜6000</w:t>
            </w:r>
          </w:p>
        </w:tc>
      </w:tr>
      <w:tr w14:paraId="54802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162" w:type="pct"/>
            <w:tcBorders>
              <w:left w:val="single" w:color="000000" w:sz="10" w:space="0"/>
              <w:bottom w:val="single" w:color="000000" w:sz="10" w:space="0"/>
            </w:tcBorders>
            <w:vAlign w:val="center"/>
          </w:tcPr>
          <w:p w14:paraId="36BE49E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三级</w:t>
            </w:r>
            <w:r>
              <w:rPr>
                <w:rFonts w:hint="default" w:ascii="Times New Roman" w:hAnsi="Times New Roman" w:eastAsia="宋体" w:cs="Times New Roman"/>
                <w:spacing w:val="-40"/>
                <w:sz w:val="21"/>
                <w:szCs w:val="21"/>
                <w:highlight w:val="none"/>
              </w:rPr>
              <w:t xml:space="preserve"> </w:t>
            </w:r>
            <w:r>
              <w:rPr>
                <w:rFonts w:hint="default" w:ascii="Times New Roman" w:hAnsi="Times New Roman" w:eastAsia="宋体" w:cs="Times New Roman"/>
                <w:spacing w:val="3"/>
                <w:sz w:val="21"/>
                <w:szCs w:val="21"/>
                <w:highlight w:val="none"/>
              </w:rPr>
              <w:t>B</w:t>
            </w:r>
          </w:p>
        </w:tc>
        <w:tc>
          <w:tcPr>
            <w:tcW w:w="1974" w:type="pct"/>
            <w:tcBorders>
              <w:bottom w:val="single" w:color="000000" w:sz="10" w:space="0"/>
            </w:tcBorders>
            <w:vAlign w:val="center"/>
          </w:tcPr>
          <w:p w14:paraId="1E7E0E3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间接排放</w:t>
            </w:r>
          </w:p>
        </w:tc>
        <w:tc>
          <w:tcPr>
            <w:tcW w:w="1862" w:type="pct"/>
            <w:tcBorders>
              <w:bottom w:val="single" w:color="000000" w:sz="10" w:space="0"/>
              <w:right w:val="single" w:color="000000" w:sz="10" w:space="0"/>
            </w:tcBorders>
            <w:vAlign w:val="center"/>
          </w:tcPr>
          <w:p w14:paraId="583CA0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position w:val="-2"/>
                <w:sz w:val="21"/>
                <w:szCs w:val="21"/>
                <w:highlight w:val="none"/>
              </w:rPr>
              <w:t>--</w:t>
            </w:r>
          </w:p>
        </w:tc>
      </w:tr>
    </w:tbl>
    <w:p w14:paraId="19BF6FEB">
      <w:pPr>
        <w:pStyle w:val="9"/>
        <w:bidi w:val="0"/>
        <w:rPr>
          <w:rFonts w:hint="eastAsia"/>
          <w:highlight w:val="none"/>
          <w:lang w:val="en-US" w:eastAsia="zh-CN"/>
        </w:rPr>
      </w:pPr>
      <w:r>
        <w:rPr>
          <w:rFonts w:hint="eastAsia"/>
          <w:highlight w:val="none"/>
          <w:lang w:val="en-US" w:eastAsia="zh-CN"/>
        </w:rPr>
        <w:t>2.5.1.3 地下水</w:t>
      </w:r>
    </w:p>
    <w:p w14:paraId="5EEDA462">
      <w:pPr>
        <w:rPr>
          <w:rFonts w:hint="eastAsia" w:ascii="宋体" w:hAnsi="宋体" w:eastAsia="宋体" w:cs="宋体"/>
          <w:color w:val="000000"/>
          <w:kern w:val="0"/>
          <w:sz w:val="21"/>
          <w:szCs w:val="21"/>
          <w:highlight w:val="none"/>
          <w:lang w:val="en-US" w:eastAsia="zh-CN" w:bidi="ar"/>
        </w:rPr>
      </w:pPr>
      <w:r>
        <w:rPr>
          <w:rFonts w:hint="default" w:ascii="Times New Roman" w:hAnsi="Times New Roman" w:eastAsia="宋体" w:cs="Times New Roman"/>
          <w:sz w:val="24"/>
          <w:szCs w:val="24"/>
          <w:highlight w:val="none"/>
          <w:lang w:val="en-US" w:eastAsia="zh-CN"/>
        </w:rPr>
        <w:t>根据《环境影响评价技术导则地下水环境》（HJ 610—2016），L石化、化工，85专用化学品制造，除单纯混合和分装外的，应编制报告书，地下水环境影响评价项目类别为</w:t>
      </w:r>
      <w:r>
        <w:rPr>
          <w:rFonts w:ascii="Times New Roman" w:hAnsi="Times New Roman" w:eastAsia="Times New Roman" w:cs="Times New Roman"/>
          <w:spacing w:val="-3"/>
          <w:highlight w:val="none"/>
        </w:rPr>
        <w:t>Ⅰ</w:t>
      </w:r>
      <w:r>
        <w:rPr>
          <w:rFonts w:hint="eastAsia" w:eastAsia="宋体" w:cs="Times New Roman"/>
          <w:b w:val="0"/>
          <w:bCs w:val="0"/>
          <w:sz w:val="24"/>
          <w:szCs w:val="24"/>
          <w:highlight w:val="none"/>
          <w:lang w:val="en-US" w:eastAsia="zh-CN"/>
        </w:rPr>
        <w:t xml:space="preserve"> </w:t>
      </w:r>
      <w:r>
        <w:rPr>
          <w:rFonts w:hint="default" w:ascii="Times New Roman" w:hAnsi="Times New Roman" w:eastAsia="宋体" w:cs="Times New Roman"/>
          <w:sz w:val="24"/>
          <w:szCs w:val="24"/>
          <w:highlight w:val="none"/>
          <w:lang w:val="en-US" w:eastAsia="zh-CN"/>
        </w:rPr>
        <w:t>类项目，项目所在地地下水环境属于不敏感地区，本项目地下水环境影响评价工作等级属于二级。需要</w:t>
      </w:r>
      <w:r>
        <w:rPr>
          <w:rFonts w:hint="default" w:ascii="Times New Roman" w:hAnsi="Times New Roman" w:eastAsia="宋体" w:cs="Times New Roman"/>
          <w:color w:val="000000"/>
          <w:kern w:val="0"/>
          <w:sz w:val="24"/>
          <w:szCs w:val="24"/>
          <w:highlight w:val="none"/>
          <w:lang w:val="en-US" w:eastAsia="zh-CN" w:bidi="ar"/>
        </w:rPr>
        <w:t>开展地下水环境现状监测</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进行地下水环境现状评价。评价对地下水环境保护目标的影响</w:t>
      </w:r>
      <w:r>
        <w:rPr>
          <w:rFonts w:hint="eastAsia" w:ascii="宋体" w:hAnsi="宋体" w:eastAsia="宋体" w:cs="宋体"/>
          <w:color w:val="000000"/>
          <w:kern w:val="0"/>
          <w:sz w:val="21"/>
          <w:szCs w:val="21"/>
          <w:highlight w:val="none"/>
          <w:lang w:val="en-US" w:eastAsia="zh-CN" w:bidi="ar"/>
        </w:rPr>
        <w:t>。</w:t>
      </w:r>
    </w:p>
    <w:p w14:paraId="5220375D">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72010822">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7E7960DD">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eastAsia" w:ascii="宋体" w:hAnsi="宋体" w:eastAsia="宋体" w:cs="宋体"/>
          <w:color w:val="000000"/>
          <w:kern w:val="0"/>
          <w:sz w:val="21"/>
          <w:szCs w:val="21"/>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w:t>
      </w:r>
      <w:r>
        <w:rPr>
          <w:rFonts w:hint="eastAsia"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eastAsia="宋体"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 xml:space="preserve">  地下水环境影响评价工作等级分级表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2259"/>
        <w:gridCol w:w="2129"/>
        <w:gridCol w:w="2129"/>
      </w:tblGrid>
      <w:tr w14:paraId="5961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998" w:type="dxa"/>
            <mc:AlternateContent>
              <mc:Choice Requires="wpsCustomData">
                <wpsCustomData:diagonals>
                  <wpsCustomData:diagonal from="10000" to="25700">
                    <wpsCustomData:border w:val="single" w:color="auto" w:sz="4" w:space="0"/>
                  </wpsCustomData:diagonal>
                </wpsCustomData:diagonals>
              </mc:Choice>
            </mc:AlternateContent>
          </w:tcPr>
          <w:p w14:paraId="6F645279">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ascii="Arial"/>
                <w:sz w:val="21"/>
                <w:highlight w:val="none"/>
              </w:rPr>
            </w:pPr>
          </w:p>
          <w:p w14:paraId="4DE81918">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mc:AlternateContent>
                <mc:Choice Requires="wpsCustomData">
                  <wpsCustomData:diagonalParaType/>
                </mc:Choice>
              </mc:AlternateContent>
              <w:rPr>
                <w:rFonts w:hint="default" w:ascii="宋体" w:hAnsi="宋体" w:eastAsia="宋体" w:cs="宋体"/>
                <w:color w:val="000000"/>
                <w:kern w:val="0"/>
                <w:sz w:val="21"/>
                <w:szCs w:val="21"/>
                <w:highlight w:val="none"/>
                <w:vertAlign w:val="baseline"/>
                <w:lang w:val="en-US" w:eastAsia="zh-CN" w:bidi="ar"/>
              </w:rPr>
            </w:pPr>
            <w:r>
              <w:rPr>
                <w:b/>
                <w:bCs/>
                <w:spacing w:val="5"/>
                <w:highlight w:val="none"/>
              </w:rPr>
              <w:t>敏感程度</w:t>
            </w:r>
          </w:p>
          <w:p w14:paraId="241423B7">
            <w:pPr>
              <w:pStyle w:val="36"/>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b/>
                <w:bCs/>
                <w:spacing w:val="5"/>
                <w:highlight w:val="none"/>
              </w:rPr>
              <w:t>项目类别</w:t>
            </w:r>
          </w:p>
        </w:tc>
        <w:tc>
          <w:tcPr>
            <w:tcW w:w="2259" w:type="dxa"/>
            <w:vAlign w:val="top"/>
          </w:tcPr>
          <w:p w14:paraId="02F8CB05">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ascii="Arial"/>
                <w:sz w:val="21"/>
                <w:highlight w:val="none"/>
              </w:rPr>
            </w:pPr>
          </w:p>
          <w:p w14:paraId="4F13E476">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rFonts w:ascii="Times New Roman" w:hAnsi="Times New Roman" w:eastAsia="Times New Roman" w:cs="Times New Roman"/>
                <w:b/>
                <w:bCs/>
                <w:spacing w:val="6"/>
                <w:highlight w:val="none"/>
              </w:rPr>
              <w:t>Ⅰ</w:t>
            </w:r>
            <w:r>
              <w:rPr>
                <w:b/>
                <w:bCs/>
                <w:spacing w:val="6"/>
                <w:highlight w:val="none"/>
              </w:rPr>
              <w:t>类项目</w:t>
            </w:r>
          </w:p>
        </w:tc>
        <w:tc>
          <w:tcPr>
            <w:tcW w:w="2129" w:type="dxa"/>
            <w:vAlign w:val="top"/>
          </w:tcPr>
          <w:p w14:paraId="08A66347">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ascii="Arial"/>
                <w:sz w:val="21"/>
                <w:highlight w:val="none"/>
              </w:rPr>
            </w:pPr>
          </w:p>
          <w:p w14:paraId="0D53A8D5">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rFonts w:ascii="Times New Roman" w:hAnsi="Times New Roman" w:eastAsia="Times New Roman" w:cs="Times New Roman"/>
                <w:b/>
                <w:bCs/>
                <w:spacing w:val="6"/>
                <w:highlight w:val="none"/>
              </w:rPr>
              <w:t>Ⅱ</w:t>
            </w:r>
            <w:r>
              <w:rPr>
                <w:b/>
                <w:bCs/>
                <w:spacing w:val="6"/>
                <w:highlight w:val="none"/>
              </w:rPr>
              <w:t>类项目</w:t>
            </w:r>
          </w:p>
        </w:tc>
        <w:tc>
          <w:tcPr>
            <w:tcW w:w="2129" w:type="dxa"/>
            <w:vAlign w:val="top"/>
          </w:tcPr>
          <w:p w14:paraId="7C0212FF">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ascii="Arial"/>
                <w:sz w:val="21"/>
                <w:highlight w:val="none"/>
              </w:rPr>
            </w:pPr>
          </w:p>
          <w:p w14:paraId="1A0B1128">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rFonts w:ascii="Times New Roman" w:hAnsi="Times New Roman" w:eastAsia="Times New Roman" w:cs="Times New Roman"/>
                <w:b/>
                <w:bCs/>
                <w:spacing w:val="7"/>
                <w:highlight w:val="none"/>
              </w:rPr>
              <w:t>Ⅲ</w:t>
            </w:r>
            <w:r>
              <w:rPr>
                <w:b/>
                <w:bCs/>
                <w:spacing w:val="7"/>
                <w:highlight w:val="none"/>
              </w:rPr>
              <w:t>类项目</w:t>
            </w:r>
          </w:p>
        </w:tc>
      </w:tr>
      <w:tr w14:paraId="326F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vAlign w:val="top"/>
          </w:tcPr>
          <w:p w14:paraId="2209447F">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spacing w:val="4"/>
                <w:highlight w:val="none"/>
              </w:rPr>
              <w:t>敏感</w:t>
            </w:r>
          </w:p>
        </w:tc>
        <w:tc>
          <w:tcPr>
            <w:tcW w:w="2259" w:type="dxa"/>
            <w:vAlign w:val="top"/>
          </w:tcPr>
          <w:p w14:paraId="6998E3EB">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position w:val="-4"/>
                <w:highlight w:val="none"/>
              </w:rPr>
              <w:t>一</w:t>
            </w:r>
          </w:p>
        </w:tc>
        <w:tc>
          <w:tcPr>
            <w:tcW w:w="2129" w:type="dxa"/>
            <w:vAlign w:val="top"/>
          </w:tcPr>
          <w:p w14:paraId="39CC506F">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position w:val="-4"/>
                <w:highlight w:val="none"/>
              </w:rPr>
              <w:t>一</w:t>
            </w:r>
          </w:p>
        </w:tc>
        <w:tc>
          <w:tcPr>
            <w:tcW w:w="2129" w:type="dxa"/>
            <w:vAlign w:val="top"/>
          </w:tcPr>
          <w:p w14:paraId="60F0153A">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highlight w:val="none"/>
              </w:rPr>
              <w:t>二</w:t>
            </w:r>
          </w:p>
        </w:tc>
      </w:tr>
      <w:tr w14:paraId="79DE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vAlign w:val="top"/>
          </w:tcPr>
          <w:p w14:paraId="73FE15CA">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spacing w:val="6"/>
                <w:highlight w:val="none"/>
              </w:rPr>
              <w:t>较敏感</w:t>
            </w:r>
          </w:p>
        </w:tc>
        <w:tc>
          <w:tcPr>
            <w:tcW w:w="2259" w:type="dxa"/>
            <w:vAlign w:val="top"/>
          </w:tcPr>
          <w:p w14:paraId="16F0F68D">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position w:val="-4"/>
                <w:highlight w:val="none"/>
              </w:rPr>
              <w:t>一</w:t>
            </w:r>
          </w:p>
        </w:tc>
        <w:tc>
          <w:tcPr>
            <w:tcW w:w="2129" w:type="dxa"/>
            <w:vAlign w:val="top"/>
          </w:tcPr>
          <w:p w14:paraId="76B1C235">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highlight w:val="none"/>
              </w:rPr>
              <w:t>二</w:t>
            </w:r>
          </w:p>
        </w:tc>
        <w:tc>
          <w:tcPr>
            <w:tcW w:w="2129" w:type="dxa"/>
            <w:vAlign w:val="top"/>
          </w:tcPr>
          <w:p w14:paraId="1AEF47F7">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position w:val="1"/>
                <w:highlight w:val="none"/>
              </w:rPr>
              <w:t>三</w:t>
            </w:r>
          </w:p>
        </w:tc>
      </w:tr>
      <w:tr w14:paraId="562D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8" w:type="dxa"/>
            <w:vAlign w:val="top"/>
          </w:tcPr>
          <w:p w14:paraId="39726179">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spacing w:val="5"/>
                <w:highlight w:val="none"/>
              </w:rPr>
              <w:t>不敏感</w:t>
            </w:r>
          </w:p>
        </w:tc>
        <w:tc>
          <w:tcPr>
            <w:tcW w:w="2259" w:type="dxa"/>
            <w:vAlign w:val="top"/>
          </w:tcPr>
          <w:p w14:paraId="655F6456">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position w:val="1"/>
                <w:highlight w:val="none"/>
                <w:shd w:val="clear" w:fill="7F7F7F"/>
              </w:rPr>
              <w:t>二</w:t>
            </w:r>
          </w:p>
        </w:tc>
        <w:tc>
          <w:tcPr>
            <w:tcW w:w="2129" w:type="dxa"/>
            <w:vAlign w:val="top"/>
          </w:tcPr>
          <w:p w14:paraId="1FA970E2">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position w:val="1"/>
                <w:highlight w:val="none"/>
              </w:rPr>
              <w:t>三</w:t>
            </w:r>
          </w:p>
        </w:tc>
        <w:tc>
          <w:tcPr>
            <w:tcW w:w="2129" w:type="dxa"/>
            <w:vAlign w:val="top"/>
          </w:tcPr>
          <w:p w14:paraId="62ADE9F4">
            <w:pPr>
              <w:pStyle w:val="36"/>
              <w:keepNext w:val="0"/>
              <w:keepLines w:val="0"/>
              <w:pageBreakBefore w:val="0"/>
              <w:widowControl w:val="0"/>
              <w:kinsoku/>
              <w:wordWrap/>
              <w:overflowPunct/>
              <w:topLinePunct w:val="0"/>
              <w:autoSpaceDE/>
              <w:autoSpaceDN/>
              <w:bidi w:val="0"/>
              <w:adjustRightInd/>
              <w:spacing w:line="240" w:lineRule="auto"/>
              <w:ind w:left="0" w:leftChars="0" w:firstLine="0" w:firstLineChars="0"/>
              <w:jc w:val="center"/>
              <w:textAlignment w:val="auto"/>
              <w:rPr>
                <w:rFonts w:hint="default" w:ascii="宋体" w:hAnsi="宋体" w:eastAsia="宋体" w:cs="宋体"/>
                <w:color w:val="000000"/>
                <w:kern w:val="0"/>
                <w:sz w:val="21"/>
                <w:szCs w:val="21"/>
                <w:highlight w:val="none"/>
                <w:vertAlign w:val="baseline"/>
                <w:lang w:val="en-US" w:eastAsia="zh-CN" w:bidi="ar"/>
              </w:rPr>
            </w:pPr>
            <w:r>
              <w:rPr>
                <w:highlight w:val="none"/>
              </w:rPr>
              <w:t>三</w:t>
            </w:r>
          </w:p>
        </w:tc>
      </w:tr>
    </w:tbl>
    <w:p w14:paraId="24A52417">
      <w:pPr>
        <w:pStyle w:val="9"/>
        <w:bidi w:val="0"/>
        <w:rPr>
          <w:rFonts w:hint="eastAsia"/>
          <w:highlight w:val="none"/>
          <w:lang w:val="en-US" w:eastAsia="zh-CN"/>
        </w:rPr>
      </w:pPr>
      <w:r>
        <w:rPr>
          <w:rFonts w:hint="eastAsia"/>
          <w:highlight w:val="none"/>
          <w:lang w:val="en-US" w:eastAsia="zh-CN"/>
        </w:rPr>
        <w:t>2.5.1.4声环境</w:t>
      </w:r>
    </w:p>
    <w:p w14:paraId="2767A929">
      <w:pPr>
        <w:keepNext w:val="0"/>
        <w:keepLines w:val="0"/>
        <w:pageBreakBefore w:val="0"/>
        <w:kinsoku/>
        <w:wordWrap/>
        <w:overflowPunct/>
        <w:topLinePunct w:val="0"/>
        <w:autoSpaceDE/>
        <w:autoSpaceDN/>
        <w:bidi w:val="0"/>
        <w:adjustRightInd/>
        <w:ind w:left="0" w:right="0" w:firstLine="480" w:firstLineChars="200"/>
        <w:jc w:val="both"/>
        <w:textAlignment w:val="auto"/>
        <w:rPr>
          <w:rFonts w:hint="eastAsia"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本项目位于岳阳县荣家湾镇岳阳高新技术产业园区，周边主要是企业，根据拟建工程特点，结合本厂址所在区域</w:t>
      </w:r>
      <w:r>
        <w:rPr>
          <w:rFonts w:hint="eastAsia" w:ascii="Times New Roman" w:hAnsi="Times New Roman" w:eastAsia="宋体" w:cs="Times New Roman"/>
          <w:sz w:val="24"/>
          <w:szCs w:val="24"/>
          <w:highlight w:val="none"/>
          <w:lang w:val="en-US" w:eastAsia="zh-CN"/>
        </w:rPr>
        <w:t>东厂界、南北厂界</w:t>
      </w:r>
      <w:r>
        <w:rPr>
          <w:rFonts w:hint="default" w:ascii="Times New Roman" w:hAnsi="Times New Roman" w:eastAsia="宋体" w:cs="Times New Roman"/>
          <w:sz w:val="24"/>
          <w:szCs w:val="24"/>
          <w:highlight w:val="none"/>
          <w:lang w:val="en-US" w:eastAsia="zh-CN"/>
        </w:rPr>
        <w:t>声环境功能区类别为3 类声环境功能区，</w:t>
      </w:r>
      <w:r>
        <w:rPr>
          <w:rFonts w:hint="eastAsia" w:ascii="Times New Roman" w:hAnsi="Times New Roman" w:eastAsia="宋体" w:cs="Times New Roman"/>
          <w:sz w:val="24"/>
          <w:szCs w:val="24"/>
          <w:highlight w:val="none"/>
          <w:lang w:val="en-US" w:eastAsia="zh-CN"/>
        </w:rPr>
        <w:t>西厂界靠近公路（武广路）距离为30米，距离京广高速铁路为60米，西厂界按4类声环境功能区</w:t>
      </w:r>
      <w:r>
        <w:rPr>
          <w:rFonts w:hint="eastAsia" w:eastAsia="宋体" w:cs="Times New Roman"/>
          <w:sz w:val="24"/>
          <w:szCs w:val="24"/>
          <w:highlight w:val="none"/>
          <w:lang w:val="en-US" w:eastAsia="zh-CN"/>
        </w:rPr>
        <w:t>。</w:t>
      </w:r>
    </w:p>
    <w:p w14:paraId="2A14D437">
      <w:pPr>
        <w:pStyle w:val="2"/>
        <w:keepNext w:val="0"/>
        <w:keepLines w:val="0"/>
        <w:pageBreakBefore w:val="0"/>
        <w:kinsoku/>
        <w:wordWrap/>
        <w:overflowPunct/>
        <w:topLinePunct w:val="0"/>
        <w:autoSpaceDE/>
        <w:autoSpaceDN/>
        <w:bidi w:val="0"/>
        <w:adjustRightInd/>
        <w:spacing w:before="0" w:after="0" w:line="360" w:lineRule="auto"/>
        <w:ind w:left="0" w:right="0" w:firstLine="480" w:firstLineChars="200"/>
        <w:jc w:val="both"/>
        <w:textAlignment w:val="auto"/>
        <w:rPr>
          <w:highlight w:val="none"/>
        </w:rPr>
      </w:pPr>
      <w:r>
        <w:rPr>
          <w:highlight w:val="none"/>
        </w:rPr>
        <w:t>各划分要素</w:t>
      </w:r>
      <w:r>
        <w:rPr>
          <w:spacing w:val="-1"/>
          <w:highlight w:val="none"/>
        </w:rPr>
        <w:t>对应的</w:t>
      </w:r>
      <w:r>
        <w:rPr>
          <w:spacing w:val="-2"/>
          <w:highlight w:val="none"/>
        </w:rPr>
        <w:t>噪声评价等级划分如下：</w:t>
      </w:r>
    </w:p>
    <w:p w14:paraId="37CE202E">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w:t>
      </w:r>
      <w:r>
        <w:rPr>
          <w:rFonts w:hint="eastAsia"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 xml:space="preserve">    噪声评价工作等级划分</w:t>
      </w:r>
    </w:p>
    <w:p w14:paraId="60629CF3">
      <w:pPr>
        <w:spacing w:line="67" w:lineRule="exact"/>
        <w:rPr>
          <w:highlight w:val="none"/>
        </w:rPr>
      </w:pPr>
    </w:p>
    <w:tbl>
      <w:tblPr>
        <w:tblStyle w:val="3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721"/>
        <w:gridCol w:w="2796"/>
        <w:gridCol w:w="2806"/>
      </w:tblGrid>
      <w:tr w14:paraId="2726B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634" w:type="pct"/>
            <w:tcBorders>
              <w:top w:val="single" w:color="000000" w:sz="10" w:space="0"/>
              <w:left w:val="single" w:color="000000" w:sz="10" w:space="0"/>
            </w:tcBorders>
            <w:vAlign w:val="center"/>
          </w:tcPr>
          <w:p w14:paraId="1B584D3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划分要素</w:t>
            </w:r>
          </w:p>
        </w:tc>
        <w:tc>
          <w:tcPr>
            <w:tcW w:w="1679" w:type="pct"/>
            <w:tcBorders>
              <w:top w:val="single" w:color="000000" w:sz="10" w:space="0"/>
            </w:tcBorders>
            <w:vAlign w:val="center"/>
          </w:tcPr>
          <w:p w14:paraId="4A17150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划分依据</w:t>
            </w:r>
          </w:p>
        </w:tc>
        <w:tc>
          <w:tcPr>
            <w:tcW w:w="1685" w:type="pct"/>
            <w:tcBorders>
              <w:top w:val="single" w:color="000000" w:sz="10" w:space="0"/>
              <w:right w:val="single" w:color="000000" w:sz="10" w:space="0"/>
            </w:tcBorders>
            <w:vAlign w:val="center"/>
          </w:tcPr>
          <w:p w14:paraId="42D7E00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评价等级</w:t>
            </w:r>
          </w:p>
        </w:tc>
      </w:tr>
      <w:tr w14:paraId="28069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634" w:type="pct"/>
            <w:tcBorders>
              <w:left w:val="single" w:color="000000" w:sz="10" w:space="0"/>
            </w:tcBorders>
            <w:vAlign w:val="center"/>
          </w:tcPr>
          <w:p w14:paraId="625EAC0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8"/>
                <w:highlight w:val="none"/>
              </w:rPr>
              <w:t>声环境功能区划</w:t>
            </w:r>
          </w:p>
        </w:tc>
        <w:tc>
          <w:tcPr>
            <w:tcW w:w="1679" w:type="pct"/>
            <w:vAlign w:val="center"/>
          </w:tcPr>
          <w:p w14:paraId="4D75B6E8">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highlight w:val="none"/>
                <w:lang w:eastAsia="zh-CN"/>
              </w:rPr>
            </w:pPr>
            <w:r>
              <w:rPr>
                <w:spacing w:val="5"/>
                <w:highlight w:val="none"/>
              </w:rPr>
              <w:t>声环境</w:t>
            </w:r>
            <w:r>
              <w:rPr>
                <w:spacing w:val="-36"/>
                <w:highlight w:val="none"/>
              </w:rPr>
              <w:t xml:space="preserve"> </w:t>
            </w:r>
            <w:r>
              <w:rPr>
                <w:rFonts w:ascii="Times New Roman" w:hAnsi="Times New Roman" w:eastAsia="Times New Roman" w:cs="Times New Roman"/>
                <w:spacing w:val="5"/>
                <w:highlight w:val="none"/>
              </w:rPr>
              <w:t xml:space="preserve">3 </w:t>
            </w:r>
            <w:r>
              <w:rPr>
                <w:spacing w:val="5"/>
                <w:highlight w:val="none"/>
              </w:rPr>
              <w:t>类功能区</w:t>
            </w:r>
            <w:r>
              <w:rPr>
                <w:rFonts w:hint="eastAsia"/>
                <w:spacing w:val="5"/>
                <w:highlight w:val="none"/>
                <w:lang w:eastAsia="zh-CN"/>
              </w:rPr>
              <w:t>、</w:t>
            </w:r>
            <w:r>
              <w:rPr>
                <w:rFonts w:hint="eastAsia" w:ascii="Times New Roman" w:hAnsi="Times New Roman" w:eastAsia="宋体" w:cs="Times New Roman"/>
                <w:spacing w:val="5"/>
                <w:highlight w:val="none"/>
                <w:lang w:val="en-US" w:eastAsia="zh-CN"/>
              </w:rPr>
              <w:t>4</w:t>
            </w:r>
            <w:r>
              <w:rPr>
                <w:spacing w:val="5"/>
                <w:highlight w:val="none"/>
              </w:rPr>
              <w:t>类功能区</w:t>
            </w:r>
          </w:p>
        </w:tc>
        <w:tc>
          <w:tcPr>
            <w:tcW w:w="1685" w:type="pct"/>
            <w:tcBorders>
              <w:right w:val="single" w:color="000000" w:sz="10" w:space="0"/>
            </w:tcBorders>
            <w:vAlign w:val="center"/>
          </w:tcPr>
          <w:p w14:paraId="5787939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4"/>
                <w:highlight w:val="none"/>
              </w:rPr>
              <w:t>三级</w:t>
            </w:r>
          </w:p>
        </w:tc>
      </w:tr>
      <w:tr w14:paraId="7219F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634" w:type="pct"/>
            <w:tcBorders>
              <w:left w:val="single" w:color="000000" w:sz="10" w:space="0"/>
            </w:tcBorders>
            <w:vAlign w:val="center"/>
          </w:tcPr>
          <w:p w14:paraId="1CD512C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8"/>
                <w:highlight w:val="none"/>
              </w:rPr>
              <w:t>敏感点噪声级变化</w:t>
            </w:r>
          </w:p>
        </w:tc>
        <w:tc>
          <w:tcPr>
            <w:tcW w:w="1679" w:type="pct"/>
            <w:vAlign w:val="center"/>
          </w:tcPr>
          <w:p w14:paraId="6A46933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23"/>
                <w:highlight w:val="none"/>
              </w:rPr>
              <w:t>&lt;</w:t>
            </w:r>
            <w:r>
              <w:rPr>
                <w:rFonts w:ascii="Times New Roman" w:hAnsi="Times New Roman" w:eastAsia="Times New Roman" w:cs="Times New Roman"/>
                <w:spacing w:val="23"/>
                <w:highlight w:val="none"/>
              </w:rPr>
              <w:t>3</w:t>
            </w:r>
            <w:r>
              <w:rPr>
                <w:rFonts w:ascii="Times New Roman" w:hAnsi="Times New Roman" w:eastAsia="Times New Roman" w:cs="Times New Roman"/>
                <w:highlight w:val="none"/>
              </w:rPr>
              <w:t>dB</w:t>
            </w:r>
            <w:r>
              <w:rPr>
                <w:spacing w:val="23"/>
                <w:highlight w:val="none"/>
              </w:rPr>
              <w:t>（</w:t>
            </w:r>
            <w:r>
              <w:rPr>
                <w:rFonts w:ascii="Times New Roman" w:hAnsi="Times New Roman" w:eastAsia="Times New Roman" w:cs="Times New Roman"/>
                <w:spacing w:val="23"/>
                <w:highlight w:val="none"/>
              </w:rPr>
              <w:t>A</w:t>
            </w:r>
            <w:r>
              <w:rPr>
                <w:spacing w:val="23"/>
                <w:highlight w:val="none"/>
              </w:rPr>
              <w:t>）</w:t>
            </w:r>
          </w:p>
        </w:tc>
        <w:tc>
          <w:tcPr>
            <w:tcW w:w="1685" w:type="pct"/>
            <w:tcBorders>
              <w:right w:val="single" w:color="000000" w:sz="10" w:space="0"/>
            </w:tcBorders>
            <w:vAlign w:val="center"/>
          </w:tcPr>
          <w:p w14:paraId="3E4111E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4"/>
                <w:highlight w:val="none"/>
              </w:rPr>
              <w:t>三级</w:t>
            </w:r>
          </w:p>
        </w:tc>
      </w:tr>
      <w:tr w14:paraId="2D353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634" w:type="pct"/>
            <w:tcBorders>
              <w:left w:val="single" w:color="000000" w:sz="10" w:space="0"/>
              <w:bottom w:val="single" w:color="000000" w:sz="10" w:space="0"/>
            </w:tcBorders>
            <w:vAlign w:val="center"/>
          </w:tcPr>
          <w:p w14:paraId="76E2668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8"/>
                <w:highlight w:val="none"/>
              </w:rPr>
              <w:t>受噪声影响人口数量</w:t>
            </w:r>
          </w:p>
        </w:tc>
        <w:tc>
          <w:tcPr>
            <w:tcW w:w="1679" w:type="pct"/>
            <w:tcBorders>
              <w:bottom w:val="single" w:color="000000" w:sz="10" w:space="0"/>
            </w:tcBorders>
            <w:vAlign w:val="center"/>
          </w:tcPr>
          <w:p w14:paraId="6FA4323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变化不大</w:t>
            </w:r>
          </w:p>
        </w:tc>
        <w:tc>
          <w:tcPr>
            <w:tcW w:w="1685" w:type="pct"/>
            <w:tcBorders>
              <w:bottom w:val="single" w:color="000000" w:sz="10" w:space="0"/>
              <w:right w:val="single" w:color="000000" w:sz="10" w:space="0"/>
            </w:tcBorders>
            <w:vAlign w:val="center"/>
          </w:tcPr>
          <w:p w14:paraId="300254A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4"/>
                <w:highlight w:val="none"/>
              </w:rPr>
              <w:t>三级</w:t>
            </w:r>
          </w:p>
        </w:tc>
      </w:tr>
    </w:tbl>
    <w:p w14:paraId="37420A54">
      <w:pP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按照《环境影响评价技术导则 声环境》（HJ 2.4—2021），建设项目所处的声环境功能区为 GB 3096 规定的 3 类、4 类地区</w:t>
      </w:r>
      <w:r>
        <w:rPr>
          <w:rFonts w:hint="eastAsia" w:ascii="Times New Roman" w:hAnsi="Times New Roman" w:eastAsia="宋体" w:cs="Times New Roman"/>
          <w:sz w:val="24"/>
          <w:szCs w:val="24"/>
          <w:highlight w:val="none"/>
          <w:lang w:val="en-US" w:eastAsia="zh-CN"/>
        </w:rPr>
        <w:t>，项目营运后周边受影响人口数量变化不大，因此将本工程噪声环境影响评价工作等级确定为三级</w:t>
      </w:r>
      <w:r>
        <w:rPr>
          <w:rFonts w:hint="default" w:ascii="Times New Roman" w:hAnsi="Times New Roman" w:eastAsia="宋体" w:cs="Times New Roman"/>
          <w:sz w:val="24"/>
          <w:szCs w:val="24"/>
          <w:highlight w:val="none"/>
          <w:lang w:val="en-US" w:eastAsia="zh-CN"/>
        </w:rPr>
        <w:t>。</w:t>
      </w:r>
    </w:p>
    <w:p w14:paraId="557BE1D5">
      <w:pPr>
        <w:pStyle w:val="9"/>
        <w:bidi w:val="0"/>
        <w:rPr>
          <w:rFonts w:hint="eastAsia"/>
          <w:highlight w:val="none"/>
          <w:lang w:val="en-US" w:eastAsia="zh-CN"/>
        </w:rPr>
      </w:pPr>
      <w:r>
        <w:rPr>
          <w:rFonts w:hint="eastAsia"/>
          <w:highlight w:val="none"/>
          <w:lang w:val="en-US" w:eastAsia="zh-CN"/>
        </w:rPr>
        <w:t>2.5.1.5土壤环境</w:t>
      </w:r>
    </w:p>
    <w:p w14:paraId="3D888040">
      <w:pPr>
        <w:keepNext w:val="0"/>
        <w:keepLines w:val="0"/>
        <w:widowControl/>
        <w:suppressLineNumbers w:val="0"/>
        <w:jc w:val="left"/>
        <w:rPr>
          <w:rFonts w:hint="default"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1、项目类别</w:t>
      </w:r>
    </w:p>
    <w:p w14:paraId="0AE2CAB1">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highlight w:val="none"/>
        </w:rPr>
      </w:pPr>
      <w:r>
        <w:rPr>
          <w:rFonts w:hint="eastAsia" w:ascii="宋体" w:hAnsi="宋体" w:eastAsia="宋体" w:cs="宋体"/>
          <w:color w:val="000000"/>
          <w:kern w:val="0"/>
          <w:sz w:val="24"/>
          <w:szCs w:val="24"/>
          <w:highlight w:val="none"/>
          <w:lang w:val="en-US" w:eastAsia="zh-CN" w:bidi="ar"/>
        </w:rPr>
        <w:t>本项目对照《环境影响评价技术导则</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土壤环境（试行）》（</w:t>
      </w:r>
      <w:r>
        <w:rPr>
          <w:rFonts w:hint="default" w:ascii="Times New Roman" w:hAnsi="Times New Roman" w:eastAsia="宋体" w:cs="Times New Roman"/>
          <w:color w:val="000000"/>
          <w:kern w:val="0"/>
          <w:sz w:val="24"/>
          <w:szCs w:val="24"/>
          <w:highlight w:val="none"/>
          <w:lang w:val="en-US" w:eastAsia="zh-CN" w:bidi="ar"/>
        </w:rPr>
        <w:t>HJ964-2018</w:t>
      </w:r>
      <w:r>
        <w:rPr>
          <w:rFonts w:hint="eastAsia" w:ascii="宋体" w:hAnsi="宋体" w:eastAsia="宋体" w:cs="宋体"/>
          <w:color w:val="000000"/>
          <w:kern w:val="0"/>
          <w:sz w:val="24"/>
          <w:szCs w:val="24"/>
          <w:highlight w:val="none"/>
          <w:lang w:val="en-US" w:eastAsia="zh-CN" w:bidi="ar"/>
        </w:rPr>
        <w:t xml:space="preserve">） </w:t>
      </w:r>
    </w:p>
    <w:p w14:paraId="409F9E81">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 xml:space="preserve">附录 </w:t>
      </w: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（规范性附录）</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 xml:space="preserve">中识别建设项目所属行业的土壤环境影响评价项目类别，本项目属于石油、化工的化学原料和化学品制造，因此本项目为 </w:t>
      </w:r>
      <w:r>
        <w:rPr>
          <w:rFonts w:ascii="Times New Roman" w:hAnsi="Times New Roman" w:eastAsia="Times New Roman" w:cs="Times New Roman"/>
          <w:spacing w:val="-3"/>
          <w:highlight w:val="none"/>
        </w:rPr>
        <w:t>Ⅰ</w:t>
      </w:r>
      <w:r>
        <w:rPr>
          <w:rFonts w:hint="eastAsia" w:eastAsia="宋体" w:cs="Times New Roman"/>
          <w:spacing w:val="-3"/>
          <w:highlight w:val="none"/>
          <w:lang w:val="en-US" w:eastAsia="zh-CN"/>
        </w:rPr>
        <w:t xml:space="preserve"> </w:t>
      </w:r>
      <w:r>
        <w:rPr>
          <w:rFonts w:hint="eastAsia" w:ascii="宋体" w:hAnsi="宋体" w:eastAsia="宋体" w:cs="宋体"/>
          <w:color w:val="000000"/>
          <w:kern w:val="0"/>
          <w:sz w:val="24"/>
          <w:szCs w:val="24"/>
          <w:highlight w:val="none"/>
          <w:lang w:val="en-US" w:eastAsia="zh-CN" w:bidi="ar"/>
        </w:rPr>
        <w:t>类。</w:t>
      </w:r>
    </w:p>
    <w:p w14:paraId="44524DFE">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、项目占地规模 </w:t>
      </w:r>
    </w:p>
    <w:p w14:paraId="1FA13DA7">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highlight w:val="none"/>
        </w:rPr>
      </w:pPr>
      <w:r>
        <w:rPr>
          <w:rFonts w:hint="eastAsia" w:ascii="宋体" w:hAnsi="宋体" w:eastAsia="宋体" w:cs="宋体"/>
          <w:color w:val="000000"/>
          <w:kern w:val="0"/>
          <w:sz w:val="24"/>
          <w:szCs w:val="24"/>
          <w:highlight w:val="none"/>
          <w:lang w:val="en-US" w:eastAsia="zh-CN" w:bidi="ar"/>
        </w:rPr>
        <w:t>建设项目占地规模分为大型（</w:t>
      </w:r>
      <w:r>
        <w:rPr>
          <w:rFonts w:hint="default" w:ascii="Times New Roman" w:hAnsi="Times New Roman" w:eastAsia="宋体" w:cs="Times New Roman"/>
          <w:color w:val="000000"/>
          <w:kern w:val="0"/>
          <w:sz w:val="24"/>
          <w:szCs w:val="24"/>
          <w:highlight w:val="none"/>
          <w:lang w:val="en-US" w:eastAsia="zh-CN" w:bidi="ar"/>
        </w:rPr>
        <w:t>50≥hm</w:t>
      </w:r>
      <w:r>
        <w:rPr>
          <w:rFonts w:hint="eastAsia"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）、中型（</w:t>
      </w:r>
      <w:r>
        <w:rPr>
          <w:rFonts w:hint="default" w:ascii="Times New Roman" w:hAnsi="Times New Roman" w:eastAsia="宋体" w:cs="Times New Roman"/>
          <w:color w:val="000000"/>
          <w:kern w:val="0"/>
          <w:sz w:val="24"/>
          <w:szCs w:val="24"/>
          <w:highlight w:val="none"/>
          <w:lang w:val="en-US" w:eastAsia="zh-CN" w:bidi="ar"/>
        </w:rPr>
        <w:t>5~50hm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 xml:space="preserve">）、小型（小于等 </w:t>
      </w:r>
    </w:p>
    <w:p w14:paraId="46C74F47">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于 </w:t>
      </w:r>
      <w:r>
        <w:rPr>
          <w:rFonts w:hint="default" w:ascii="Times New Roman" w:hAnsi="Times New Roman" w:eastAsia="宋体" w:cs="Times New Roman"/>
          <w:color w:val="000000"/>
          <w:kern w:val="0"/>
          <w:sz w:val="24"/>
          <w:szCs w:val="24"/>
          <w:highlight w:val="none"/>
          <w:lang w:val="en-US" w:eastAsia="zh-CN" w:bidi="ar"/>
        </w:rPr>
        <w:t>5hm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）；本项目占地面积约</w:t>
      </w:r>
      <w:r>
        <w:rPr>
          <w:rFonts w:hint="eastAsia" w:ascii="Times New Roman" w:hAnsi="Times New Roman" w:eastAsia="宋体" w:cs="Times New Roman"/>
          <w:color w:val="000000"/>
          <w:kern w:val="0"/>
          <w:sz w:val="24"/>
          <w:szCs w:val="24"/>
          <w:highlight w:val="none"/>
          <w:lang w:val="en-US" w:eastAsia="zh-CN" w:bidi="ar"/>
        </w:rPr>
        <w:t xml:space="preserve"> 2245</w:t>
      </w:r>
      <w:r>
        <w:rPr>
          <w:rFonts w:hint="eastAsia" w:eastAsia="宋体" w:cs="Times New Roman"/>
          <w:color w:val="000000"/>
          <w:kern w:val="0"/>
          <w:sz w:val="24"/>
          <w:szCs w:val="24"/>
          <w:highlight w:val="none"/>
          <w:lang w:val="en-US" w:eastAsia="zh-CN" w:bidi="ar"/>
        </w:rPr>
        <w:t>m</w:t>
      </w:r>
      <w:r>
        <w:rPr>
          <w:rFonts w:hint="eastAsia"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kern w:val="0"/>
          <w:sz w:val="24"/>
          <w:szCs w:val="24"/>
          <w:highlight w:val="none"/>
          <w:lang w:val="en-US" w:eastAsia="zh-CN" w:bidi="ar"/>
        </w:rPr>
        <w:t>0.2245</w:t>
      </w:r>
      <w:r>
        <w:rPr>
          <w:rFonts w:hint="default" w:ascii="Times New Roman" w:hAnsi="Times New Roman" w:eastAsia="宋体" w:cs="Times New Roman"/>
          <w:color w:val="000000"/>
          <w:kern w:val="0"/>
          <w:sz w:val="24"/>
          <w:szCs w:val="24"/>
          <w:highlight w:val="none"/>
          <w:lang w:val="en-US" w:eastAsia="zh-CN" w:bidi="ar"/>
        </w:rPr>
        <w:t>hm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eastAsia" w:ascii="宋体" w:hAnsi="宋体" w:eastAsia="宋体" w:cs="宋体"/>
          <w:color w:val="000000"/>
          <w:kern w:val="0"/>
          <w:sz w:val="24"/>
          <w:szCs w:val="24"/>
          <w:highlight w:val="none"/>
          <w:lang w:val="en-US" w:eastAsia="zh-CN" w:bidi="ar"/>
        </w:rPr>
        <w:t>，占地规模为小型。</w:t>
      </w:r>
    </w:p>
    <w:p w14:paraId="38D4FFA4">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highlight w:val="none"/>
        </w:rPr>
      </w:pP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 xml:space="preserve">、土壤环境敏感程度划分 </w:t>
      </w:r>
    </w:p>
    <w:p w14:paraId="7F9F9001">
      <w:pPr>
        <w:keepNext w:val="0"/>
        <w:keepLines w:val="0"/>
        <w:widowControl/>
        <w:suppressLineNumbers w:val="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建设项目所在地周边的土壤环境敏感程度分为敏感、较敏感、不敏感，判别 依据见下表。</w:t>
      </w:r>
    </w:p>
    <w:p w14:paraId="401F26FE">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w:t>
      </w:r>
      <w:r>
        <w:rPr>
          <w:rFonts w:hint="eastAsia" w:ascii="Times New Roman" w:hAnsi="Times New Roman" w:eastAsia="宋体" w:cs="Times New Roman"/>
          <w:b/>
          <w:bCs/>
          <w:color w:val="auto"/>
          <w:kern w:val="0"/>
          <w:sz w:val="24"/>
          <w:szCs w:val="24"/>
          <w:highlight w:val="none"/>
          <w:lang w:val="en-US" w:eastAsia="zh-CN" w:bidi="ar"/>
        </w:rPr>
        <w:t>5-</w:t>
      </w:r>
      <w:r>
        <w:rPr>
          <w:rFonts w:hint="eastAsia" w:eastAsia="宋体"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 污染影响型项目敏感程度分级表</w:t>
      </w:r>
    </w:p>
    <w:p w14:paraId="78262B63">
      <w:pPr>
        <w:spacing w:line="67" w:lineRule="exact"/>
        <w:rPr>
          <w:highlight w:val="none"/>
        </w:rPr>
      </w:pPr>
    </w:p>
    <w:tbl>
      <w:tblPr>
        <w:tblStyle w:val="37"/>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55"/>
        <w:gridCol w:w="7168"/>
      </w:tblGrid>
      <w:tr w14:paraId="4F13E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4" w:type="pct"/>
            <w:tcBorders>
              <w:top w:val="single" w:color="000000" w:sz="10" w:space="0"/>
              <w:left w:val="single" w:color="000000" w:sz="10" w:space="0"/>
            </w:tcBorders>
            <w:vAlign w:val="top"/>
          </w:tcPr>
          <w:p w14:paraId="127DEFA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敏感程度</w:t>
            </w:r>
          </w:p>
        </w:tc>
        <w:tc>
          <w:tcPr>
            <w:tcW w:w="4305" w:type="pct"/>
            <w:tcBorders>
              <w:top w:val="single" w:color="000000" w:sz="10" w:space="0"/>
              <w:right w:val="single" w:color="000000" w:sz="10" w:space="0"/>
            </w:tcBorders>
            <w:vAlign w:val="top"/>
          </w:tcPr>
          <w:p w14:paraId="0E38333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判别依据</w:t>
            </w:r>
          </w:p>
        </w:tc>
      </w:tr>
      <w:tr w14:paraId="57817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694" w:type="pct"/>
            <w:tcBorders>
              <w:left w:val="single" w:color="000000" w:sz="10" w:space="0"/>
            </w:tcBorders>
            <w:vAlign w:val="top"/>
          </w:tcPr>
          <w:p w14:paraId="408FB8D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4"/>
                <w:highlight w:val="none"/>
              </w:rPr>
              <w:t>敏感</w:t>
            </w:r>
          </w:p>
        </w:tc>
        <w:tc>
          <w:tcPr>
            <w:tcW w:w="4305" w:type="pct"/>
            <w:tcBorders>
              <w:right w:val="single" w:color="000000" w:sz="10" w:space="0"/>
            </w:tcBorders>
            <w:vAlign w:val="top"/>
          </w:tcPr>
          <w:p w14:paraId="7B4196D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10"/>
                <w:highlight w:val="none"/>
              </w:rPr>
              <w:t>建设项目周边存在耕地、园地、牧草地、饮用水</w:t>
            </w:r>
            <w:r>
              <w:rPr>
                <w:spacing w:val="9"/>
                <w:highlight w:val="none"/>
              </w:rPr>
              <w:t>源地或居民区、学校、医院、疗养</w:t>
            </w:r>
            <w:r>
              <w:rPr>
                <w:spacing w:val="7"/>
                <w:highlight w:val="none"/>
              </w:rPr>
              <w:t>院等土壤环境敏感目标的</w:t>
            </w:r>
          </w:p>
        </w:tc>
      </w:tr>
      <w:tr w14:paraId="46BB7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694" w:type="pct"/>
            <w:tcBorders>
              <w:left w:val="single" w:color="000000" w:sz="10" w:space="0"/>
            </w:tcBorders>
            <w:vAlign w:val="top"/>
          </w:tcPr>
          <w:p w14:paraId="280EE36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6"/>
                <w:highlight w:val="none"/>
              </w:rPr>
              <w:t>较敏感</w:t>
            </w:r>
          </w:p>
        </w:tc>
        <w:tc>
          <w:tcPr>
            <w:tcW w:w="4305" w:type="pct"/>
            <w:tcBorders>
              <w:right w:val="single" w:color="000000" w:sz="10" w:space="0"/>
            </w:tcBorders>
            <w:vAlign w:val="top"/>
          </w:tcPr>
          <w:p w14:paraId="1E9A456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9"/>
                <w:highlight w:val="none"/>
              </w:rPr>
              <w:t>建设项目周边存在其他土壤环境敏感目标的</w:t>
            </w:r>
          </w:p>
        </w:tc>
      </w:tr>
      <w:tr w14:paraId="7D9C1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94" w:type="pct"/>
            <w:tcBorders>
              <w:left w:val="single" w:color="000000" w:sz="10" w:space="0"/>
              <w:bottom w:val="single" w:color="000000" w:sz="10" w:space="0"/>
            </w:tcBorders>
            <w:vAlign w:val="top"/>
          </w:tcPr>
          <w:p w14:paraId="1D126C3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5"/>
                <w:highlight w:val="none"/>
              </w:rPr>
              <w:t>不敏感</w:t>
            </w:r>
          </w:p>
        </w:tc>
        <w:tc>
          <w:tcPr>
            <w:tcW w:w="4305" w:type="pct"/>
            <w:tcBorders>
              <w:bottom w:val="single" w:color="000000" w:sz="10" w:space="0"/>
              <w:right w:val="single" w:color="000000" w:sz="10" w:space="0"/>
            </w:tcBorders>
            <w:vAlign w:val="top"/>
          </w:tcPr>
          <w:p w14:paraId="7E6E852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7"/>
                <w:highlight w:val="none"/>
              </w:rPr>
              <w:t>其他情况</w:t>
            </w:r>
          </w:p>
        </w:tc>
      </w:tr>
    </w:tbl>
    <w:p w14:paraId="5A8758E5">
      <w:pPr>
        <w:ind w:left="0" w:leftChars="0" w:firstLine="480" w:firstLineChars="200"/>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项目所在地为规划建设的工业园区内，土壤环境敏感程度为不敏感。</w:t>
      </w:r>
    </w:p>
    <w:p w14:paraId="2EEB6904">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w:t>
      </w:r>
      <w:r>
        <w:rPr>
          <w:rFonts w:hint="eastAsia" w:eastAsia="宋体" w:cs="Times New Roman"/>
          <w:b/>
          <w:bCs/>
          <w:color w:val="auto"/>
          <w:kern w:val="0"/>
          <w:sz w:val="24"/>
          <w:szCs w:val="24"/>
          <w:highlight w:val="none"/>
          <w:lang w:val="en-US" w:eastAsia="zh-CN" w:bidi="ar"/>
        </w:rPr>
        <w:t>5-9</w:t>
      </w:r>
      <w:r>
        <w:rPr>
          <w:rFonts w:hint="default" w:ascii="Times New Roman" w:hAnsi="Times New Roman" w:eastAsia="宋体" w:cs="Times New Roman"/>
          <w:b/>
          <w:bCs/>
          <w:color w:val="auto"/>
          <w:kern w:val="0"/>
          <w:sz w:val="24"/>
          <w:szCs w:val="24"/>
          <w:highlight w:val="none"/>
          <w:lang w:val="en-US" w:eastAsia="zh-CN" w:bidi="ar"/>
        </w:rPr>
        <w:t xml:space="preserve"> 污染型评价工作等级划分表</w:t>
      </w:r>
    </w:p>
    <w:p w14:paraId="79BBE6BF">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14:paraId="55FAF0BD">
      <w:pPr>
        <w:spacing w:line="65" w:lineRule="exact"/>
        <w:rPr>
          <w:highlight w:val="none"/>
        </w:rPr>
      </w:pPr>
    </w:p>
    <w:tbl>
      <w:tblPr>
        <w:tblStyle w:val="37"/>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60"/>
        <w:gridCol w:w="781"/>
        <w:gridCol w:w="729"/>
        <w:gridCol w:w="723"/>
        <w:gridCol w:w="741"/>
        <w:gridCol w:w="731"/>
        <w:gridCol w:w="721"/>
        <w:gridCol w:w="741"/>
        <w:gridCol w:w="729"/>
        <w:gridCol w:w="741"/>
        <w:gridCol w:w="10"/>
      </w:tblGrid>
      <w:tr w14:paraId="452E7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700" w:hRule="atLeast"/>
        </w:trPr>
        <w:tc>
          <w:tcPr>
            <w:tcW w:w="999" w:type="pct"/>
            <w:vMerge w:val="restart"/>
            <w:tcBorders>
              <w:tl2br w:val="nil"/>
              <w:tr2bl w:val="nil"/>
            </w:tcBorders>
            <w:vAlign w:val="center"/>
            <mc:AlternateContent>
              <mc:Choice Requires="wpsCustomData">
                <wpsCustomData:diagonals>
                  <wpsCustomData:diagonal from="10000" to="24200">
                    <wpsCustomData:border w:val="single" w:color="000000" w:sz="2" w:space="0"/>
                  </wpsCustomData:diagonal>
                  <wpsCustomData:diagonal from="9500" to="31000">
                    <wpsCustomData:border w:val="single" w:color="000000" w:sz="2" w:space="0"/>
                  </wpsCustomData:diagonal>
                </wpsCustomData:diagonals>
              </mc:Choice>
            </mc:AlternateContent>
          </w:tcPr>
          <w:p w14:paraId="32A0FC4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41577BC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477159D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168D05A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0DD52705">
            <w:pPr>
              <w:pStyle w:val="36"/>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z w:val="21"/>
                <w:szCs w:val="21"/>
                <w:highlight w:val="none"/>
              </w:rPr>
              <w:t>敏</w:t>
            </w:r>
            <w:r>
              <w:rPr>
                <w:rFonts w:hint="default" w:ascii="Times New Roman" w:hAnsi="Times New Roman" w:eastAsia="宋体" w:cs="Times New Roman"/>
                <w:spacing w:val="4"/>
                <w:sz w:val="21"/>
                <w:szCs w:val="21"/>
                <w:highlight w:val="none"/>
              </w:rPr>
              <w:t>感程</w:t>
            </w:r>
            <w:r>
              <w:rPr>
                <w:rFonts w:hint="default" w:ascii="Times New Roman" w:hAnsi="Times New Roman" w:eastAsia="宋体" w:cs="Times New Roman"/>
                <w:spacing w:val="1"/>
                <w:sz w:val="21"/>
                <w:szCs w:val="21"/>
                <w:highlight w:val="none"/>
              </w:rPr>
              <w:t>度</w:t>
            </w:r>
          </w:p>
          <w:p w14:paraId="647D51C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2933B7C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3F774CB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4239CEA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57A823C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7B5BEDA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7C0B511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374A78A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69237B7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p>
          <w:p w14:paraId="49F67E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20064466">
            <w:pPr>
              <w:pStyle w:val="36"/>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sz w:val="21"/>
                <w:szCs w:val="21"/>
                <w:highlight w:val="none"/>
              </w:rPr>
            </w:pPr>
          </w:p>
          <w:p w14:paraId="7E29287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highlight w:val="none"/>
              </w:rPr>
            </w:pPr>
            <w:r>
              <w:rPr>
                <w:rFonts w:hint="eastAsia" w:ascii="Times New Roman" w:hAnsi="Times New Roman" w:cs="Times New Roman"/>
                <w:spacing w:val="4"/>
                <w:sz w:val="21"/>
                <w:szCs w:val="21"/>
                <w:highlight w:val="none"/>
                <w:lang w:val="en-US" w:eastAsia="zh-CN"/>
              </w:rPr>
              <w:t>评</w:t>
            </w:r>
            <w:r>
              <w:rPr>
                <w:rFonts w:hint="default" w:ascii="Times New Roman" w:hAnsi="Times New Roman" w:eastAsia="宋体" w:cs="Times New Roman"/>
                <w:spacing w:val="4"/>
                <w:sz w:val="21"/>
                <w:szCs w:val="21"/>
                <w:highlight w:val="none"/>
              </w:rPr>
              <w:t>价工</w:t>
            </w:r>
            <w:r>
              <w:rPr>
                <w:rFonts w:hint="default" w:ascii="Times New Roman" w:hAnsi="Times New Roman" w:eastAsia="宋体" w:cs="Times New Roman"/>
                <w:spacing w:val="6"/>
                <w:sz w:val="21"/>
                <w:szCs w:val="21"/>
                <w:highlight w:val="none"/>
              </w:rPr>
              <w:t>作等级</w:t>
            </w:r>
          </w:p>
          <w:p w14:paraId="1378E9A0">
            <w:pPr>
              <w:pStyle w:val="36"/>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sz w:val="21"/>
                <w:szCs w:val="21"/>
                <w:highlight w:val="none"/>
              </w:rPr>
            </w:pPr>
          </w:p>
          <w:p w14:paraId="2EE03C1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rPr>
            </w:pPr>
            <w:r>
              <w:rPr>
                <w:rFonts w:hint="default" w:ascii="Times New Roman" w:hAnsi="Times New Roman" w:eastAsia="宋体" w:cs="Times New Roman"/>
                <w:spacing w:val="-2"/>
                <w:sz w:val="21"/>
                <w:szCs w:val="21"/>
                <w:highlight w:val="none"/>
              </w:rPr>
              <w:t>占地规模</w:t>
            </w:r>
          </w:p>
          <w:p w14:paraId="4E90036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1344" w:type="pct"/>
            <w:gridSpan w:val="3"/>
            <w:tcBorders>
              <w:tl2br w:val="nil"/>
              <w:tr2bl w:val="nil"/>
            </w:tcBorders>
            <w:vAlign w:val="center"/>
          </w:tcPr>
          <w:p w14:paraId="1316F8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339F001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Ⅰ类</w:t>
            </w:r>
          </w:p>
        </w:tc>
        <w:tc>
          <w:tcPr>
            <w:tcW w:w="1320" w:type="pct"/>
            <w:gridSpan w:val="3"/>
            <w:tcBorders>
              <w:tl2br w:val="nil"/>
              <w:tr2bl w:val="nil"/>
            </w:tcBorders>
            <w:vAlign w:val="center"/>
          </w:tcPr>
          <w:p w14:paraId="12FFC3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1FB9FE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Ⅱ类</w:t>
            </w:r>
          </w:p>
        </w:tc>
        <w:tc>
          <w:tcPr>
            <w:tcW w:w="1331" w:type="pct"/>
            <w:gridSpan w:val="3"/>
            <w:tcBorders>
              <w:tl2br w:val="nil"/>
              <w:tr2bl w:val="nil"/>
            </w:tcBorders>
            <w:vAlign w:val="center"/>
          </w:tcPr>
          <w:p w14:paraId="0CA17A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26C661D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Ⅲ类</w:t>
            </w:r>
          </w:p>
        </w:tc>
      </w:tr>
      <w:tr w14:paraId="72B95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629" w:hRule="atLeast"/>
        </w:trPr>
        <w:tc>
          <w:tcPr>
            <w:tcW w:w="999" w:type="pct"/>
            <w:vMerge w:val="continue"/>
            <w:tcBorders>
              <w:tl2br w:val="nil"/>
              <w:tr2bl w:val="nil"/>
            </w:tcBorders>
            <w:vAlign w:val="center"/>
          </w:tcPr>
          <w:p w14:paraId="69F5A3B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tcBorders>
              <w:tl2br w:val="nil"/>
              <w:tr2bl w:val="nil"/>
            </w:tcBorders>
            <w:vAlign w:val="center"/>
          </w:tcPr>
          <w:p w14:paraId="57FC468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3"/>
                <w:sz w:val="21"/>
                <w:szCs w:val="21"/>
                <w:highlight w:val="none"/>
              </w:rPr>
            </w:pPr>
            <w:r>
              <w:rPr>
                <w:rFonts w:hint="default" w:ascii="Times New Roman" w:hAnsi="Times New Roman" w:eastAsia="宋体" w:cs="Times New Roman"/>
                <w:sz w:val="21"/>
                <w:szCs w:val="21"/>
                <w:highlight w:val="none"/>
              </w:rPr>
              <w:t>大</w:t>
            </w:r>
          </w:p>
        </w:tc>
        <w:tc>
          <w:tcPr>
            <w:tcW w:w="439" w:type="pct"/>
            <w:tcBorders>
              <w:tl2br w:val="nil"/>
              <w:tr2bl w:val="nil"/>
            </w:tcBorders>
            <w:vAlign w:val="center"/>
          </w:tcPr>
          <w:p w14:paraId="704AE92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4"/>
                <w:sz w:val="21"/>
                <w:szCs w:val="21"/>
                <w:highlight w:val="none"/>
              </w:rPr>
            </w:pPr>
            <w:r>
              <w:rPr>
                <w:rFonts w:hint="default" w:ascii="Times New Roman" w:hAnsi="Times New Roman" w:eastAsia="宋体" w:cs="Times New Roman"/>
                <w:sz w:val="21"/>
                <w:szCs w:val="21"/>
                <w:highlight w:val="none"/>
              </w:rPr>
              <w:t>中</w:t>
            </w:r>
          </w:p>
        </w:tc>
        <w:tc>
          <w:tcPr>
            <w:tcW w:w="435" w:type="pct"/>
            <w:tcBorders>
              <w:tl2br w:val="nil"/>
              <w:tr2bl w:val="nil"/>
            </w:tcBorders>
            <w:vAlign w:val="center"/>
          </w:tcPr>
          <w:p w14:paraId="4CDE860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z w:val="21"/>
                <w:szCs w:val="21"/>
                <w:highlight w:val="none"/>
              </w:rPr>
              <w:t>小</w:t>
            </w:r>
          </w:p>
        </w:tc>
        <w:tc>
          <w:tcPr>
            <w:tcW w:w="446" w:type="pct"/>
            <w:tcBorders>
              <w:tl2br w:val="nil"/>
              <w:tr2bl w:val="nil"/>
            </w:tcBorders>
            <w:vAlign w:val="center"/>
          </w:tcPr>
          <w:p w14:paraId="0336ACD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z w:val="21"/>
                <w:szCs w:val="21"/>
                <w:highlight w:val="none"/>
              </w:rPr>
              <w:t>大</w:t>
            </w:r>
          </w:p>
        </w:tc>
        <w:tc>
          <w:tcPr>
            <w:tcW w:w="440" w:type="pct"/>
            <w:tcBorders>
              <w:tl2br w:val="nil"/>
              <w:tr2bl w:val="nil"/>
            </w:tcBorders>
            <w:vAlign w:val="center"/>
          </w:tcPr>
          <w:p w14:paraId="2FF18EB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z w:val="21"/>
                <w:szCs w:val="21"/>
                <w:highlight w:val="none"/>
              </w:rPr>
              <w:t>中</w:t>
            </w:r>
          </w:p>
        </w:tc>
        <w:tc>
          <w:tcPr>
            <w:tcW w:w="434" w:type="pct"/>
            <w:tcBorders>
              <w:tl2br w:val="nil"/>
              <w:tr2bl w:val="nil"/>
            </w:tcBorders>
            <w:vAlign w:val="center"/>
          </w:tcPr>
          <w:p w14:paraId="10D8108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z w:val="21"/>
                <w:szCs w:val="21"/>
                <w:highlight w:val="none"/>
              </w:rPr>
              <w:t>小</w:t>
            </w:r>
          </w:p>
        </w:tc>
        <w:tc>
          <w:tcPr>
            <w:tcW w:w="446" w:type="pct"/>
            <w:tcBorders>
              <w:tl2br w:val="nil"/>
              <w:tr2bl w:val="nil"/>
            </w:tcBorders>
            <w:vAlign w:val="center"/>
          </w:tcPr>
          <w:p w14:paraId="32CF624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z w:val="21"/>
                <w:szCs w:val="21"/>
                <w:highlight w:val="none"/>
              </w:rPr>
              <w:t>大</w:t>
            </w:r>
          </w:p>
        </w:tc>
        <w:tc>
          <w:tcPr>
            <w:tcW w:w="439" w:type="pct"/>
            <w:tcBorders>
              <w:tl2br w:val="nil"/>
              <w:tr2bl w:val="nil"/>
            </w:tcBorders>
            <w:vAlign w:val="center"/>
          </w:tcPr>
          <w:p w14:paraId="3FF824C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z w:val="21"/>
                <w:szCs w:val="21"/>
                <w:highlight w:val="none"/>
              </w:rPr>
              <w:t>中</w:t>
            </w:r>
          </w:p>
        </w:tc>
        <w:tc>
          <w:tcPr>
            <w:tcW w:w="446" w:type="pct"/>
            <w:tcBorders>
              <w:tl2br w:val="nil"/>
              <w:tr2bl w:val="nil"/>
            </w:tcBorders>
            <w:vAlign w:val="center"/>
          </w:tcPr>
          <w:p w14:paraId="65AAD70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sz w:val="21"/>
                <w:szCs w:val="21"/>
                <w:highlight w:val="none"/>
              </w:rPr>
              <w:t>小</w:t>
            </w:r>
          </w:p>
        </w:tc>
      </w:tr>
      <w:tr w14:paraId="02338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9" w:type="pct"/>
            <w:tcBorders>
              <w:tl2br w:val="nil"/>
              <w:tr2bl w:val="nil"/>
            </w:tcBorders>
            <w:vAlign w:val="center"/>
          </w:tcPr>
          <w:p w14:paraId="792D22D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敏感</w:t>
            </w:r>
          </w:p>
        </w:tc>
        <w:tc>
          <w:tcPr>
            <w:tcW w:w="470" w:type="pct"/>
            <w:tcBorders>
              <w:tl2br w:val="nil"/>
              <w:tr2bl w:val="nil"/>
            </w:tcBorders>
            <w:vAlign w:val="center"/>
          </w:tcPr>
          <w:p w14:paraId="1F32FC7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一级</w:t>
            </w:r>
          </w:p>
        </w:tc>
        <w:tc>
          <w:tcPr>
            <w:tcW w:w="439" w:type="pct"/>
            <w:tcBorders>
              <w:tl2br w:val="nil"/>
              <w:tr2bl w:val="nil"/>
            </w:tcBorders>
            <w:vAlign w:val="center"/>
          </w:tcPr>
          <w:p w14:paraId="4664578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一级</w:t>
            </w:r>
          </w:p>
        </w:tc>
        <w:tc>
          <w:tcPr>
            <w:tcW w:w="435" w:type="pct"/>
            <w:tcBorders>
              <w:tl2br w:val="nil"/>
              <w:tr2bl w:val="nil"/>
            </w:tcBorders>
            <w:vAlign w:val="center"/>
          </w:tcPr>
          <w:p w14:paraId="26F5357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一级</w:t>
            </w:r>
          </w:p>
        </w:tc>
        <w:tc>
          <w:tcPr>
            <w:tcW w:w="446" w:type="pct"/>
            <w:tcBorders>
              <w:tl2br w:val="nil"/>
              <w:tr2bl w:val="nil"/>
            </w:tcBorders>
            <w:vAlign w:val="center"/>
          </w:tcPr>
          <w:p w14:paraId="43AA54D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40" w:type="pct"/>
            <w:tcBorders>
              <w:tl2br w:val="nil"/>
              <w:tr2bl w:val="nil"/>
            </w:tcBorders>
            <w:vAlign w:val="center"/>
          </w:tcPr>
          <w:p w14:paraId="48E4277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34" w:type="pct"/>
            <w:tcBorders>
              <w:tl2br w:val="nil"/>
              <w:tr2bl w:val="nil"/>
            </w:tcBorders>
            <w:vAlign w:val="center"/>
          </w:tcPr>
          <w:p w14:paraId="297346E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46" w:type="pct"/>
            <w:tcBorders>
              <w:tl2br w:val="nil"/>
              <w:tr2bl w:val="nil"/>
            </w:tcBorders>
            <w:vAlign w:val="center"/>
          </w:tcPr>
          <w:p w14:paraId="69D8158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39" w:type="pct"/>
            <w:tcBorders>
              <w:tl2br w:val="nil"/>
              <w:tr2bl w:val="nil"/>
            </w:tcBorders>
            <w:vAlign w:val="center"/>
          </w:tcPr>
          <w:p w14:paraId="150D020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49" w:type="pct"/>
            <w:gridSpan w:val="2"/>
            <w:tcBorders>
              <w:tl2br w:val="nil"/>
              <w:tr2bl w:val="nil"/>
            </w:tcBorders>
            <w:vAlign w:val="center"/>
          </w:tcPr>
          <w:p w14:paraId="27CC194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r>
      <w:tr w14:paraId="3BBC0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99" w:type="pct"/>
            <w:tcBorders>
              <w:tl2br w:val="nil"/>
              <w:tr2bl w:val="nil"/>
            </w:tcBorders>
            <w:vAlign w:val="center"/>
          </w:tcPr>
          <w:p w14:paraId="3EEBF34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较敏感</w:t>
            </w:r>
          </w:p>
        </w:tc>
        <w:tc>
          <w:tcPr>
            <w:tcW w:w="470" w:type="pct"/>
            <w:tcBorders>
              <w:tl2br w:val="nil"/>
              <w:tr2bl w:val="nil"/>
            </w:tcBorders>
            <w:vAlign w:val="center"/>
          </w:tcPr>
          <w:p w14:paraId="18209F7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一级</w:t>
            </w:r>
          </w:p>
        </w:tc>
        <w:tc>
          <w:tcPr>
            <w:tcW w:w="439" w:type="pct"/>
            <w:tcBorders>
              <w:tl2br w:val="nil"/>
              <w:tr2bl w:val="nil"/>
            </w:tcBorders>
            <w:vAlign w:val="center"/>
          </w:tcPr>
          <w:p w14:paraId="3FCCF26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一级</w:t>
            </w:r>
          </w:p>
        </w:tc>
        <w:tc>
          <w:tcPr>
            <w:tcW w:w="435" w:type="pct"/>
            <w:tcBorders>
              <w:tl2br w:val="nil"/>
              <w:tr2bl w:val="nil"/>
            </w:tcBorders>
            <w:vAlign w:val="center"/>
          </w:tcPr>
          <w:p w14:paraId="1726696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46" w:type="pct"/>
            <w:tcBorders>
              <w:tl2br w:val="nil"/>
              <w:tr2bl w:val="nil"/>
            </w:tcBorders>
            <w:vAlign w:val="center"/>
          </w:tcPr>
          <w:p w14:paraId="039C909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40" w:type="pct"/>
            <w:tcBorders>
              <w:tl2br w:val="nil"/>
              <w:tr2bl w:val="nil"/>
            </w:tcBorders>
            <w:vAlign w:val="center"/>
          </w:tcPr>
          <w:p w14:paraId="64622E6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34" w:type="pct"/>
            <w:tcBorders>
              <w:tl2br w:val="nil"/>
              <w:tr2bl w:val="nil"/>
            </w:tcBorders>
            <w:vAlign w:val="center"/>
          </w:tcPr>
          <w:p w14:paraId="333CB79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46" w:type="pct"/>
            <w:tcBorders>
              <w:tl2br w:val="nil"/>
              <w:tr2bl w:val="nil"/>
            </w:tcBorders>
            <w:vAlign w:val="center"/>
          </w:tcPr>
          <w:p w14:paraId="268D152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39" w:type="pct"/>
            <w:tcBorders>
              <w:tl2br w:val="nil"/>
              <w:tr2bl w:val="nil"/>
            </w:tcBorders>
            <w:vAlign w:val="center"/>
          </w:tcPr>
          <w:p w14:paraId="4DF45F3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49" w:type="pct"/>
            <w:gridSpan w:val="2"/>
            <w:tcBorders>
              <w:tl2br w:val="nil"/>
              <w:tr2bl w:val="nil"/>
            </w:tcBorders>
            <w:vAlign w:val="center"/>
          </w:tcPr>
          <w:p w14:paraId="443334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w:t>
            </w:r>
          </w:p>
        </w:tc>
      </w:tr>
      <w:tr w14:paraId="38AB1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999" w:type="pct"/>
            <w:tcBorders>
              <w:tl2br w:val="nil"/>
              <w:tr2bl w:val="nil"/>
            </w:tcBorders>
            <w:vAlign w:val="center"/>
          </w:tcPr>
          <w:p w14:paraId="1BA9EE2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不敏感</w:t>
            </w:r>
          </w:p>
        </w:tc>
        <w:tc>
          <w:tcPr>
            <w:tcW w:w="470" w:type="pct"/>
            <w:tcBorders>
              <w:tl2br w:val="nil"/>
              <w:tr2bl w:val="nil"/>
            </w:tcBorders>
            <w:vAlign w:val="center"/>
          </w:tcPr>
          <w:p w14:paraId="22F523B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一级</w:t>
            </w:r>
          </w:p>
        </w:tc>
        <w:tc>
          <w:tcPr>
            <w:tcW w:w="439" w:type="pct"/>
            <w:tcBorders>
              <w:tl2br w:val="nil"/>
              <w:tr2bl w:val="nil"/>
            </w:tcBorders>
            <w:vAlign w:val="center"/>
          </w:tcPr>
          <w:p w14:paraId="17DF1FC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35" w:type="pct"/>
            <w:tcBorders>
              <w:tl2br w:val="nil"/>
              <w:tr2bl w:val="nil"/>
            </w:tcBorders>
            <w:vAlign w:val="center"/>
          </w:tcPr>
          <w:p w14:paraId="212DBFC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shd w:val="clear" w:fill="D7D7D7"/>
              </w:rPr>
              <w:t>二级</w:t>
            </w:r>
          </w:p>
        </w:tc>
        <w:tc>
          <w:tcPr>
            <w:tcW w:w="446" w:type="pct"/>
            <w:tcBorders>
              <w:tl2br w:val="nil"/>
              <w:tr2bl w:val="nil"/>
            </w:tcBorders>
            <w:vAlign w:val="center"/>
          </w:tcPr>
          <w:p w14:paraId="4433680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二级</w:t>
            </w:r>
          </w:p>
        </w:tc>
        <w:tc>
          <w:tcPr>
            <w:tcW w:w="440" w:type="pct"/>
            <w:tcBorders>
              <w:tl2br w:val="nil"/>
              <w:tr2bl w:val="nil"/>
            </w:tcBorders>
            <w:vAlign w:val="center"/>
          </w:tcPr>
          <w:p w14:paraId="1285150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34" w:type="pct"/>
            <w:tcBorders>
              <w:tl2br w:val="nil"/>
              <w:tr2bl w:val="nil"/>
            </w:tcBorders>
            <w:vAlign w:val="center"/>
          </w:tcPr>
          <w:p w14:paraId="4E0FFEF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46" w:type="pct"/>
            <w:tcBorders>
              <w:tl2br w:val="nil"/>
              <w:tr2bl w:val="nil"/>
            </w:tcBorders>
            <w:vAlign w:val="center"/>
          </w:tcPr>
          <w:p w14:paraId="265422E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三级</w:t>
            </w:r>
          </w:p>
        </w:tc>
        <w:tc>
          <w:tcPr>
            <w:tcW w:w="439" w:type="pct"/>
            <w:tcBorders>
              <w:tl2br w:val="nil"/>
              <w:tr2bl w:val="nil"/>
            </w:tcBorders>
            <w:vAlign w:val="center"/>
          </w:tcPr>
          <w:p w14:paraId="0FC069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w:t>
            </w:r>
          </w:p>
        </w:tc>
        <w:tc>
          <w:tcPr>
            <w:tcW w:w="449" w:type="pct"/>
            <w:gridSpan w:val="2"/>
            <w:tcBorders>
              <w:tl2br w:val="nil"/>
              <w:tr2bl w:val="nil"/>
            </w:tcBorders>
            <w:vAlign w:val="center"/>
          </w:tcPr>
          <w:p w14:paraId="70A454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position w:val="-2"/>
                <w:sz w:val="21"/>
                <w:szCs w:val="21"/>
                <w:highlight w:val="none"/>
              </w:rPr>
              <w:t>-</w:t>
            </w:r>
          </w:p>
        </w:tc>
      </w:tr>
      <w:tr w14:paraId="4E60E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5000" w:type="pct"/>
            <w:gridSpan w:val="11"/>
            <w:tcBorders>
              <w:tl2br w:val="nil"/>
              <w:tr2bl w:val="nil"/>
            </w:tcBorders>
            <w:vAlign w:val="center"/>
          </w:tcPr>
          <w:p w14:paraId="1270CC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position w:val="-2"/>
                <w:sz w:val="21"/>
                <w:szCs w:val="21"/>
                <w:highlight w:val="none"/>
              </w:rPr>
            </w:pPr>
            <w:r>
              <w:rPr>
                <w:rFonts w:hint="eastAsia" w:ascii="Times New Roman" w:hAnsi="Times New Roman" w:eastAsia="宋体" w:cs="Times New Roman"/>
                <w:position w:val="-2"/>
                <w:sz w:val="21"/>
                <w:szCs w:val="21"/>
                <w:highlight w:val="none"/>
                <w:lang w:val="en-US" w:eastAsia="zh-CN"/>
              </w:rPr>
              <w:t>注“</w:t>
            </w:r>
            <w:r>
              <w:rPr>
                <w:rFonts w:hint="default" w:ascii="Times New Roman" w:hAnsi="Times New Roman" w:eastAsia="宋体" w:cs="Times New Roman"/>
                <w:position w:val="-2"/>
                <w:sz w:val="21"/>
                <w:szCs w:val="21"/>
                <w:highlight w:val="none"/>
              </w:rPr>
              <w:t>-</w:t>
            </w:r>
            <w:r>
              <w:rPr>
                <w:rFonts w:hint="eastAsia" w:ascii="Times New Roman" w:hAnsi="Times New Roman" w:eastAsia="宋体" w:cs="Times New Roman"/>
                <w:position w:val="-2"/>
                <w:sz w:val="21"/>
                <w:szCs w:val="21"/>
                <w:highlight w:val="none"/>
                <w:lang w:val="en-US" w:eastAsia="zh-CN"/>
              </w:rPr>
              <w:t>”</w:t>
            </w:r>
            <w:r>
              <w:rPr>
                <w:rFonts w:hint="default" w:ascii="Times New Roman" w:hAnsi="Times New Roman" w:eastAsia="宋体" w:cs="Times New Roman"/>
                <w:position w:val="-2"/>
                <w:sz w:val="21"/>
                <w:szCs w:val="21"/>
                <w:highlight w:val="none"/>
              </w:rPr>
              <w:t>表示可不开展土壤环境影响评价工作</w:t>
            </w:r>
          </w:p>
        </w:tc>
      </w:tr>
    </w:tbl>
    <w:p w14:paraId="0D3B71F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eastAsia="宋体" w:cs="Times New Roman"/>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根据《环境影响评价技术导则土壤环境（试行）》（</w:t>
      </w:r>
      <w:r>
        <w:rPr>
          <w:rFonts w:hint="default" w:ascii="Times New Roman" w:hAnsi="Times New Roman" w:eastAsia="宋体" w:cs="Times New Roman"/>
          <w:color w:val="auto"/>
          <w:kern w:val="0"/>
          <w:sz w:val="24"/>
          <w:szCs w:val="24"/>
          <w:highlight w:val="none"/>
          <w:lang w:val="en-US" w:eastAsia="zh-CN" w:bidi="ar"/>
        </w:rPr>
        <w:t>HJ964-2018</w:t>
      </w:r>
      <w:r>
        <w:rPr>
          <w:rFonts w:hint="eastAsia" w:ascii="宋体" w:hAnsi="宋体" w:eastAsia="宋体" w:cs="宋体"/>
          <w:color w:val="auto"/>
          <w:kern w:val="0"/>
          <w:sz w:val="24"/>
          <w:szCs w:val="24"/>
          <w:highlight w:val="none"/>
          <w:lang w:val="en-US" w:eastAsia="zh-CN" w:bidi="ar"/>
        </w:rPr>
        <w:t>）污染影响 型评价工作等级划分表，</w:t>
      </w:r>
      <w:r>
        <w:rPr>
          <w:rFonts w:hint="eastAsia" w:ascii="Times New Roman" w:hAnsi="Times New Roman" w:eastAsia="Times New Roman" w:cs="Times New Roman"/>
          <w:color w:val="auto"/>
          <w:spacing w:val="-3"/>
          <w:highlight w:val="none"/>
          <w:lang w:val="en-US" w:eastAsia="zh-CN"/>
        </w:rPr>
        <w:t>Ⅰ</w:t>
      </w:r>
      <w:r>
        <w:rPr>
          <w:rFonts w:hint="eastAsia" w:ascii="宋体" w:hAnsi="宋体" w:eastAsia="宋体" w:cs="宋体"/>
          <w:color w:val="auto"/>
          <w:kern w:val="0"/>
          <w:sz w:val="24"/>
          <w:szCs w:val="24"/>
          <w:highlight w:val="none"/>
          <w:lang w:val="en-US" w:eastAsia="zh-CN" w:bidi="ar"/>
        </w:rPr>
        <w:t>类项目、占地规模小型、不敏感，土壤</w:t>
      </w:r>
      <w:r>
        <w:rPr>
          <w:rFonts w:hint="default" w:ascii="Times New Roman" w:hAnsi="Times New Roman" w:eastAsia="宋体" w:cs="Times New Roman"/>
          <w:color w:val="auto"/>
          <w:sz w:val="24"/>
          <w:szCs w:val="24"/>
          <w:highlight w:val="none"/>
        </w:rPr>
        <w:t>环境影响评价等级为</w:t>
      </w:r>
      <w:r>
        <w:rPr>
          <w:rFonts w:hint="eastAsia" w:eastAsia="宋体" w:cs="Times New Roman"/>
          <w:color w:val="auto"/>
          <w:sz w:val="24"/>
          <w:szCs w:val="24"/>
          <w:highlight w:val="none"/>
          <w:lang w:val="en-US" w:eastAsia="zh-CN"/>
        </w:rPr>
        <w:t>二级。工业园区内的建设项目，应重点在建设项目占地范围内开展现状调查工作，并兼顾其可能影响的园区外围土壤环境敏感目标。</w:t>
      </w:r>
    </w:p>
    <w:p w14:paraId="6CC15BA4">
      <w:pPr>
        <w:pStyle w:val="9"/>
        <w:bidi w:val="0"/>
        <w:rPr>
          <w:highlight w:val="none"/>
        </w:rPr>
      </w:pPr>
      <w:r>
        <w:rPr>
          <w:rFonts w:hint="eastAsia"/>
          <w:highlight w:val="none"/>
          <w:lang w:val="en-US" w:eastAsia="zh-CN"/>
        </w:rPr>
        <w:t>2.5.1.6</w:t>
      </w:r>
      <w:r>
        <w:rPr>
          <w:highlight w:val="none"/>
        </w:rPr>
        <w:t xml:space="preserve"> 环境风险</w:t>
      </w:r>
    </w:p>
    <w:p w14:paraId="6575F682">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通过对本项目涉及的物质及工艺系统危险性和所在地环境敏感性确定环境风险潜势，本项目所在地为环境低度敏感区，对照《建设项目环境风险评价技术导则》（HJ 169-2018）中附录 B ，项目涉及的风险物质。</w:t>
      </w:r>
    </w:p>
    <w:p w14:paraId="7070E86F">
      <w:pPr>
        <w:keepNext w:val="0"/>
        <w:keepLines w:val="0"/>
        <w:pageBreakBefore w:val="0"/>
        <w:widowControl w:val="0"/>
        <w:kinsoku/>
        <w:wordWrap/>
        <w:overflowPunct/>
        <w:topLinePunct w:val="0"/>
        <w:autoSpaceDE/>
        <w:autoSpaceDN/>
        <w:bidi w:val="0"/>
        <w:adjustRightInd/>
        <w:snapToGrid/>
        <w:spacing w:line="221" w:lineRule="auto"/>
        <w:ind w:left="0"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eastAsia="宋体" w:cs="Times New Roman"/>
          <w:b/>
          <w:bCs/>
          <w:color w:val="auto"/>
          <w:kern w:val="0"/>
          <w:sz w:val="24"/>
          <w:szCs w:val="24"/>
          <w:highlight w:val="none"/>
          <w:lang w:val="en-US" w:eastAsia="zh-CN" w:bidi="ar"/>
        </w:rPr>
        <w:t>10</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Times New Roman" w:hAnsi="Times New Roman" w:eastAsia="宋体" w:cs="Times New Roman"/>
          <w:b/>
          <w:bCs/>
          <w:color w:val="auto"/>
          <w:kern w:val="0"/>
          <w:sz w:val="24"/>
          <w:szCs w:val="24"/>
          <w:highlight w:val="none"/>
          <w:lang w:val="en-US" w:eastAsia="zh-CN" w:bidi="ar"/>
        </w:rPr>
        <w:t>项目危险物质数量与临界量比值情况</w:t>
      </w:r>
    </w:p>
    <w:tbl>
      <w:tblPr>
        <w:tblStyle w:val="23"/>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72"/>
        <w:gridCol w:w="1578"/>
        <w:gridCol w:w="1762"/>
        <w:gridCol w:w="1316"/>
        <w:gridCol w:w="1535"/>
        <w:gridCol w:w="1547"/>
      </w:tblGrid>
      <w:tr w14:paraId="6BF7D1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26A4C97B">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highlight w:val="none"/>
                <w:u w:val="none" w:color="auto"/>
              </w:rPr>
            </w:pPr>
            <w:r>
              <w:rPr>
                <w:rFonts w:hint="default" w:ascii="Times New Roman" w:hAnsi="Times New Roman" w:eastAsia="宋体" w:cs="Times New Roman"/>
                <w:b/>
                <w:bCs w:val="0"/>
                <w:snapToGrid w:val="0"/>
                <w:color w:val="auto"/>
                <w:sz w:val="21"/>
                <w:szCs w:val="21"/>
                <w:highlight w:val="none"/>
                <w:u w:val="none" w:color="auto"/>
              </w:rPr>
              <w:t>序号</w:t>
            </w:r>
          </w:p>
        </w:tc>
        <w:tc>
          <w:tcPr>
            <w:tcW w:w="927" w:type="pct"/>
            <w:tcBorders>
              <w:tl2br w:val="nil"/>
              <w:tr2bl w:val="nil"/>
            </w:tcBorders>
            <w:vAlign w:val="center"/>
          </w:tcPr>
          <w:p w14:paraId="6BF0EF6A">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highlight w:val="none"/>
                <w:u w:val="none" w:color="auto"/>
              </w:rPr>
            </w:pPr>
            <w:r>
              <w:rPr>
                <w:rFonts w:hint="default" w:ascii="Times New Roman" w:hAnsi="Times New Roman" w:eastAsia="宋体" w:cs="Times New Roman"/>
                <w:b/>
                <w:bCs w:val="0"/>
                <w:snapToGrid w:val="0"/>
                <w:color w:val="auto"/>
                <w:sz w:val="21"/>
                <w:szCs w:val="21"/>
                <w:highlight w:val="none"/>
                <w:u w:val="none" w:color="auto"/>
              </w:rPr>
              <w:t>物</w:t>
            </w:r>
            <w:r>
              <w:rPr>
                <w:rFonts w:hint="eastAsia" w:ascii="Times New Roman" w:hAnsi="Times New Roman" w:eastAsia="宋体" w:cs="Times New Roman"/>
                <w:b/>
                <w:bCs w:val="0"/>
                <w:snapToGrid w:val="0"/>
                <w:color w:val="auto"/>
                <w:sz w:val="21"/>
                <w:szCs w:val="21"/>
                <w:highlight w:val="none"/>
                <w:u w:val="none" w:color="auto"/>
                <w:lang w:val="en-US" w:eastAsia="zh-CN"/>
              </w:rPr>
              <w:t>质</w:t>
            </w:r>
            <w:r>
              <w:rPr>
                <w:rFonts w:hint="default" w:ascii="Times New Roman" w:hAnsi="Times New Roman" w:eastAsia="宋体" w:cs="Times New Roman"/>
                <w:b/>
                <w:bCs w:val="0"/>
                <w:snapToGrid w:val="0"/>
                <w:color w:val="auto"/>
                <w:sz w:val="21"/>
                <w:szCs w:val="21"/>
                <w:highlight w:val="none"/>
                <w:u w:val="none" w:color="auto"/>
              </w:rPr>
              <w:t>名称</w:t>
            </w:r>
          </w:p>
        </w:tc>
        <w:tc>
          <w:tcPr>
            <w:tcW w:w="1035" w:type="pct"/>
            <w:tcBorders>
              <w:tl2br w:val="nil"/>
              <w:tr2bl w:val="nil"/>
            </w:tcBorders>
            <w:vAlign w:val="center"/>
          </w:tcPr>
          <w:p w14:paraId="452B7455">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u w:val="none" w:color="auto"/>
                <w:lang w:val="en-US" w:eastAsia="zh-CN" w:bidi="ar"/>
              </w:rPr>
            </w:pPr>
            <w:r>
              <w:rPr>
                <w:rFonts w:hint="eastAsia" w:ascii="Times New Roman" w:hAnsi="Times New Roman" w:eastAsia="宋体" w:cs="Times New Roman"/>
                <w:b/>
                <w:bCs w:val="0"/>
                <w:color w:val="auto"/>
                <w:kern w:val="2"/>
                <w:sz w:val="21"/>
                <w:szCs w:val="21"/>
                <w:highlight w:val="none"/>
                <w:u w:val="none" w:color="auto"/>
                <w:lang w:val="en-US" w:eastAsia="zh-CN" w:bidi="ar"/>
              </w:rPr>
              <w:t>具体位置</w:t>
            </w:r>
          </w:p>
        </w:tc>
        <w:tc>
          <w:tcPr>
            <w:tcW w:w="773" w:type="pct"/>
            <w:tcBorders>
              <w:tl2br w:val="nil"/>
              <w:tr2bl w:val="nil"/>
            </w:tcBorders>
            <w:vAlign w:val="center"/>
          </w:tcPr>
          <w:p w14:paraId="021CAEA9">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bCs w:val="0"/>
                <w:color w:val="auto"/>
                <w:kern w:val="2"/>
                <w:sz w:val="21"/>
                <w:szCs w:val="21"/>
                <w:highlight w:val="none"/>
                <w:u w:val="none" w:color="auto"/>
                <w:lang w:val="en-US" w:eastAsia="zh-CN" w:bidi="ar"/>
              </w:rPr>
            </w:pPr>
            <w:r>
              <w:rPr>
                <w:rFonts w:hint="eastAsia" w:ascii="Times New Roman" w:hAnsi="Times New Roman" w:eastAsia="宋体" w:cs="Times New Roman"/>
                <w:b/>
                <w:bCs w:val="0"/>
                <w:color w:val="auto"/>
                <w:kern w:val="2"/>
                <w:sz w:val="21"/>
                <w:szCs w:val="21"/>
                <w:highlight w:val="none"/>
                <w:u w:val="none" w:color="auto"/>
                <w:lang w:val="en-US" w:eastAsia="zh-CN" w:bidi="ar"/>
              </w:rPr>
              <w:t>最大储存量</w:t>
            </w: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r>
              <w:rPr>
                <w:rFonts w:hint="eastAsia" w:ascii="Times New Roman" w:hAnsi="Times New Roman" w:eastAsia="宋体" w:cs="Times New Roman"/>
                <w:b/>
                <w:bCs w:val="0"/>
                <w:color w:val="auto"/>
                <w:kern w:val="2"/>
                <w:sz w:val="21"/>
                <w:szCs w:val="21"/>
                <w:highlight w:val="none"/>
                <w:u w:val="none" w:color="auto"/>
                <w:lang w:val="en-US" w:eastAsia="zh-CN" w:bidi="ar"/>
              </w:rPr>
              <w:t>（t）</w:t>
            </w:r>
          </w:p>
        </w:tc>
        <w:tc>
          <w:tcPr>
            <w:tcW w:w="901" w:type="pct"/>
            <w:tcBorders>
              <w:tl2br w:val="nil"/>
              <w:tr2bl w:val="nil"/>
            </w:tcBorders>
            <w:vAlign w:val="center"/>
          </w:tcPr>
          <w:p w14:paraId="439F700A">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u w:val="none" w:color="auto"/>
                <w:lang w:val="en-US" w:eastAsia="zh-CN" w:bidi="ar"/>
              </w:rPr>
            </w:pPr>
            <w:r>
              <w:rPr>
                <w:rFonts w:hint="eastAsia" w:ascii="Times New Roman" w:hAnsi="Times New Roman" w:eastAsia="宋体" w:cs="Times New Roman"/>
                <w:b/>
                <w:bCs w:val="0"/>
                <w:color w:val="auto"/>
                <w:kern w:val="2"/>
                <w:sz w:val="21"/>
                <w:szCs w:val="21"/>
                <w:highlight w:val="none"/>
                <w:u w:val="none" w:color="auto"/>
                <w:lang w:val="en-US" w:eastAsia="zh-CN" w:bidi="ar"/>
              </w:rPr>
              <w:t>临界量</w:t>
            </w: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r>
              <w:rPr>
                <w:rFonts w:hint="eastAsia" w:ascii="Times New Roman" w:hAnsi="Times New Roman" w:eastAsia="宋体" w:cs="Times New Roman"/>
                <w:b/>
                <w:bCs w:val="0"/>
                <w:color w:val="auto"/>
                <w:kern w:val="2"/>
                <w:sz w:val="21"/>
                <w:szCs w:val="21"/>
                <w:highlight w:val="none"/>
                <w:u w:val="none" w:color="auto"/>
                <w:lang w:val="en-US" w:eastAsia="zh-CN" w:bidi="ar"/>
              </w:rPr>
              <w:t>（t）</w:t>
            </w:r>
          </w:p>
        </w:tc>
        <w:tc>
          <w:tcPr>
            <w:tcW w:w="908" w:type="pct"/>
            <w:tcBorders>
              <w:tl2br w:val="nil"/>
              <w:tr2bl w:val="nil"/>
            </w:tcBorders>
            <w:vAlign w:val="center"/>
          </w:tcPr>
          <w:p w14:paraId="1D720725">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bCs w:val="0"/>
                <w:color w:val="auto"/>
                <w:kern w:val="2"/>
                <w:sz w:val="21"/>
                <w:szCs w:val="21"/>
                <w:highlight w:val="none"/>
                <w:u w:val="none" w:color="auto"/>
                <w:lang w:val="en-US" w:eastAsia="zh-CN" w:bidi="ar"/>
              </w:rPr>
            </w:pP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p>
        </w:tc>
      </w:tr>
      <w:tr w14:paraId="758709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0360A404">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1</w:t>
            </w:r>
          </w:p>
        </w:tc>
        <w:tc>
          <w:tcPr>
            <w:tcW w:w="927" w:type="pct"/>
            <w:tcBorders>
              <w:tl2br w:val="nil"/>
              <w:tr2bl w:val="nil"/>
            </w:tcBorders>
            <w:vAlign w:val="center"/>
          </w:tcPr>
          <w:p w14:paraId="1755B2DD">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废活性炭</w:t>
            </w:r>
          </w:p>
        </w:tc>
        <w:tc>
          <w:tcPr>
            <w:tcW w:w="1035" w:type="pct"/>
            <w:vMerge w:val="restart"/>
            <w:tcBorders>
              <w:tl2br w:val="nil"/>
              <w:tr2bl w:val="nil"/>
            </w:tcBorders>
            <w:vAlign w:val="center"/>
          </w:tcPr>
          <w:p w14:paraId="3AD13693">
            <w:pPr>
              <w:keepNext w:val="0"/>
              <w:keepLines w:val="0"/>
              <w:widowControl/>
              <w:suppressLineNumbers w:val="0"/>
              <w:ind w:left="0" w:leftChars="0" w:firstLine="0" w:firstLineChars="0"/>
              <w:jc w:val="left"/>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危险废物暂存间</w:t>
            </w:r>
          </w:p>
        </w:tc>
        <w:tc>
          <w:tcPr>
            <w:tcW w:w="773" w:type="pct"/>
            <w:tcBorders>
              <w:tl2br w:val="nil"/>
              <w:tr2bl w:val="nil"/>
            </w:tcBorders>
            <w:vAlign w:val="center"/>
          </w:tcPr>
          <w:p w14:paraId="10BFBE6D">
            <w:pPr>
              <w:keepNext w:val="0"/>
              <w:keepLines w:val="0"/>
              <w:widowControl/>
              <w:suppressLineNumbers w:val="0"/>
              <w:ind w:firstLine="420" w:firstLineChars="200"/>
              <w:jc w:val="left"/>
              <w:rPr>
                <w:rFonts w:hint="eastAsia"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0.4</w:t>
            </w:r>
          </w:p>
        </w:tc>
        <w:tc>
          <w:tcPr>
            <w:tcW w:w="901" w:type="pct"/>
            <w:tcBorders>
              <w:tl2br w:val="nil"/>
              <w:tr2bl w:val="nil"/>
            </w:tcBorders>
            <w:vAlign w:val="center"/>
          </w:tcPr>
          <w:p w14:paraId="12B61B40">
            <w:pPr>
              <w:keepNext w:val="0"/>
              <w:keepLines w:val="0"/>
              <w:widowControl/>
              <w:suppressLineNumbers w:val="0"/>
              <w:ind w:firstLine="420" w:firstLineChars="200"/>
              <w:jc w:val="left"/>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50</w:t>
            </w:r>
          </w:p>
        </w:tc>
        <w:tc>
          <w:tcPr>
            <w:tcW w:w="908" w:type="pct"/>
            <w:tcBorders>
              <w:tl2br w:val="nil"/>
              <w:tr2bl w:val="nil"/>
            </w:tcBorders>
            <w:vAlign w:val="center"/>
          </w:tcPr>
          <w:p w14:paraId="369C098E">
            <w:pPr>
              <w:keepNext w:val="0"/>
              <w:keepLines w:val="0"/>
              <w:widowControl/>
              <w:suppressLineNumbers w:val="0"/>
              <w:ind w:firstLine="420" w:firstLineChars="200"/>
              <w:jc w:val="left"/>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0.008</w:t>
            </w:r>
          </w:p>
        </w:tc>
      </w:tr>
      <w:tr w14:paraId="1C58E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61553B5C">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2</w:t>
            </w:r>
          </w:p>
        </w:tc>
        <w:tc>
          <w:tcPr>
            <w:tcW w:w="927" w:type="pct"/>
            <w:tcBorders>
              <w:tl2br w:val="nil"/>
              <w:tr2bl w:val="nil"/>
            </w:tcBorders>
            <w:vAlign w:val="center"/>
          </w:tcPr>
          <w:p w14:paraId="285B0896">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废导热油</w:t>
            </w:r>
          </w:p>
        </w:tc>
        <w:tc>
          <w:tcPr>
            <w:tcW w:w="1035" w:type="pct"/>
            <w:vMerge w:val="continue"/>
            <w:tcBorders>
              <w:tl2br w:val="nil"/>
              <w:tr2bl w:val="nil"/>
            </w:tcBorders>
            <w:vAlign w:val="center"/>
          </w:tcPr>
          <w:p w14:paraId="154260D1">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p>
        </w:tc>
        <w:tc>
          <w:tcPr>
            <w:tcW w:w="773" w:type="pct"/>
            <w:tcBorders>
              <w:tl2br w:val="nil"/>
              <w:tr2bl w:val="nil"/>
            </w:tcBorders>
            <w:vAlign w:val="center"/>
          </w:tcPr>
          <w:p w14:paraId="13A3C4CB">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0.9</w:t>
            </w:r>
          </w:p>
        </w:tc>
        <w:tc>
          <w:tcPr>
            <w:tcW w:w="901" w:type="pct"/>
            <w:tcBorders>
              <w:tl2br w:val="nil"/>
              <w:tr2bl w:val="nil"/>
            </w:tcBorders>
            <w:vAlign w:val="center"/>
          </w:tcPr>
          <w:p w14:paraId="06FDD158">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2500</w:t>
            </w:r>
          </w:p>
        </w:tc>
        <w:tc>
          <w:tcPr>
            <w:tcW w:w="908" w:type="pct"/>
            <w:tcBorders>
              <w:tl2br w:val="nil"/>
              <w:tr2bl w:val="nil"/>
            </w:tcBorders>
            <w:vAlign w:val="center"/>
          </w:tcPr>
          <w:p w14:paraId="604279A0">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0.00036</w:t>
            </w:r>
          </w:p>
        </w:tc>
      </w:tr>
      <w:tr w14:paraId="47DCA2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3DC21D0C">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3</w:t>
            </w:r>
          </w:p>
        </w:tc>
        <w:tc>
          <w:tcPr>
            <w:tcW w:w="927" w:type="pct"/>
            <w:tcBorders>
              <w:tl2br w:val="nil"/>
              <w:tr2bl w:val="nil"/>
            </w:tcBorders>
            <w:vAlign w:val="center"/>
          </w:tcPr>
          <w:p w14:paraId="437B08F2">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实验室废液</w:t>
            </w:r>
          </w:p>
        </w:tc>
        <w:tc>
          <w:tcPr>
            <w:tcW w:w="1035" w:type="pct"/>
            <w:vMerge w:val="continue"/>
            <w:tcBorders>
              <w:tl2br w:val="nil"/>
              <w:tr2bl w:val="nil"/>
            </w:tcBorders>
            <w:vAlign w:val="center"/>
          </w:tcPr>
          <w:p w14:paraId="7F5D9FD0">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p>
        </w:tc>
        <w:tc>
          <w:tcPr>
            <w:tcW w:w="773" w:type="pct"/>
            <w:tcBorders>
              <w:tl2br w:val="nil"/>
              <w:tr2bl w:val="nil"/>
            </w:tcBorders>
            <w:vAlign w:val="center"/>
          </w:tcPr>
          <w:p w14:paraId="577E6F5C">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0.06</w:t>
            </w:r>
          </w:p>
        </w:tc>
        <w:tc>
          <w:tcPr>
            <w:tcW w:w="901" w:type="pct"/>
            <w:tcBorders>
              <w:tl2br w:val="nil"/>
              <w:tr2bl w:val="nil"/>
            </w:tcBorders>
            <w:vAlign w:val="center"/>
          </w:tcPr>
          <w:p w14:paraId="4A50C2A7">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50</w:t>
            </w:r>
          </w:p>
        </w:tc>
        <w:tc>
          <w:tcPr>
            <w:tcW w:w="908" w:type="pct"/>
            <w:tcBorders>
              <w:tl2br w:val="nil"/>
              <w:tr2bl w:val="nil"/>
            </w:tcBorders>
            <w:vAlign w:val="center"/>
          </w:tcPr>
          <w:p w14:paraId="1A7D513A">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0.0012</w:t>
            </w:r>
          </w:p>
        </w:tc>
      </w:tr>
      <w:tr w14:paraId="7FAF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091" w:type="pct"/>
            <w:gridSpan w:val="5"/>
            <w:tcBorders>
              <w:tl2br w:val="nil"/>
              <w:tr2bl w:val="nil"/>
            </w:tcBorders>
            <w:vAlign w:val="center"/>
          </w:tcPr>
          <w:p w14:paraId="5F69D1E1">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项目Q值合计</w:t>
            </w:r>
          </w:p>
        </w:tc>
        <w:tc>
          <w:tcPr>
            <w:tcW w:w="908" w:type="pct"/>
            <w:tcBorders>
              <w:tl2br w:val="nil"/>
              <w:tr2bl w:val="nil"/>
            </w:tcBorders>
            <w:vAlign w:val="center"/>
          </w:tcPr>
          <w:p w14:paraId="19E57FA2">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0.00956</w:t>
            </w:r>
          </w:p>
        </w:tc>
      </w:tr>
      <w:tr w14:paraId="6270A3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000" w:type="pct"/>
            <w:gridSpan w:val="6"/>
            <w:tcBorders>
              <w:tl2br w:val="nil"/>
              <w:tr2bl w:val="nil"/>
            </w:tcBorders>
            <w:vAlign w:val="center"/>
          </w:tcPr>
          <w:p w14:paraId="30C4D75D">
            <w:pPr>
              <w:keepNext w:val="0"/>
              <w:keepLines w:val="0"/>
              <w:widowControl/>
              <w:suppressLineNumbers w:val="0"/>
              <w:jc w:val="left"/>
              <w:rPr>
                <w:rFonts w:hint="eastAsia" w:ascii="Times New Roman" w:hAnsi="Times New Roman" w:eastAsia="宋体" w:cs="Times New Roman"/>
                <w:b w:val="0"/>
                <w:bCs/>
                <w:color w:val="auto"/>
                <w:kern w:val="2"/>
                <w:sz w:val="21"/>
                <w:szCs w:val="21"/>
                <w:highlight w:val="none"/>
                <w:u w:val="none" w:color="auto"/>
                <w:lang w:val="en-US" w:eastAsia="zh-CN" w:bidi="ar"/>
              </w:rPr>
            </w:pPr>
            <w:r>
              <w:rPr>
                <w:rFonts w:hint="eastAsia" w:ascii="宋体" w:hAnsi="宋体" w:eastAsia="宋体" w:cs="宋体"/>
                <w:b w:val="0"/>
                <w:bCs/>
                <w:color w:val="000000"/>
                <w:kern w:val="0"/>
                <w:sz w:val="18"/>
                <w:szCs w:val="18"/>
                <w:highlight w:val="none"/>
                <w:lang w:val="en-US" w:eastAsia="zh-CN" w:bidi="ar"/>
              </w:rPr>
              <w:t xml:space="preserve">废活性炭和实验室废液临界量参照健康危险急性毒性物质（类别 </w:t>
            </w:r>
            <w:r>
              <w:rPr>
                <w:rFonts w:hint="default" w:ascii="Times New Roman" w:hAnsi="Times New Roman" w:eastAsia="宋体" w:cs="Times New Roman"/>
                <w:b w:val="0"/>
                <w:bCs/>
                <w:color w:val="000000"/>
                <w:kern w:val="0"/>
                <w:sz w:val="18"/>
                <w:szCs w:val="18"/>
                <w:highlight w:val="none"/>
                <w:lang w:val="en-US" w:eastAsia="zh-CN" w:bidi="ar"/>
              </w:rPr>
              <w:t>2</w:t>
            </w:r>
            <w:r>
              <w:rPr>
                <w:rFonts w:hint="eastAsia" w:ascii="宋体" w:hAnsi="宋体" w:eastAsia="宋体" w:cs="宋体"/>
                <w:b w:val="0"/>
                <w:bCs/>
                <w:color w:val="000000"/>
                <w:kern w:val="0"/>
                <w:sz w:val="18"/>
                <w:szCs w:val="18"/>
                <w:highlight w:val="none"/>
                <w:lang w:val="en-US" w:eastAsia="zh-CN" w:bidi="ar"/>
              </w:rPr>
              <w:t xml:space="preserve">，类别 </w:t>
            </w:r>
            <w:r>
              <w:rPr>
                <w:rFonts w:hint="default" w:ascii="Times New Roman" w:hAnsi="Times New Roman" w:eastAsia="宋体" w:cs="Times New Roman"/>
                <w:b w:val="0"/>
                <w:bCs/>
                <w:color w:val="000000"/>
                <w:kern w:val="0"/>
                <w:sz w:val="18"/>
                <w:szCs w:val="18"/>
                <w:highlight w:val="none"/>
                <w:lang w:val="en-US" w:eastAsia="zh-CN" w:bidi="ar"/>
              </w:rPr>
              <w:t>3</w:t>
            </w:r>
            <w:r>
              <w:rPr>
                <w:rFonts w:hint="eastAsia" w:ascii="宋体" w:hAnsi="宋体" w:eastAsia="宋体" w:cs="宋体"/>
                <w:b w:val="0"/>
                <w:bCs/>
                <w:color w:val="000000"/>
                <w:kern w:val="0"/>
                <w:sz w:val="18"/>
                <w:szCs w:val="18"/>
                <w:highlight w:val="none"/>
                <w:lang w:val="en-US" w:eastAsia="zh-CN" w:bidi="ar"/>
              </w:rPr>
              <w:t>）</w:t>
            </w:r>
          </w:p>
        </w:tc>
      </w:tr>
    </w:tbl>
    <w:p w14:paraId="61C175FE">
      <w:pPr>
        <w:keepNext w:val="0"/>
        <w:keepLines w:val="0"/>
        <w:widowControl/>
        <w:suppressLineNumbers w:val="0"/>
        <w:jc w:val="left"/>
        <w:rPr>
          <w:rFonts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由上表得知，本项目突发环境风险物质最大贮存量与临界量的比值Q=0.00956＜1，该项目环境风险潜势为Ⅰ。</w:t>
      </w:r>
    </w:p>
    <w:p w14:paraId="6789912F">
      <w:pPr>
        <w:pStyle w:val="2"/>
        <w:rPr>
          <w:rFonts w:hint="default"/>
          <w:highlight w:val="none"/>
          <w:lang w:val="en-US" w:eastAsia="zh-CN"/>
        </w:rPr>
      </w:pPr>
    </w:p>
    <w:p w14:paraId="41A983BF">
      <w:pPr>
        <w:spacing w:before="1" w:line="220" w:lineRule="auto"/>
        <w:ind w:left="2291"/>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eastAsia="宋体" w:cs="Times New Roman"/>
          <w:b/>
          <w:bCs/>
          <w:color w:val="auto"/>
          <w:kern w:val="0"/>
          <w:sz w:val="24"/>
          <w:szCs w:val="24"/>
          <w:highlight w:val="none"/>
          <w:lang w:val="en-US" w:eastAsia="zh-CN" w:bidi="ar"/>
        </w:rPr>
        <w:t>11</w:t>
      </w:r>
      <w:r>
        <w:rPr>
          <w:rFonts w:hint="default" w:ascii="Times New Roman" w:hAnsi="Times New Roman" w:eastAsia="宋体" w:cs="Times New Roman"/>
          <w:b/>
          <w:bCs/>
          <w:color w:val="auto"/>
          <w:kern w:val="0"/>
          <w:sz w:val="24"/>
          <w:szCs w:val="24"/>
          <w:highlight w:val="none"/>
          <w:lang w:val="en-US" w:eastAsia="zh-CN" w:bidi="ar"/>
        </w:rPr>
        <w:t xml:space="preserve">    风险评价工作等级定级表</w:t>
      </w:r>
    </w:p>
    <w:p w14:paraId="27CB675D">
      <w:pPr>
        <w:spacing w:line="67" w:lineRule="exact"/>
        <w:rPr>
          <w:highlight w:val="none"/>
        </w:rPr>
      </w:pP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67"/>
        <w:gridCol w:w="1464"/>
        <w:gridCol w:w="1687"/>
        <w:gridCol w:w="1687"/>
        <w:gridCol w:w="1917"/>
      </w:tblGrid>
      <w:tr w14:paraId="558DD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41" w:type="pct"/>
            <w:tcBorders>
              <w:top w:val="single" w:color="000000" w:sz="10" w:space="0"/>
              <w:left w:val="single" w:color="000000" w:sz="10" w:space="0"/>
            </w:tcBorders>
            <w:vAlign w:val="top"/>
          </w:tcPr>
          <w:p w14:paraId="0CF58AB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8"/>
                <w:highlight w:val="none"/>
              </w:rPr>
              <w:t>环境风险潜势</w:t>
            </w:r>
          </w:p>
        </w:tc>
        <w:tc>
          <w:tcPr>
            <w:tcW w:w="879" w:type="pct"/>
            <w:tcBorders>
              <w:top w:val="single" w:color="000000" w:sz="10" w:space="0"/>
            </w:tcBorders>
            <w:vAlign w:val="top"/>
          </w:tcPr>
          <w:p w14:paraId="283AA00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highlight w:val="none"/>
              </w:rPr>
            </w:pPr>
            <w:r>
              <w:rPr>
                <w:rFonts w:ascii="Times New Roman" w:hAnsi="Times New Roman" w:eastAsia="Times New Roman" w:cs="Times New Roman"/>
                <w:spacing w:val="1"/>
                <w:highlight w:val="none"/>
              </w:rPr>
              <w:t>Ⅳ</w:t>
            </w:r>
            <w:r>
              <w:rPr>
                <w:rFonts w:ascii="Times New Roman" w:hAnsi="Times New Roman" w:eastAsia="Times New Roman" w:cs="Times New Roman"/>
                <w:spacing w:val="-26"/>
                <w:highlight w:val="none"/>
              </w:rPr>
              <w:t xml:space="preserve"> </w:t>
            </w:r>
            <w:r>
              <w:rPr>
                <w:spacing w:val="1"/>
                <w:highlight w:val="none"/>
              </w:rPr>
              <w:t>、</w:t>
            </w:r>
            <w:r>
              <w:rPr>
                <w:rFonts w:ascii="Times New Roman" w:hAnsi="Times New Roman" w:eastAsia="Times New Roman" w:cs="Times New Roman"/>
                <w:spacing w:val="1"/>
                <w:highlight w:val="none"/>
              </w:rPr>
              <w:t>Ⅳ+</w:t>
            </w:r>
          </w:p>
        </w:tc>
        <w:tc>
          <w:tcPr>
            <w:tcW w:w="1013" w:type="pct"/>
            <w:tcBorders>
              <w:top w:val="single" w:color="000000" w:sz="10" w:space="0"/>
            </w:tcBorders>
            <w:vAlign w:val="top"/>
          </w:tcPr>
          <w:p w14:paraId="728D2C5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Ⅲ</w:t>
            </w:r>
          </w:p>
        </w:tc>
        <w:tc>
          <w:tcPr>
            <w:tcW w:w="1013" w:type="pct"/>
            <w:tcBorders>
              <w:top w:val="single" w:color="000000" w:sz="10" w:space="0"/>
            </w:tcBorders>
            <w:vAlign w:val="top"/>
          </w:tcPr>
          <w:p w14:paraId="08736DB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Ⅱ</w:t>
            </w:r>
          </w:p>
        </w:tc>
        <w:tc>
          <w:tcPr>
            <w:tcW w:w="1151" w:type="pct"/>
            <w:tcBorders>
              <w:top w:val="single" w:color="000000" w:sz="10" w:space="0"/>
              <w:right w:val="single" w:color="000000" w:sz="10" w:space="0"/>
            </w:tcBorders>
            <w:vAlign w:val="top"/>
          </w:tcPr>
          <w:p w14:paraId="3F86D3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Ⅰ</w:t>
            </w:r>
          </w:p>
        </w:tc>
      </w:tr>
      <w:tr w14:paraId="090C1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41" w:type="pct"/>
            <w:tcBorders>
              <w:left w:val="single" w:color="000000" w:sz="10" w:space="0"/>
              <w:bottom w:val="single" w:color="000000" w:sz="10" w:space="0"/>
            </w:tcBorders>
            <w:vAlign w:val="top"/>
          </w:tcPr>
          <w:p w14:paraId="6719BAB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8"/>
                <w:highlight w:val="none"/>
              </w:rPr>
              <w:t>评价工作等级</w:t>
            </w:r>
          </w:p>
        </w:tc>
        <w:tc>
          <w:tcPr>
            <w:tcW w:w="879" w:type="pct"/>
            <w:tcBorders>
              <w:bottom w:val="single" w:color="000000" w:sz="10" w:space="0"/>
            </w:tcBorders>
            <w:vAlign w:val="top"/>
          </w:tcPr>
          <w:p w14:paraId="469EF30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position w:val="-4"/>
                <w:highlight w:val="none"/>
              </w:rPr>
              <w:t>一</w:t>
            </w:r>
          </w:p>
        </w:tc>
        <w:tc>
          <w:tcPr>
            <w:tcW w:w="1013" w:type="pct"/>
            <w:tcBorders>
              <w:bottom w:val="single" w:color="000000" w:sz="10" w:space="0"/>
            </w:tcBorders>
            <w:vAlign w:val="top"/>
          </w:tcPr>
          <w:p w14:paraId="03D73B6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highlight w:val="none"/>
              </w:rPr>
              <w:t>二</w:t>
            </w:r>
          </w:p>
        </w:tc>
        <w:tc>
          <w:tcPr>
            <w:tcW w:w="1013" w:type="pct"/>
            <w:tcBorders>
              <w:bottom w:val="single" w:color="000000" w:sz="10" w:space="0"/>
            </w:tcBorders>
            <w:vAlign w:val="top"/>
          </w:tcPr>
          <w:p w14:paraId="517D8B7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position w:val="1"/>
                <w:highlight w:val="none"/>
              </w:rPr>
              <w:t>三</w:t>
            </w:r>
          </w:p>
        </w:tc>
        <w:tc>
          <w:tcPr>
            <w:tcW w:w="1151" w:type="pct"/>
            <w:tcBorders>
              <w:bottom w:val="single" w:color="000000" w:sz="10" w:space="0"/>
              <w:right w:val="single" w:color="000000" w:sz="10" w:space="0"/>
            </w:tcBorders>
            <w:vAlign w:val="top"/>
          </w:tcPr>
          <w:p w14:paraId="647035B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highlight w:val="none"/>
                <w:lang w:val="en-US" w:eastAsia="zh-CN"/>
              </w:rPr>
            </w:pPr>
            <w:r>
              <w:rPr>
                <w:spacing w:val="6"/>
                <w:highlight w:val="none"/>
              </w:rPr>
              <w:t>简单分析</w:t>
            </w:r>
            <w:r>
              <w:rPr>
                <w:rFonts w:hint="eastAsia"/>
                <w:spacing w:val="6"/>
                <w:highlight w:val="none"/>
                <w:lang w:val="en-US" w:eastAsia="zh-CN"/>
              </w:rPr>
              <w:t>*</w:t>
            </w:r>
          </w:p>
        </w:tc>
      </w:tr>
    </w:tbl>
    <w:p w14:paraId="3EB736AB">
      <w:pPr>
        <w:pStyle w:val="2"/>
        <w:spacing w:before="114" w:line="362" w:lineRule="auto"/>
        <w:ind w:left="135" w:right="114" w:firstLine="477"/>
        <w:rPr>
          <w:highlight w:val="none"/>
        </w:rPr>
      </w:pPr>
      <w:r>
        <w:rPr>
          <w:spacing w:val="-1"/>
          <w:highlight w:val="none"/>
        </w:rPr>
        <w:t>根据《建设项目环境风险评价技术导则》（</w:t>
      </w:r>
      <w:r>
        <w:rPr>
          <w:rFonts w:ascii="Times New Roman" w:hAnsi="Times New Roman" w:eastAsia="Times New Roman" w:cs="Times New Roman"/>
          <w:spacing w:val="-1"/>
          <w:highlight w:val="none"/>
        </w:rPr>
        <w:t>HJ169-2018</w:t>
      </w:r>
      <w:r>
        <w:rPr>
          <w:spacing w:val="-1"/>
          <w:highlight w:val="none"/>
        </w:rPr>
        <w:t>）可知，项目环</w:t>
      </w:r>
      <w:r>
        <w:rPr>
          <w:spacing w:val="-2"/>
          <w:highlight w:val="none"/>
        </w:rPr>
        <w:t>境风险评价工作等级为简单分析。</w:t>
      </w:r>
    </w:p>
    <w:p w14:paraId="4D6F069B">
      <w:pPr>
        <w:pStyle w:val="9"/>
        <w:bidi w:val="0"/>
        <w:rPr>
          <w:highlight w:val="none"/>
        </w:rPr>
      </w:pPr>
      <w:r>
        <w:rPr>
          <w:rFonts w:hint="eastAsia"/>
          <w:highlight w:val="none"/>
          <w:lang w:val="en-US" w:eastAsia="zh-CN"/>
        </w:rPr>
        <w:t>2.5.1.7</w:t>
      </w:r>
      <w:r>
        <w:rPr>
          <w:highlight w:val="none"/>
        </w:rPr>
        <w:t>生态环境</w:t>
      </w:r>
    </w:p>
    <w:p w14:paraId="17163C52">
      <w:pPr>
        <w:pStyle w:val="2"/>
        <w:spacing w:before="111" w:line="359" w:lineRule="auto"/>
        <w:ind w:left="139" w:right="101" w:firstLine="480"/>
        <w:jc w:val="both"/>
        <w:rPr>
          <w:rFonts w:hint="default"/>
          <w:highlight w:val="none"/>
          <w:lang w:val="en-US" w:eastAsia="zh-CN"/>
        </w:rPr>
      </w:pPr>
      <w:r>
        <w:rPr>
          <w:spacing w:val="-2"/>
          <w:highlight w:val="none"/>
        </w:rPr>
        <w:t>本项目位于岳阳高新技术产业园区，不新增占地，项目位于岳阳高新技术产业园区内，为已批准规划环评的园区内且项目符合园区规划要求，也不涉及自然保护区、世界</w:t>
      </w:r>
      <w:r>
        <w:rPr>
          <w:spacing w:val="14"/>
          <w:highlight w:val="none"/>
        </w:rPr>
        <w:t xml:space="preserve"> </w:t>
      </w:r>
      <w:r>
        <w:rPr>
          <w:spacing w:val="-2"/>
          <w:highlight w:val="none"/>
        </w:rPr>
        <w:t>文化和自然遗产地等生态敏感区污染影响类建设项目，属一般区域。根据《环境影响评</w:t>
      </w:r>
      <w:r>
        <w:rPr>
          <w:spacing w:val="14"/>
          <w:highlight w:val="none"/>
        </w:rPr>
        <w:t xml:space="preserve"> </w:t>
      </w:r>
      <w:r>
        <w:rPr>
          <w:spacing w:val="-2"/>
          <w:highlight w:val="none"/>
        </w:rPr>
        <w:t>价技术导则 生态影响》（</w:t>
      </w:r>
      <w:r>
        <w:rPr>
          <w:rFonts w:ascii="Times New Roman" w:hAnsi="Times New Roman" w:eastAsia="Times New Roman" w:cs="Times New Roman"/>
          <w:spacing w:val="-2"/>
          <w:highlight w:val="none"/>
        </w:rPr>
        <w:t>HJ</w:t>
      </w:r>
      <w:r>
        <w:rPr>
          <w:rFonts w:ascii="Times New Roman" w:hAnsi="Times New Roman" w:eastAsia="Times New Roman" w:cs="Times New Roman"/>
          <w:spacing w:val="29"/>
          <w:w w:val="101"/>
          <w:highlight w:val="none"/>
        </w:rPr>
        <w:t xml:space="preserve"> </w:t>
      </w:r>
      <w:r>
        <w:rPr>
          <w:rFonts w:ascii="Times New Roman" w:hAnsi="Times New Roman" w:eastAsia="Times New Roman" w:cs="Times New Roman"/>
          <w:spacing w:val="-2"/>
          <w:highlight w:val="none"/>
        </w:rPr>
        <w:t>19-2022</w:t>
      </w:r>
      <w:r>
        <w:rPr>
          <w:spacing w:val="5"/>
          <w:highlight w:val="none"/>
        </w:rPr>
        <w:t>），</w:t>
      </w:r>
      <w:r>
        <w:rPr>
          <w:spacing w:val="-2"/>
          <w:highlight w:val="none"/>
        </w:rPr>
        <w:t>可不确定评价等级，进</w:t>
      </w:r>
      <w:r>
        <w:rPr>
          <w:spacing w:val="-3"/>
          <w:highlight w:val="none"/>
        </w:rPr>
        <w:t>行生态影响简单分析。</w:t>
      </w:r>
    </w:p>
    <w:p w14:paraId="0266FDF5">
      <w:pPr>
        <w:pStyle w:val="7"/>
        <w:bidi w:val="0"/>
        <w:rPr>
          <w:rFonts w:hint="eastAsia" w:ascii="Times New Roman" w:hAnsi="Times New Roman" w:eastAsia="宋体" w:cs="Times New Roman"/>
          <w:highlight w:val="none"/>
          <w:lang w:val="en-US" w:eastAsia="zh-CN"/>
        </w:rPr>
      </w:pPr>
      <w:bookmarkStart w:id="66" w:name="_Toc20226"/>
      <w:r>
        <w:rPr>
          <w:rFonts w:ascii="Times New Roman" w:hAnsi="Times New Roman" w:eastAsia="宋体" w:cs="Times New Roman"/>
          <w:highlight w:val="none"/>
          <w:lang w:val="en-US" w:eastAsia="zh-CN"/>
        </w:rPr>
        <w:t>2.5.2</w:t>
      </w:r>
      <w:r>
        <w:rPr>
          <w:rFonts w:hint="eastAsia" w:ascii="Times New Roman" w:hAnsi="Times New Roman" w:eastAsia="宋体" w:cs="Times New Roman"/>
          <w:highlight w:val="none"/>
          <w:lang w:val="en-US" w:eastAsia="zh-CN"/>
        </w:rPr>
        <w:t xml:space="preserve"> 评价范围</w:t>
      </w:r>
      <w:bookmarkEnd w:id="66"/>
    </w:p>
    <w:p w14:paraId="7DD75DD8">
      <w:pPr>
        <w:spacing w:before="1" w:line="220" w:lineRule="auto"/>
        <w:ind w:left="2291"/>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表2.5-</w:t>
      </w:r>
      <w:r>
        <w:rPr>
          <w:rFonts w:hint="eastAsia" w:eastAsia="宋体" w:cs="Times New Roman"/>
          <w:b/>
          <w:bCs/>
          <w:color w:val="auto"/>
          <w:kern w:val="0"/>
          <w:sz w:val="24"/>
          <w:szCs w:val="24"/>
          <w:highlight w:val="none"/>
          <w:lang w:val="en-US" w:eastAsia="zh-CN" w:bidi="ar"/>
        </w:rPr>
        <w:t>12</w:t>
      </w:r>
      <w:r>
        <w:rPr>
          <w:rFonts w:hint="default" w:ascii="Times New Roman" w:hAnsi="Times New Roman" w:eastAsia="宋体" w:cs="Times New Roman"/>
          <w:b/>
          <w:bCs/>
          <w:color w:val="auto"/>
          <w:kern w:val="0"/>
          <w:sz w:val="24"/>
          <w:szCs w:val="24"/>
          <w:highlight w:val="none"/>
          <w:lang w:val="en-US" w:eastAsia="zh-CN" w:bidi="ar"/>
        </w:rPr>
        <w:t xml:space="preserve">  评价范围一览表</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97"/>
        <w:gridCol w:w="869"/>
        <w:gridCol w:w="6247"/>
      </w:tblGrid>
      <w:tr w14:paraId="6FF114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46DD45C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 w:val="21"/>
                <w:szCs w:val="21"/>
                <w:highlight w:val="none"/>
                <w:lang w:val="zh-CN"/>
              </w:rPr>
            </w:pPr>
            <w:r>
              <w:rPr>
                <w:rFonts w:hint="default" w:ascii="Times New Roman" w:hAnsi="Times New Roman" w:eastAsia="宋体" w:cs="Times New Roman"/>
                <w:b/>
                <w:bCs/>
                <w:color w:val="auto"/>
                <w:kern w:val="21"/>
                <w:sz w:val="21"/>
                <w:szCs w:val="21"/>
                <w:highlight w:val="none"/>
                <w:lang w:val="zh-CN"/>
              </w:rPr>
              <w:t>环境要素</w:t>
            </w:r>
          </w:p>
        </w:tc>
        <w:tc>
          <w:tcPr>
            <w:tcW w:w="510" w:type="pct"/>
            <w:tcBorders>
              <w:tl2br w:val="nil"/>
              <w:tr2bl w:val="nil"/>
            </w:tcBorders>
            <w:noWrap w:val="0"/>
            <w:vAlign w:val="center"/>
          </w:tcPr>
          <w:p w14:paraId="7F4F294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 w:val="21"/>
                <w:szCs w:val="21"/>
                <w:highlight w:val="none"/>
                <w:lang w:val="zh-CN"/>
              </w:rPr>
            </w:pPr>
            <w:r>
              <w:rPr>
                <w:rFonts w:hint="default" w:ascii="Times New Roman" w:hAnsi="Times New Roman" w:eastAsia="宋体" w:cs="Times New Roman"/>
                <w:b/>
                <w:bCs/>
                <w:color w:val="auto"/>
                <w:kern w:val="21"/>
                <w:sz w:val="21"/>
                <w:szCs w:val="21"/>
                <w:highlight w:val="none"/>
                <w:lang w:val="zh-CN"/>
              </w:rPr>
              <w:t>评价级别</w:t>
            </w:r>
          </w:p>
        </w:tc>
        <w:tc>
          <w:tcPr>
            <w:tcW w:w="3668" w:type="pct"/>
            <w:tcBorders>
              <w:tl2br w:val="nil"/>
              <w:tr2bl w:val="nil"/>
            </w:tcBorders>
            <w:noWrap w:val="0"/>
            <w:vAlign w:val="center"/>
          </w:tcPr>
          <w:p w14:paraId="68C9C25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1"/>
                <w:sz w:val="21"/>
                <w:szCs w:val="21"/>
                <w:highlight w:val="none"/>
                <w:lang w:val="zh-CN"/>
              </w:rPr>
            </w:pPr>
            <w:r>
              <w:rPr>
                <w:rFonts w:hint="default" w:ascii="Times New Roman" w:hAnsi="Times New Roman" w:eastAsia="宋体" w:cs="Times New Roman"/>
                <w:b/>
                <w:bCs/>
                <w:color w:val="auto"/>
                <w:kern w:val="21"/>
                <w:sz w:val="21"/>
                <w:szCs w:val="21"/>
                <w:highlight w:val="none"/>
                <w:lang w:val="zh-CN"/>
              </w:rPr>
              <w:t>评价范围</w:t>
            </w:r>
          </w:p>
        </w:tc>
      </w:tr>
      <w:tr w14:paraId="16E4C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396D49D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zh-CN"/>
              </w:rPr>
              <w:t>环境空气</w:t>
            </w:r>
          </w:p>
        </w:tc>
        <w:tc>
          <w:tcPr>
            <w:tcW w:w="510" w:type="pct"/>
            <w:tcBorders>
              <w:tl2br w:val="nil"/>
              <w:tr2bl w:val="nil"/>
            </w:tcBorders>
            <w:noWrap w:val="0"/>
            <w:vAlign w:val="center"/>
          </w:tcPr>
          <w:p w14:paraId="15D620D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en-US" w:eastAsia="zh-CN"/>
              </w:rPr>
              <w:t>二</w:t>
            </w:r>
            <w:r>
              <w:rPr>
                <w:rFonts w:hint="default" w:ascii="Times New Roman" w:hAnsi="Times New Roman" w:eastAsia="宋体" w:cs="Times New Roman"/>
                <w:color w:val="auto"/>
                <w:kern w:val="21"/>
                <w:sz w:val="21"/>
                <w:szCs w:val="21"/>
                <w:highlight w:val="none"/>
                <w:lang w:val="zh-CN"/>
              </w:rPr>
              <w:t>级</w:t>
            </w:r>
          </w:p>
        </w:tc>
        <w:tc>
          <w:tcPr>
            <w:tcW w:w="3668" w:type="pct"/>
            <w:tcBorders>
              <w:tl2br w:val="nil"/>
              <w:tr2bl w:val="nil"/>
            </w:tcBorders>
            <w:noWrap w:val="0"/>
            <w:vAlign w:val="center"/>
          </w:tcPr>
          <w:p w14:paraId="641B4DD2">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spacing w:val="-2"/>
                <w:kern w:val="0"/>
                <w:sz w:val="21"/>
                <w:szCs w:val="21"/>
                <w:highlight w:val="none"/>
                <w:lang w:val="en-US" w:eastAsia="zh-CN" w:bidi="ar-SA"/>
              </w:rPr>
              <w:t>以厂房为中心，</w:t>
            </w:r>
            <w:r>
              <w:rPr>
                <w:rFonts w:ascii="Times New Roman" w:hAnsi="Times New Roman" w:eastAsia="宋体" w:cs="Times New Roman"/>
                <w:spacing w:val="-2"/>
                <w:kern w:val="0"/>
                <w:sz w:val="21"/>
                <w:szCs w:val="21"/>
                <w:highlight w:val="none"/>
                <w:lang w:val="en-US" w:eastAsia="zh-CN" w:bidi="ar-SA"/>
              </w:rPr>
              <w:t>厂界外 5km的矩形区域</w:t>
            </w:r>
          </w:p>
        </w:tc>
      </w:tr>
      <w:tr w14:paraId="7F63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11" w:hRule="atLeast"/>
          <w:jc w:val="center"/>
        </w:trPr>
        <w:tc>
          <w:tcPr>
            <w:tcW w:w="821" w:type="pct"/>
            <w:tcBorders>
              <w:tl2br w:val="nil"/>
              <w:tr2bl w:val="nil"/>
            </w:tcBorders>
            <w:noWrap w:val="0"/>
            <w:vAlign w:val="center"/>
          </w:tcPr>
          <w:p w14:paraId="2BD7E2D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zh-CN"/>
              </w:rPr>
              <w:t>地表水环境</w:t>
            </w:r>
          </w:p>
        </w:tc>
        <w:tc>
          <w:tcPr>
            <w:tcW w:w="510" w:type="pct"/>
            <w:tcBorders>
              <w:tl2br w:val="nil"/>
              <w:tr2bl w:val="nil"/>
            </w:tcBorders>
            <w:noWrap w:val="0"/>
            <w:vAlign w:val="center"/>
          </w:tcPr>
          <w:p w14:paraId="52E67EE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zh-CN"/>
              </w:rPr>
              <w:t>三级</w:t>
            </w:r>
            <w:r>
              <w:rPr>
                <w:rFonts w:hint="default" w:ascii="Times New Roman" w:hAnsi="Times New Roman" w:eastAsia="宋体" w:cs="Times New Roman"/>
                <w:color w:val="auto"/>
                <w:kern w:val="21"/>
                <w:sz w:val="21"/>
                <w:szCs w:val="21"/>
                <w:highlight w:val="none"/>
                <w:lang w:val="en-US" w:eastAsia="zh-CN"/>
              </w:rPr>
              <w:t>B</w:t>
            </w:r>
          </w:p>
        </w:tc>
        <w:tc>
          <w:tcPr>
            <w:tcW w:w="3668" w:type="pct"/>
            <w:tcBorders>
              <w:tl2br w:val="nil"/>
              <w:tr2bl w:val="nil"/>
            </w:tcBorders>
            <w:noWrap w:val="0"/>
            <w:vAlign w:val="center"/>
          </w:tcPr>
          <w:p w14:paraId="66D9270E">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生活污水依托园区创新创业基地隔油池和化粪池处理后通过园区管网直接进入岳阳县城市污水处理厂处理达标后排入新墙河。地面清洁废水经沉淀池沉淀后同纯水制备浓水一起进入园区污水管网排入岳阳高新技术产业园区污水处理厂处理。冷却水循环利用不外排。</w:t>
            </w:r>
            <w:r>
              <w:rPr>
                <w:rFonts w:hint="eastAsia"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搅拌罐清洗水回用于生产不外排</w:t>
            </w:r>
            <w:r>
              <w:rPr>
                <w:rFonts w:hint="eastAsia" w:ascii="Times New Roman" w:hAnsi="Times New Roman" w:eastAsia="宋体" w:cs="Times New Roman"/>
                <w:color w:val="auto"/>
                <w:sz w:val="21"/>
                <w:szCs w:val="21"/>
                <w:highlight w:val="none"/>
                <w:lang w:eastAsia="zh-CN"/>
              </w:rPr>
              <w:t>，</w:t>
            </w:r>
            <w:r>
              <w:rPr>
                <w:rFonts w:hint="eastAsia" w:eastAsia="宋体" w:cs="Times New Roman"/>
                <w:color w:val="000000"/>
                <w:kern w:val="0"/>
                <w:sz w:val="24"/>
                <w:szCs w:val="24"/>
                <w:highlight w:val="none"/>
                <w:lang w:val="en-US" w:eastAsia="zh-CN" w:bidi="ar"/>
              </w:rPr>
              <w:t>生产用水全部进入产品</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因此，本评价不对地表水环境进行预测评价，</w:t>
            </w:r>
            <w:r>
              <w:rPr>
                <w:rFonts w:hint="default" w:ascii="Times New Roman" w:hAnsi="Times New Roman" w:eastAsia="宋体" w:cs="Times New Roman"/>
                <w:sz w:val="21"/>
                <w:szCs w:val="21"/>
                <w:highlight w:val="none"/>
              </w:rPr>
              <w:t>仅针对水体环境现状简要分析</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对废水总排放口水质进行达标分析</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对预处理设施分析有效性，调查依托污水处理厂的环境可行性，不设置地表水评价范围</w:t>
            </w:r>
            <w:r>
              <w:rPr>
                <w:rFonts w:hint="eastAsia" w:ascii="Times New Roman" w:hAnsi="Times New Roman" w:eastAsia="宋体" w:cs="Times New Roman"/>
                <w:bCs/>
                <w:color w:val="auto"/>
                <w:sz w:val="21"/>
                <w:szCs w:val="21"/>
                <w:highlight w:val="none"/>
                <w:lang w:val="en-US" w:eastAsia="zh-CN"/>
              </w:rPr>
              <w:t>。</w:t>
            </w:r>
          </w:p>
        </w:tc>
      </w:tr>
      <w:tr w14:paraId="45B9D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0E22843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zh-CN"/>
              </w:rPr>
              <w:t>声环境</w:t>
            </w:r>
          </w:p>
        </w:tc>
        <w:tc>
          <w:tcPr>
            <w:tcW w:w="510" w:type="pct"/>
            <w:tcBorders>
              <w:tl2br w:val="nil"/>
              <w:tr2bl w:val="nil"/>
            </w:tcBorders>
            <w:noWrap w:val="0"/>
            <w:vAlign w:val="center"/>
          </w:tcPr>
          <w:p w14:paraId="0AC3653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zh-CN"/>
              </w:rPr>
              <w:t>三级</w:t>
            </w:r>
          </w:p>
        </w:tc>
        <w:tc>
          <w:tcPr>
            <w:tcW w:w="3668" w:type="pct"/>
            <w:tcBorders>
              <w:tl2br w:val="nil"/>
              <w:tr2bl w:val="nil"/>
            </w:tcBorders>
            <w:noWrap w:val="0"/>
            <w:vAlign w:val="center"/>
          </w:tcPr>
          <w:p w14:paraId="6A50E5C8">
            <w:pPr>
              <w:keepNext w:val="0"/>
              <w:keepLines w:val="0"/>
              <w:pageBreakBefore w:val="0"/>
              <w:widowControl/>
              <w:suppressLineNumbers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以项目边界向外200m范围内</w:t>
            </w:r>
            <w:r>
              <w:rPr>
                <w:rFonts w:hint="default" w:ascii="Times New Roman" w:hAnsi="Times New Roman" w:eastAsia="宋体" w:cs="Times New Roman"/>
                <w:color w:val="000000"/>
                <w:kern w:val="0"/>
                <w:sz w:val="21"/>
                <w:szCs w:val="21"/>
                <w:highlight w:val="none"/>
                <w:lang w:val="en-US" w:eastAsia="zh-CN" w:bidi="ar"/>
              </w:rPr>
              <w:t>可能受影响的敏感目标。</w:t>
            </w:r>
          </w:p>
        </w:tc>
      </w:tr>
      <w:tr w14:paraId="116D90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18B0550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zh-CN"/>
              </w:rPr>
              <w:t>地下水环境</w:t>
            </w:r>
          </w:p>
        </w:tc>
        <w:tc>
          <w:tcPr>
            <w:tcW w:w="510" w:type="pct"/>
            <w:tcBorders>
              <w:tl2br w:val="nil"/>
              <w:tr2bl w:val="nil"/>
            </w:tcBorders>
            <w:noWrap w:val="0"/>
            <w:vAlign w:val="center"/>
          </w:tcPr>
          <w:p w14:paraId="506D99B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en-US" w:eastAsia="zh-CN"/>
              </w:rPr>
              <w:t xml:space="preserve">二 </w:t>
            </w:r>
            <w:r>
              <w:rPr>
                <w:rFonts w:hint="default" w:ascii="Times New Roman" w:hAnsi="Times New Roman" w:eastAsia="宋体" w:cs="Times New Roman"/>
                <w:color w:val="auto"/>
                <w:kern w:val="21"/>
                <w:sz w:val="21"/>
                <w:szCs w:val="21"/>
                <w:highlight w:val="none"/>
                <w:lang w:val="zh-CN"/>
              </w:rPr>
              <w:t>级</w:t>
            </w:r>
          </w:p>
        </w:tc>
        <w:tc>
          <w:tcPr>
            <w:tcW w:w="3668" w:type="pct"/>
            <w:tcBorders>
              <w:tl2br w:val="nil"/>
              <w:tr2bl w:val="nil"/>
            </w:tcBorders>
            <w:noWrap w:val="0"/>
            <w:vAlign w:val="center"/>
          </w:tcPr>
          <w:p w14:paraId="1562BDDC">
            <w:pPr>
              <w:keepNext w:val="0"/>
              <w:keepLines w:val="0"/>
              <w:pageBreakBefore w:val="0"/>
              <w:widowControl/>
              <w:suppressLineNumbers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本项目的调查评价面积</w:t>
            </w:r>
            <w:r>
              <w:rPr>
                <w:rFonts w:hint="default" w:ascii="Times New Roman" w:hAnsi="Times New Roman" w:eastAsia="宋体" w:cs="Times New Roman"/>
                <w:color w:val="auto"/>
                <w:sz w:val="21"/>
                <w:szCs w:val="21"/>
                <w:highlight w:val="none"/>
                <w:lang w:val="en-US" w:eastAsia="zh-CN"/>
              </w:rPr>
              <w:t>所在厂区周边</w:t>
            </w:r>
            <w:r>
              <w:rPr>
                <w:rFonts w:hint="default" w:ascii="Times New Roman" w:hAnsi="Times New Roman" w:eastAsia="宋体" w:cs="Times New Roman"/>
                <w:color w:val="000000"/>
                <w:kern w:val="0"/>
                <w:sz w:val="21"/>
                <w:szCs w:val="21"/>
                <w:highlight w:val="none"/>
                <w:lang w:val="en-US" w:eastAsia="zh-CN" w:bidi="ar"/>
              </w:rPr>
              <w:t>20km</w:t>
            </w:r>
            <w:r>
              <w:rPr>
                <w:rFonts w:hint="default" w:ascii="Times New Roman" w:hAnsi="Times New Roman" w:eastAsia="宋体" w:cs="Times New Roman"/>
                <w:color w:val="000000"/>
                <w:kern w:val="0"/>
                <w:sz w:val="21"/>
                <w:szCs w:val="21"/>
                <w:highlight w:val="none"/>
                <w:vertAlign w:val="superscript"/>
                <w:lang w:val="en-US" w:eastAsia="zh-CN" w:bidi="ar"/>
              </w:rPr>
              <w:t>2</w:t>
            </w:r>
            <w:r>
              <w:rPr>
                <w:rFonts w:hint="default" w:ascii="Times New Roman" w:hAnsi="Times New Roman" w:eastAsia="宋体" w:cs="Times New Roman"/>
                <w:color w:val="000000"/>
                <w:kern w:val="0"/>
                <w:sz w:val="21"/>
                <w:szCs w:val="21"/>
                <w:highlight w:val="none"/>
                <w:vertAlign w:val="baseline"/>
                <w:lang w:val="en-US" w:eastAsia="zh-CN" w:bidi="ar"/>
              </w:rPr>
              <w:t>范围内的区域，</w:t>
            </w:r>
            <w:r>
              <w:rPr>
                <w:rFonts w:hint="default" w:ascii="Times New Roman" w:hAnsi="Times New Roman" w:eastAsia="宋体" w:cs="Times New Roman"/>
                <w:color w:val="000000"/>
                <w:kern w:val="0"/>
                <w:sz w:val="21"/>
                <w:szCs w:val="21"/>
                <w:highlight w:val="none"/>
                <w:lang w:val="en-US" w:eastAsia="zh-CN" w:bidi="ar"/>
              </w:rPr>
              <w:t>应包括重要的地下水环境保护目标，必要时适当扩大范围（</w:t>
            </w:r>
            <w:r>
              <w:rPr>
                <w:rFonts w:hint="default" w:ascii="Times New Roman" w:hAnsi="Times New Roman" w:eastAsia="宋体" w:cs="Times New Roman"/>
                <w:spacing w:val="-3"/>
                <w:sz w:val="21"/>
                <w:szCs w:val="21"/>
                <w:highlight w:val="none"/>
              </w:rPr>
              <w:t>区域地下水流向为自南向北</w:t>
            </w:r>
            <w:r>
              <w:rPr>
                <w:rFonts w:hint="default" w:ascii="Times New Roman" w:hAnsi="Times New Roman" w:eastAsia="宋体" w:cs="Times New Roman"/>
                <w:color w:val="000000"/>
                <w:kern w:val="0"/>
                <w:sz w:val="21"/>
                <w:szCs w:val="21"/>
                <w:highlight w:val="none"/>
                <w:lang w:val="en-US" w:eastAsia="zh-CN" w:bidi="ar"/>
              </w:rPr>
              <w:t>）</w:t>
            </w:r>
          </w:p>
        </w:tc>
      </w:tr>
      <w:tr w14:paraId="66E11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37486784">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zh-CN"/>
              </w:rPr>
            </w:pPr>
            <w:r>
              <w:rPr>
                <w:rFonts w:hint="default" w:ascii="Times New Roman" w:hAnsi="Times New Roman" w:eastAsia="宋体" w:cs="Times New Roman"/>
                <w:color w:val="auto"/>
                <w:kern w:val="21"/>
                <w:sz w:val="21"/>
                <w:szCs w:val="21"/>
                <w:highlight w:val="none"/>
                <w:lang w:val="zh-CN"/>
              </w:rPr>
              <w:t>生态环境</w:t>
            </w:r>
          </w:p>
        </w:tc>
        <w:tc>
          <w:tcPr>
            <w:tcW w:w="510" w:type="pct"/>
            <w:tcBorders>
              <w:tl2br w:val="nil"/>
              <w:tr2bl w:val="nil"/>
            </w:tcBorders>
            <w:noWrap w:val="0"/>
            <w:vAlign w:val="center"/>
          </w:tcPr>
          <w:p w14:paraId="1F90FB1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简单分析</w:t>
            </w:r>
          </w:p>
        </w:tc>
        <w:tc>
          <w:tcPr>
            <w:tcW w:w="3668" w:type="pct"/>
            <w:tcBorders>
              <w:tl2br w:val="nil"/>
              <w:tr2bl w:val="nil"/>
            </w:tcBorders>
            <w:noWrap w:val="0"/>
            <w:vAlign w:val="center"/>
          </w:tcPr>
          <w:p w14:paraId="412B1319">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本项目对生态环境影响较小，影响范围主要是工程占地范围内，本项目生态评价范围为厂区范围内及厂区外 200m 范围。</w:t>
            </w:r>
          </w:p>
        </w:tc>
      </w:tr>
      <w:tr w14:paraId="0C782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7C3564D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土壤环境</w:t>
            </w:r>
          </w:p>
        </w:tc>
        <w:tc>
          <w:tcPr>
            <w:tcW w:w="510" w:type="pct"/>
            <w:tcBorders>
              <w:tl2br w:val="nil"/>
              <w:tr2bl w:val="nil"/>
            </w:tcBorders>
            <w:noWrap w:val="0"/>
            <w:vAlign w:val="center"/>
          </w:tcPr>
          <w:p w14:paraId="0F17E2A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二级</w:t>
            </w:r>
          </w:p>
        </w:tc>
        <w:tc>
          <w:tcPr>
            <w:tcW w:w="3668" w:type="pct"/>
            <w:tcBorders>
              <w:tl2br w:val="nil"/>
              <w:tr2bl w:val="nil"/>
            </w:tcBorders>
            <w:noWrap w:val="0"/>
            <w:vAlign w:val="center"/>
          </w:tcPr>
          <w:p w14:paraId="3BF3F0A7">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项目地200米范围内</w:t>
            </w:r>
          </w:p>
        </w:tc>
      </w:tr>
      <w:tr w14:paraId="30363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73DCACC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default" w:ascii="Times New Roman" w:hAnsi="Times New Roman" w:eastAsia="宋体" w:cs="Times New Roman"/>
                <w:color w:val="auto"/>
                <w:kern w:val="21"/>
                <w:sz w:val="21"/>
                <w:szCs w:val="21"/>
                <w:highlight w:val="none"/>
                <w:lang w:val="en-US" w:eastAsia="zh-CN"/>
              </w:rPr>
              <w:t>环境风险</w:t>
            </w:r>
          </w:p>
        </w:tc>
        <w:tc>
          <w:tcPr>
            <w:tcW w:w="510" w:type="pct"/>
            <w:tcBorders>
              <w:tl2br w:val="nil"/>
              <w:tr2bl w:val="nil"/>
            </w:tcBorders>
            <w:noWrap w:val="0"/>
            <w:vAlign w:val="center"/>
          </w:tcPr>
          <w:p w14:paraId="77E61A2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简单分析</w:t>
            </w:r>
          </w:p>
        </w:tc>
        <w:tc>
          <w:tcPr>
            <w:tcW w:w="3668" w:type="pct"/>
            <w:tcBorders>
              <w:tl2br w:val="nil"/>
              <w:tr2bl w:val="nil"/>
            </w:tcBorders>
            <w:noWrap w:val="0"/>
            <w:vAlign w:val="center"/>
          </w:tcPr>
          <w:p w14:paraId="054E91C1">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ascii="宋体" w:hAnsi="宋体" w:eastAsia="宋体" w:cs="宋体"/>
                <w:spacing w:val="-1"/>
                <w:sz w:val="21"/>
                <w:szCs w:val="21"/>
                <w:highlight w:val="none"/>
              </w:rPr>
              <w:t>主要考虑项目周边所在区域涉及的环境敏感目标</w:t>
            </w:r>
          </w:p>
        </w:tc>
      </w:tr>
    </w:tbl>
    <w:p w14:paraId="4001C339">
      <w:pPr>
        <w:pStyle w:val="6"/>
        <w:bidi w:val="0"/>
        <w:rPr>
          <w:rFonts w:ascii="Times New Roman" w:hAnsi="Times New Roman" w:eastAsia="宋体" w:cs="Times New Roman"/>
          <w:highlight w:val="none"/>
        </w:rPr>
      </w:pPr>
      <w:bookmarkStart w:id="67" w:name="_Toc17288"/>
      <w:bookmarkStart w:id="68" w:name="_Toc488833063"/>
      <w:r>
        <w:rPr>
          <w:rFonts w:ascii="Times New Roman" w:hAnsi="Times New Roman" w:eastAsia="宋体" w:cs="Times New Roman"/>
          <w:highlight w:val="none"/>
        </w:rPr>
        <w:t>2.</w:t>
      </w:r>
      <w:r>
        <w:rPr>
          <w:rFonts w:hint="eastAsia" w:ascii="Times New Roman" w:hAnsi="Times New Roman" w:eastAsia="宋体" w:cs="Times New Roman"/>
          <w:highlight w:val="none"/>
          <w:lang w:val="en-US" w:eastAsia="zh-CN"/>
        </w:rPr>
        <w:t xml:space="preserve">6 </w:t>
      </w:r>
      <w:r>
        <w:rPr>
          <w:rFonts w:ascii="Times New Roman" w:hAnsi="Times New Roman" w:eastAsia="宋体" w:cs="Times New Roman"/>
          <w:highlight w:val="none"/>
        </w:rPr>
        <w:t>环境保护目标</w:t>
      </w:r>
      <w:bookmarkEnd w:id="67"/>
      <w:bookmarkEnd w:id="68"/>
    </w:p>
    <w:p w14:paraId="5EDE94D6">
      <w:pPr>
        <w:pStyle w:val="2"/>
        <w:keepNext w:val="0"/>
        <w:keepLines w:val="0"/>
        <w:pageBreakBefore w:val="0"/>
        <w:kinsoku/>
        <w:wordWrap/>
        <w:overflowPunct/>
        <w:topLinePunct w:val="0"/>
        <w:autoSpaceDE/>
        <w:autoSpaceDN/>
        <w:bidi w:val="0"/>
        <w:adjustRightInd/>
        <w:spacing w:before="0" w:after="0" w:line="360" w:lineRule="auto"/>
        <w:ind w:left="0" w:right="0" w:firstLine="467"/>
        <w:textAlignment w:val="auto"/>
        <w:rPr>
          <w:highlight w:val="none"/>
        </w:rPr>
      </w:pPr>
      <w:r>
        <w:rPr>
          <w:spacing w:val="-8"/>
          <w:highlight w:val="none"/>
        </w:rPr>
        <w:t>根据项目现场初步调查，区域为城市，无重点保护文物和珍稀动植物。本次评价根据</w:t>
      </w:r>
      <w:r>
        <w:rPr>
          <w:spacing w:val="7"/>
          <w:highlight w:val="none"/>
        </w:rPr>
        <w:t xml:space="preserve"> </w:t>
      </w:r>
      <w:r>
        <w:rPr>
          <w:spacing w:val="-1"/>
          <w:highlight w:val="none"/>
        </w:rPr>
        <w:t>周围居民分布、污染特征等确定环境保护目标，详见表</w:t>
      </w:r>
      <w:r>
        <w:rPr>
          <w:rFonts w:ascii="Times New Roman" w:hAnsi="Times New Roman" w:eastAsia="Times New Roman" w:cs="Times New Roman"/>
          <w:spacing w:val="-1"/>
          <w:highlight w:val="none"/>
        </w:rPr>
        <w:t>2.6-1</w:t>
      </w:r>
      <w:r>
        <w:rPr>
          <w:spacing w:val="-1"/>
          <w:highlight w:val="none"/>
        </w:rPr>
        <w:t>。</w:t>
      </w:r>
    </w:p>
    <w:p w14:paraId="3F158909">
      <w:pPr>
        <w:keepNext w:val="0"/>
        <w:keepLines w:val="0"/>
        <w:pageBreakBefore w:val="0"/>
        <w:widowControl w:val="0"/>
        <w:kinsoku/>
        <w:wordWrap/>
        <w:overflowPunct/>
        <w:topLinePunct w:val="0"/>
        <w:autoSpaceDE/>
        <w:autoSpaceDN/>
        <w:bidi w:val="0"/>
        <w:adjustRightInd/>
        <w:snapToGrid/>
        <w:spacing w:line="360" w:lineRule="auto"/>
        <w:ind w:left="0" w:right="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2.6-1 建设项目环境保护目标一览表</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338"/>
        <w:gridCol w:w="525"/>
        <w:gridCol w:w="1185"/>
        <w:gridCol w:w="2115"/>
        <w:gridCol w:w="1380"/>
        <w:gridCol w:w="1545"/>
        <w:gridCol w:w="1427"/>
      </w:tblGrid>
      <w:tr w14:paraId="5D94C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198" w:type="pct"/>
            <w:tcBorders>
              <w:tl2br w:val="nil"/>
              <w:tr2bl w:val="nil"/>
            </w:tcBorders>
            <w:shd w:val="clear" w:color="auto" w:fill="auto"/>
            <w:noWrap/>
            <w:vAlign w:val="center"/>
          </w:tcPr>
          <w:p w14:paraId="3CA7154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环境要素</w:t>
            </w:r>
          </w:p>
        </w:tc>
        <w:tc>
          <w:tcPr>
            <w:tcW w:w="308" w:type="pct"/>
            <w:tcBorders>
              <w:tl2br w:val="nil"/>
              <w:tr2bl w:val="nil"/>
            </w:tcBorders>
            <w:shd w:val="clear" w:color="auto" w:fill="auto"/>
            <w:noWrap/>
            <w:vAlign w:val="center"/>
          </w:tcPr>
          <w:p w14:paraId="77BA820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序号</w:t>
            </w:r>
          </w:p>
        </w:tc>
        <w:tc>
          <w:tcPr>
            <w:tcW w:w="695" w:type="pct"/>
            <w:tcBorders>
              <w:tl2br w:val="nil"/>
              <w:tr2bl w:val="nil"/>
            </w:tcBorders>
            <w:shd w:val="clear" w:color="auto" w:fill="auto"/>
            <w:vAlign w:val="center"/>
          </w:tcPr>
          <w:p w14:paraId="29C248E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名称</w:t>
            </w:r>
          </w:p>
        </w:tc>
        <w:tc>
          <w:tcPr>
            <w:tcW w:w="1241" w:type="pct"/>
            <w:tcBorders>
              <w:tl2br w:val="nil"/>
              <w:tr2bl w:val="nil"/>
            </w:tcBorders>
            <w:shd w:val="clear" w:color="auto" w:fill="auto"/>
            <w:vAlign w:val="center"/>
          </w:tcPr>
          <w:p w14:paraId="07BF899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坐标（°）</w:t>
            </w:r>
          </w:p>
        </w:tc>
        <w:tc>
          <w:tcPr>
            <w:tcW w:w="810" w:type="pct"/>
            <w:tcBorders>
              <w:tl2br w:val="nil"/>
              <w:tr2bl w:val="nil"/>
            </w:tcBorders>
            <w:shd w:val="clear" w:color="auto" w:fill="auto"/>
            <w:vAlign w:val="center"/>
          </w:tcPr>
          <w:p w14:paraId="3F18241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保护对象</w:t>
            </w:r>
          </w:p>
        </w:tc>
        <w:tc>
          <w:tcPr>
            <w:tcW w:w="907" w:type="pct"/>
            <w:tcBorders>
              <w:tl2br w:val="nil"/>
              <w:tr2bl w:val="nil"/>
            </w:tcBorders>
            <w:shd w:val="clear" w:color="auto" w:fill="auto"/>
            <w:vAlign w:val="center"/>
          </w:tcPr>
          <w:p w14:paraId="507465D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与项目的相对方位及距离（m）</w:t>
            </w:r>
          </w:p>
        </w:tc>
        <w:tc>
          <w:tcPr>
            <w:tcW w:w="837" w:type="pct"/>
            <w:tcBorders>
              <w:tl2br w:val="nil"/>
              <w:tr2bl w:val="nil"/>
            </w:tcBorders>
            <w:shd w:val="clear" w:color="auto" w:fill="auto"/>
            <w:vAlign w:val="center"/>
          </w:tcPr>
          <w:p w14:paraId="6EF06D0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保护级别</w:t>
            </w:r>
          </w:p>
        </w:tc>
      </w:tr>
      <w:tr w14:paraId="15088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restart"/>
            <w:tcBorders>
              <w:tl2br w:val="nil"/>
              <w:tr2bl w:val="nil"/>
            </w:tcBorders>
            <w:shd w:val="clear" w:color="auto" w:fill="auto"/>
            <w:noWrap/>
            <w:vAlign w:val="center"/>
          </w:tcPr>
          <w:p w14:paraId="1B61D0C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大气环境</w:t>
            </w:r>
          </w:p>
        </w:tc>
        <w:tc>
          <w:tcPr>
            <w:tcW w:w="308" w:type="pct"/>
            <w:tcBorders>
              <w:tl2br w:val="nil"/>
              <w:tr2bl w:val="nil"/>
            </w:tcBorders>
            <w:shd w:val="clear" w:color="auto" w:fill="auto"/>
            <w:noWrap/>
            <w:vAlign w:val="center"/>
          </w:tcPr>
          <w:p w14:paraId="37D8AA4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695" w:type="pct"/>
            <w:tcBorders>
              <w:tl2br w:val="nil"/>
              <w:tr2bl w:val="nil"/>
            </w:tcBorders>
            <w:shd w:val="clear" w:color="auto" w:fill="auto"/>
            <w:vAlign w:val="center"/>
          </w:tcPr>
          <w:p w14:paraId="513E050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跃进十组</w:t>
            </w:r>
          </w:p>
        </w:tc>
        <w:tc>
          <w:tcPr>
            <w:tcW w:w="1241" w:type="pct"/>
            <w:tcBorders>
              <w:tl2br w:val="nil"/>
              <w:tr2bl w:val="nil"/>
            </w:tcBorders>
            <w:shd w:val="clear" w:color="auto" w:fill="auto"/>
            <w:vAlign w:val="center"/>
          </w:tcPr>
          <w:p w14:paraId="2FA4867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113.142283,29.11647</w:t>
            </w:r>
          </w:p>
        </w:tc>
        <w:tc>
          <w:tcPr>
            <w:tcW w:w="810" w:type="pct"/>
            <w:tcBorders>
              <w:tl2br w:val="nil"/>
              <w:tr2bl w:val="nil"/>
            </w:tcBorders>
            <w:shd w:val="clear" w:color="auto" w:fill="auto"/>
            <w:vAlign w:val="center"/>
          </w:tcPr>
          <w:p w14:paraId="6CCCFAB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13 户</w:t>
            </w:r>
          </w:p>
        </w:tc>
        <w:tc>
          <w:tcPr>
            <w:tcW w:w="907" w:type="pct"/>
            <w:tcBorders>
              <w:tl2br w:val="nil"/>
              <w:tr2bl w:val="nil"/>
            </w:tcBorders>
            <w:shd w:val="clear" w:color="auto" w:fill="auto"/>
            <w:vAlign w:val="center"/>
          </w:tcPr>
          <w:p w14:paraId="4F81E1F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SE，540-700</w:t>
            </w:r>
          </w:p>
        </w:tc>
        <w:tc>
          <w:tcPr>
            <w:tcW w:w="837" w:type="pct"/>
            <w:vMerge w:val="restart"/>
            <w:tcBorders>
              <w:tl2br w:val="nil"/>
              <w:tr2bl w:val="nil"/>
            </w:tcBorders>
            <w:shd w:val="clear" w:color="auto" w:fill="auto"/>
            <w:vAlign w:val="center"/>
          </w:tcPr>
          <w:p w14:paraId="3DA9C2F6">
            <w:pPr>
              <w:pStyle w:val="36"/>
              <w:spacing w:before="65" w:line="252" w:lineRule="auto"/>
              <w:ind w:left="0" w:leftChars="0" w:right="84"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环境空气质量标</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1"/>
                <w:sz w:val="21"/>
                <w:szCs w:val="21"/>
                <w:highlight w:val="none"/>
              </w:rPr>
              <w:t>准》</w:t>
            </w:r>
          </w:p>
          <w:p w14:paraId="7104895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pacing w:val="-1"/>
                <w:sz w:val="21"/>
                <w:szCs w:val="21"/>
                <w:highlight w:val="none"/>
              </w:rPr>
              <w:t>（GB3095-2012）二</w:t>
            </w:r>
            <w:r>
              <w:rPr>
                <w:rFonts w:hint="default" w:ascii="Times New Roman" w:hAnsi="Times New Roman" w:eastAsia="宋体" w:cs="Times New Roman"/>
                <w:sz w:val="21"/>
                <w:szCs w:val="21"/>
                <w:highlight w:val="none"/>
              </w:rPr>
              <w:t xml:space="preserve"> 级</w:t>
            </w:r>
          </w:p>
        </w:tc>
      </w:tr>
      <w:tr w14:paraId="4684C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321E7BE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1C0B377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695" w:type="pct"/>
            <w:tcBorders>
              <w:tl2br w:val="nil"/>
              <w:tr2bl w:val="nil"/>
            </w:tcBorders>
            <w:shd w:val="clear" w:color="auto" w:fill="auto"/>
            <w:vAlign w:val="center"/>
          </w:tcPr>
          <w:p w14:paraId="69E2A8E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跃进十一组</w:t>
            </w:r>
          </w:p>
        </w:tc>
        <w:tc>
          <w:tcPr>
            <w:tcW w:w="1241" w:type="pct"/>
            <w:tcBorders>
              <w:tl2br w:val="nil"/>
              <w:tr2bl w:val="nil"/>
            </w:tcBorders>
            <w:shd w:val="clear" w:color="auto" w:fill="auto"/>
            <w:vAlign w:val="center"/>
          </w:tcPr>
          <w:p w14:paraId="1E7D02B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113.140674,29.11628</w:t>
            </w:r>
          </w:p>
        </w:tc>
        <w:tc>
          <w:tcPr>
            <w:tcW w:w="810" w:type="pct"/>
            <w:tcBorders>
              <w:tl2br w:val="nil"/>
              <w:tr2bl w:val="nil"/>
            </w:tcBorders>
            <w:shd w:val="clear" w:color="auto" w:fill="auto"/>
            <w:vAlign w:val="center"/>
          </w:tcPr>
          <w:p w14:paraId="4DB72C6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居住区，约10  户</w:t>
            </w:r>
          </w:p>
        </w:tc>
        <w:tc>
          <w:tcPr>
            <w:tcW w:w="907" w:type="pct"/>
            <w:tcBorders>
              <w:tl2br w:val="nil"/>
              <w:tr2bl w:val="nil"/>
            </w:tcBorders>
            <w:shd w:val="clear" w:color="auto" w:fill="auto"/>
            <w:vAlign w:val="center"/>
          </w:tcPr>
          <w:p w14:paraId="0700941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S，620-630</w:t>
            </w:r>
          </w:p>
        </w:tc>
        <w:tc>
          <w:tcPr>
            <w:tcW w:w="837" w:type="pct"/>
            <w:vMerge w:val="continue"/>
            <w:tcBorders>
              <w:tl2br w:val="nil"/>
              <w:tr2bl w:val="nil"/>
            </w:tcBorders>
            <w:shd w:val="clear" w:color="auto" w:fill="auto"/>
            <w:vAlign w:val="center"/>
          </w:tcPr>
          <w:p w14:paraId="372B73F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6F0DA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1D2A922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22F3B86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695" w:type="pct"/>
            <w:tcBorders>
              <w:tl2br w:val="nil"/>
              <w:tr2bl w:val="nil"/>
            </w:tcBorders>
            <w:shd w:val="clear" w:color="auto" w:fill="auto"/>
            <w:noWrap/>
            <w:vAlign w:val="center"/>
          </w:tcPr>
          <w:p w14:paraId="3041437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刘介章居民</w:t>
            </w:r>
          </w:p>
        </w:tc>
        <w:tc>
          <w:tcPr>
            <w:tcW w:w="1241" w:type="pct"/>
            <w:tcBorders>
              <w:tl2br w:val="nil"/>
              <w:tr2bl w:val="nil"/>
            </w:tcBorders>
            <w:shd w:val="clear" w:color="auto" w:fill="auto"/>
            <w:noWrap/>
            <w:vAlign w:val="center"/>
          </w:tcPr>
          <w:p w14:paraId="4FB2E42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113.144379, 29.11382</w:t>
            </w:r>
          </w:p>
        </w:tc>
        <w:tc>
          <w:tcPr>
            <w:tcW w:w="810" w:type="pct"/>
            <w:tcBorders>
              <w:tl2br w:val="nil"/>
              <w:tr2bl w:val="nil"/>
            </w:tcBorders>
            <w:shd w:val="clear" w:color="auto" w:fill="auto"/>
            <w:noWrap/>
            <w:vAlign w:val="center"/>
          </w:tcPr>
          <w:p w14:paraId="75AFCBA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100 户</w:t>
            </w:r>
          </w:p>
        </w:tc>
        <w:tc>
          <w:tcPr>
            <w:tcW w:w="907" w:type="pct"/>
            <w:tcBorders>
              <w:tl2br w:val="nil"/>
              <w:tr2bl w:val="nil"/>
            </w:tcBorders>
            <w:shd w:val="clear" w:color="auto" w:fill="auto"/>
            <w:vAlign w:val="center"/>
          </w:tcPr>
          <w:p w14:paraId="38B444E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SE，540-700</w:t>
            </w:r>
          </w:p>
        </w:tc>
        <w:tc>
          <w:tcPr>
            <w:tcW w:w="837" w:type="pct"/>
            <w:vMerge w:val="continue"/>
            <w:tcBorders>
              <w:tl2br w:val="nil"/>
              <w:tr2bl w:val="nil"/>
            </w:tcBorders>
            <w:shd w:val="clear" w:color="auto" w:fill="auto"/>
            <w:vAlign w:val="center"/>
          </w:tcPr>
          <w:p w14:paraId="163137C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3616E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3BC8D9A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564B248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695" w:type="pct"/>
            <w:tcBorders>
              <w:tl2br w:val="nil"/>
              <w:tr2bl w:val="nil"/>
            </w:tcBorders>
            <w:shd w:val="clear" w:color="auto" w:fill="auto"/>
            <w:vAlign w:val="center"/>
          </w:tcPr>
          <w:p w14:paraId="4CD89B9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跃进村</w:t>
            </w:r>
          </w:p>
        </w:tc>
        <w:tc>
          <w:tcPr>
            <w:tcW w:w="1241" w:type="pct"/>
            <w:tcBorders>
              <w:tl2br w:val="nil"/>
              <w:tr2bl w:val="nil"/>
            </w:tcBorders>
            <w:shd w:val="clear" w:color="auto" w:fill="auto"/>
            <w:noWrap/>
            <w:vAlign w:val="center"/>
          </w:tcPr>
          <w:p w14:paraId="4013985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113.143211,29.11488</w:t>
            </w:r>
          </w:p>
        </w:tc>
        <w:tc>
          <w:tcPr>
            <w:tcW w:w="810" w:type="pct"/>
            <w:tcBorders>
              <w:tl2br w:val="nil"/>
              <w:tr2bl w:val="nil"/>
            </w:tcBorders>
            <w:shd w:val="clear" w:color="auto" w:fill="auto"/>
            <w:vAlign w:val="center"/>
          </w:tcPr>
          <w:p w14:paraId="06B5DA7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居住区，约200  户</w:t>
            </w:r>
          </w:p>
        </w:tc>
        <w:tc>
          <w:tcPr>
            <w:tcW w:w="907" w:type="pct"/>
            <w:tcBorders>
              <w:tl2br w:val="nil"/>
              <w:tr2bl w:val="nil"/>
            </w:tcBorders>
            <w:shd w:val="clear" w:color="auto" w:fill="auto"/>
            <w:vAlign w:val="center"/>
          </w:tcPr>
          <w:p w14:paraId="25F675C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SE，800-1200</w:t>
            </w:r>
          </w:p>
        </w:tc>
        <w:tc>
          <w:tcPr>
            <w:tcW w:w="837" w:type="pct"/>
            <w:vMerge w:val="continue"/>
            <w:tcBorders>
              <w:tl2br w:val="nil"/>
              <w:tr2bl w:val="nil"/>
            </w:tcBorders>
            <w:shd w:val="clear" w:color="auto" w:fill="auto"/>
            <w:vAlign w:val="center"/>
          </w:tcPr>
          <w:p w14:paraId="25C26E1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0A9B8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130A8EE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4E8C898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695" w:type="pct"/>
            <w:tcBorders>
              <w:tl2br w:val="nil"/>
              <w:tr2bl w:val="nil"/>
            </w:tcBorders>
            <w:shd w:val="clear" w:color="auto" w:fill="auto"/>
            <w:vAlign w:val="center"/>
          </w:tcPr>
          <w:p w14:paraId="6C3F396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雷家屋</w:t>
            </w:r>
          </w:p>
        </w:tc>
        <w:tc>
          <w:tcPr>
            <w:tcW w:w="1241" w:type="pct"/>
            <w:tcBorders>
              <w:tl2br w:val="nil"/>
              <w:tr2bl w:val="nil"/>
            </w:tcBorders>
            <w:shd w:val="clear" w:color="auto" w:fill="auto"/>
            <w:vAlign w:val="center"/>
          </w:tcPr>
          <w:p w14:paraId="329CBC6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113.142295,29.12385</w:t>
            </w:r>
          </w:p>
        </w:tc>
        <w:tc>
          <w:tcPr>
            <w:tcW w:w="810" w:type="pct"/>
            <w:tcBorders>
              <w:tl2br w:val="nil"/>
              <w:tr2bl w:val="nil"/>
            </w:tcBorders>
            <w:shd w:val="clear" w:color="auto" w:fill="auto"/>
            <w:vAlign w:val="center"/>
          </w:tcPr>
          <w:p w14:paraId="697AB35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居住区，约5  户</w:t>
            </w:r>
          </w:p>
        </w:tc>
        <w:tc>
          <w:tcPr>
            <w:tcW w:w="907" w:type="pct"/>
            <w:tcBorders>
              <w:tl2br w:val="nil"/>
              <w:tr2bl w:val="nil"/>
            </w:tcBorders>
            <w:shd w:val="clear" w:color="auto" w:fill="auto"/>
            <w:vAlign w:val="center"/>
          </w:tcPr>
          <w:p w14:paraId="339C611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NE,150-220</w:t>
            </w:r>
          </w:p>
        </w:tc>
        <w:tc>
          <w:tcPr>
            <w:tcW w:w="837" w:type="pct"/>
            <w:vMerge w:val="continue"/>
            <w:tcBorders>
              <w:tl2br w:val="nil"/>
              <w:tr2bl w:val="nil"/>
            </w:tcBorders>
            <w:shd w:val="clear" w:color="auto" w:fill="auto"/>
            <w:vAlign w:val="center"/>
          </w:tcPr>
          <w:p w14:paraId="5E03E23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35D01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5BD9C6E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24999FF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695" w:type="pct"/>
            <w:tcBorders>
              <w:tl2br w:val="nil"/>
              <w:tr2bl w:val="nil"/>
            </w:tcBorders>
            <w:shd w:val="clear" w:color="auto" w:fill="auto"/>
            <w:vAlign w:val="center"/>
          </w:tcPr>
          <w:p w14:paraId="175B16F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兰塘八组</w:t>
            </w:r>
          </w:p>
        </w:tc>
        <w:tc>
          <w:tcPr>
            <w:tcW w:w="1241" w:type="pct"/>
            <w:tcBorders>
              <w:tl2br w:val="nil"/>
              <w:tr2bl w:val="nil"/>
            </w:tcBorders>
            <w:shd w:val="clear" w:color="auto" w:fill="auto"/>
            <w:vAlign w:val="center"/>
          </w:tcPr>
          <w:p w14:paraId="622A8F5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113.142878,29.12310</w:t>
            </w:r>
          </w:p>
        </w:tc>
        <w:tc>
          <w:tcPr>
            <w:tcW w:w="810" w:type="pct"/>
            <w:tcBorders>
              <w:tl2br w:val="nil"/>
              <w:tr2bl w:val="nil"/>
            </w:tcBorders>
            <w:shd w:val="clear" w:color="auto" w:fill="auto"/>
            <w:vAlign w:val="center"/>
          </w:tcPr>
          <w:p w14:paraId="2888B29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10 户</w:t>
            </w:r>
          </w:p>
        </w:tc>
        <w:tc>
          <w:tcPr>
            <w:tcW w:w="907" w:type="pct"/>
            <w:tcBorders>
              <w:tl2br w:val="nil"/>
              <w:tr2bl w:val="nil"/>
            </w:tcBorders>
            <w:shd w:val="clear" w:color="auto" w:fill="auto"/>
            <w:vAlign w:val="center"/>
          </w:tcPr>
          <w:p w14:paraId="5C4FBCA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NE,154-250</w:t>
            </w:r>
          </w:p>
        </w:tc>
        <w:tc>
          <w:tcPr>
            <w:tcW w:w="837" w:type="pct"/>
            <w:vMerge w:val="continue"/>
            <w:tcBorders>
              <w:tl2br w:val="nil"/>
              <w:tr2bl w:val="nil"/>
            </w:tcBorders>
            <w:shd w:val="clear" w:color="auto" w:fill="auto"/>
            <w:vAlign w:val="center"/>
          </w:tcPr>
          <w:p w14:paraId="37C4079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5855F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1CB02C0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370FE2C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695" w:type="pct"/>
            <w:tcBorders>
              <w:tl2br w:val="nil"/>
              <w:tr2bl w:val="nil"/>
            </w:tcBorders>
            <w:shd w:val="clear" w:color="auto" w:fill="auto"/>
            <w:vAlign w:val="center"/>
          </w:tcPr>
          <w:p w14:paraId="6A65123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李家屋</w:t>
            </w:r>
          </w:p>
        </w:tc>
        <w:tc>
          <w:tcPr>
            <w:tcW w:w="1241" w:type="pct"/>
            <w:tcBorders>
              <w:tl2br w:val="nil"/>
              <w:tr2bl w:val="nil"/>
            </w:tcBorders>
            <w:shd w:val="clear" w:color="auto" w:fill="auto"/>
            <w:vAlign w:val="center"/>
          </w:tcPr>
          <w:p w14:paraId="1337801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113.143133,29.12473</w:t>
            </w:r>
          </w:p>
        </w:tc>
        <w:tc>
          <w:tcPr>
            <w:tcW w:w="810" w:type="pct"/>
            <w:tcBorders>
              <w:tl2br w:val="nil"/>
              <w:tr2bl w:val="nil"/>
            </w:tcBorders>
            <w:shd w:val="clear" w:color="auto" w:fill="auto"/>
            <w:vAlign w:val="center"/>
          </w:tcPr>
          <w:p w14:paraId="4A6D04E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2 户</w:t>
            </w:r>
          </w:p>
        </w:tc>
        <w:tc>
          <w:tcPr>
            <w:tcW w:w="907" w:type="pct"/>
            <w:tcBorders>
              <w:tl2br w:val="nil"/>
              <w:tr2bl w:val="nil"/>
            </w:tcBorders>
            <w:shd w:val="clear" w:color="auto" w:fill="auto"/>
            <w:vAlign w:val="center"/>
          </w:tcPr>
          <w:p w14:paraId="764BAB0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NE,320-330</w:t>
            </w:r>
          </w:p>
        </w:tc>
        <w:tc>
          <w:tcPr>
            <w:tcW w:w="837" w:type="pct"/>
            <w:vMerge w:val="continue"/>
            <w:tcBorders>
              <w:tl2br w:val="nil"/>
              <w:tr2bl w:val="nil"/>
            </w:tcBorders>
            <w:shd w:val="clear" w:color="auto" w:fill="auto"/>
            <w:vAlign w:val="center"/>
          </w:tcPr>
          <w:p w14:paraId="7C081B2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3BA42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2529C4E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6A75C71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695" w:type="pct"/>
            <w:tcBorders>
              <w:tl2br w:val="nil"/>
              <w:tr2bl w:val="nil"/>
            </w:tcBorders>
            <w:shd w:val="clear" w:color="auto" w:fill="auto"/>
            <w:vAlign w:val="center"/>
          </w:tcPr>
          <w:p w14:paraId="261C481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兰塘四组</w:t>
            </w:r>
          </w:p>
        </w:tc>
        <w:tc>
          <w:tcPr>
            <w:tcW w:w="1241" w:type="pct"/>
            <w:tcBorders>
              <w:tl2br w:val="nil"/>
              <w:tr2bl w:val="nil"/>
            </w:tcBorders>
            <w:shd w:val="clear" w:color="auto" w:fill="auto"/>
            <w:vAlign w:val="center"/>
          </w:tcPr>
          <w:p w14:paraId="35D2DCD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113.143827,29.12541</w:t>
            </w:r>
          </w:p>
        </w:tc>
        <w:tc>
          <w:tcPr>
            <w:tcW w:w="810" w:type="pct"/>
            <w:tcBorders>
              <w:tl2br w:val="nil"/>
              <w:tr2bl w:val="nil"/>
            </w:tcBorders>
            <w:shd w:val="clear" w:color="auto" w:fill="auto"/>
            <w:vAlign w:val="center"/>
          </w:tcPr>
          <w:p w14:paraId="0F00416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居住区，约7  户</w:t>
            </w:r>
          </w:p>
        </w:tc>
        <w:tc>
          <w:tcPr>
            <w:tcW w:w="907" w:type="pct"/>
            <w:tcBorders>
              <w:tl2br w:val="nil"/>
              <w:tr2bl w:val="nil"/>
            </w:tcBorders>
            <w:shd w:val="clear" w:color="auto" w:fill="auto"/>
            <w:vAlign w:val="center"/>
          </w:tcPr>
          <w:p w14:paraId="29B095A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NE,400-450</w:t>
            </w:r>
          </w:p>
        </w:tc>
        <w:tc>
          <w:tcPr>
            <w:tcW w:w="837" w:type="pct"/>
            <w:vMerge w:val="continue"/>
            <w:tcBorders>
              <w:tl2br w:val="nil"/>
              <w:tr2bl w:val="nil"/>
            </w:tcBorders>
            <w:shd w:val="clear" w:color="auto" w:fill="auto"/>
            <w:vAlign w:val="center"/>
          </w:tcPr>
          <w:p w14:paraId="0B64835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3CADE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3367744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1223E79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695" w:type="pct"/>
            <w:tcBorders>
              <w:tl2br w:val="nil"/>
              <w:tr2bl w:val="nil"/>
            </w:tcBorders>
            <w:shd w:val="clear" w:color="auto" w:fill="auto"/>
            <w:vAlign w:val="center"/>
          </w:tcPr>
          <w:p w14:paraId="61CD806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玉沙塘</w:t>
            </w:r>
          </w:p>
        </w:tc>
        <w:tc>
          <w:tcPr>
            <w:tcW w:w="1241" w:type="pct"/>
            <w:tcBorders>
              <w:tl2br w:val="nil"/>
              <w:tr2bl w:val="nil"/>
            </w:tcBorders>
            <w:shd w:val="clear" w:color="auto" w:fill="auto"/>
            <w:vAlign w:val="center"/>
          </w:tcPr>
          <w:p w14:paraId="78FFB4B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113.143805,29.12334</w:t>
            </w:r>
          </w:p>
        </w:tc>
        <w:tc>
          <w:tcPr>
            <w:tcW w:w="810" w:type="pct"/>
            <w:tcBorders>
              <w:tl2br w:val="nil"/>
              <w:tr2bl w:val="nil"/>
            </w:tcBorders>
            <w:shd w:val="clear" w:color="auto" w:fill="auto"/>
            <w:vAlign w:val="center"/>
          </w:tcPr>
          <w:p w14:paraId="552ED89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3 户</w:t>
            </w:r>
          </w:p>
        </w:tc>
        <w:tc>
          <w:tcPr>
            <w:tcW w:w="907" w:type="pct"/>
            <w:tcBorders>
              <w:tl2br w:val="nil"/>
              <w:tr2bl w:val="nil"/>
            </w:tcBorders>
            <w:shd w:val="clear" w:color="auto" w:fill="auto"/>
            <w:vAlign w:val="center"/>
          </w:tcPr>
          <w:p w14:paraId="3C11A47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NE,280-310</w:t>
            </w:r>
          </w:p>
        </w:tc>
        <w:tc>
          <w:tcPr>
            <w:tcW w:w="837" w:type="pct"/>
            <w:vMerge w:val="continue"/>
            <w:tcBorders>
              <w:tl2br w:val="nil"/>
              <w:tr2bl w:val="nil"/>
            </w:tcBorders>
            <w:shd w:val="clear" w:color="auto" w:fill="auto"/>
            <w:vAlign w:val="center"/>
          </w:tcPr>
          <w:p w14:paraId="644AC69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63024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2135EB6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591EE03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695" w:type="pct"/>
            <w:tcBorders>
              <w:tl2br w:val="nil"/>
              <w:tr2bl w:val="nil"/>
            </w:tcBorders>
            <w:shd w:val="clear" w:color="auto" w:fill="auto"/>
            <w:vAlign w:val="center"/>
          </w:tcPr>
          <w:p w14:paraId="4573862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张雄屋</w:t>
            </w:r>
          </w:p>
        </w:tc>
        <w:tc>
          <w:tcPr>
            <w:tcW w:w="1241" w:type="pct"/>
            <w:tcBorders>
              <w:tl2br w:val="nil"/>
              <w:tr2bl w:val="nil"/>
            </w:tcBorders>
            <w:shd w:val="clear" w:color="auto" w:fill="auto"/>
            <w:vAlign w:val="center"/>
          </w:tcPr>
          <w:p w14:paraId="63F5846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113.135860,29.12417</w:t>
            </w:r>
          </w:p>
        </w:tc>
        <w:tc>
          <w:tcPr>
            <w:tcW w:w="810" w:type="pct"/>
            <w:tcBorders>
              <w:tl2br w:val="nil"/>
              <w:tr2bl w:val="nil"/>
            </w:tcBorders>
            <w:shd w:val="clear" w:color="auto" w:fill="auto"/>
            <w:vAlign w:val="center"/>
          </w:tcPr>
          <w:p w14:paraId="5F16EFF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30 户</w:t>
            </w:r>
          </w:p>
        </w:tc>
        <w:tc>
          <w:tcPr>
            <w:tcW w:w="907" w:type="pct"/>
            <w:tcBorders>
              <w:tl2br w:val="nil"/>
              <w:tr2bl w:val="nil"/>
            </w:tcBorders>
            <w:shd w:val="clear" w:color="auto" w:fill="auto"/>
            <w:vAlign w:val="center"/>
          </w:tcPr>
          <w:p w14:paraId="739D35C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NW，460-500</w:t>
            </w:r>
          </w:p>
        </w:tc>
        <w:tc>
          <w:tcPr>
            <w:tcW w:w="837" w:type="pct"/>
            <w:vMerge w:val="continue"/>
            <w:tcBorders>
              <w:tl2br w:val="nil"/>
              <w:tr2bl w:val="nil"/>
            </w:tcBorders>
            <w:shd w:val="clear" w:color="auto" w:fill="auto"/>
            <w:vAlign w:val="center"/>
          </w:tcPr>
          <w:p w14:paraId="406C99F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4DBBC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29E421D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3E61996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c>
          <w:tcPr>
            <w:tcW w:w="695" w:type="pct"/>
            <w:tcBorders>
              <w:tl2br w:val="nil"/>
              <w:tr2bl w:val="nil"/>
            </w:tcBorders>
            <w:shd w:val="clear" w:color="auto" w:fill="auto"/>
            <w:noWrap/>
            <w:vAlign w:val="center"/>
          </w:tcPr>
          <w:p w14:paraId="5FC2AD4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张家里</w:t>
            </w:r>
          </w:p>
        </w:tc>
        <w:tc>
          <w:tcPr>
            <w:tcW w:w="1241" w:type="pct"/>
            <w:tcBorders>
              <w:tl2br w:val="nil"/>
              <w:tr2bl w:val="nil"/>
            </w:tcBorders>
            <w:shd w:val="clear" w:color="auto" w:fill="auto"/>
            <w:noWrap/>
            <w:vAlign w:val="center"/>
          </w:tcPr>
          <w:p w14:paraId="756F880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113.133242, 29.12539</w:t>
            </w:r>
          </w:p>
        </w:tc>
        <w:tc>
          <w:tcPr>
            <w:tcW w:w="810" w:type="pct"/>
            <w:tcBorders>
              <w:tl2br w:val="nil"/>
              <w:tr2bl w:val="nil"/>
            </w:tcBorders>
            <w:shd w:val="clear" w:color="auto" w:fill="auto"/>
            <w:noWrap/>
            <w:vAlign w:val="center"/>
          </w:tcPr>
          <w:p w14:paraId="21C6E01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50 户</w:t>
            </w:r>
          </w:p>
        </w:tc>
        <w:tc>
          <w:tcPr>
            <w:tcW w:w="907" w:type="pct"/>
            <w:tcBorders>
              <w:tl2br w:val="nil"/>
              <w:tr2bl w:val="nil"/>
            </w:tcBorders>
            <w:shd w:val="clear" w:color="auto" w:fill="auto"/>
            <w:vAlign w:val="center"/>
          </w:tcPr>
          <w:p w14:paraId="63E21DA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NW，750-900</w:t>
            </w:r>
          </w:p>
        </w:tc>
        <w:tc>
          <w:tcPr>
            <w:tcW w:w="837" w:type="pct"/>
            <w:vMerge w:val="continue"/>
            <w:tcBorders>
              <w:tl2br w:val="nil"/>
              <w:tr2bl w:val="nil"/>
            </w:tcBorders>
            <w:shd w:val="clear" w:color="auto" w:fill="auto"/>
            <w:vAlign w:val="center"/>
          </w:tcPr>
          <w:p w14:paraId="6BA0E21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701C1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49D494C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57D4F5A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695" w:type="pct"/>
            <w:tcBorders>
              <w:tl2br w:val="nil"/>
              <w:tr2bl w:val="nil"/>
            </w:tcBorders>
            <w:shd w:val="clear" w:color="auto" w:fill="auto"/>
            <w:noWrap/>
            <w:vAlign w:val="center"/>
          </w:tcPr>
          <w:p w14:paraId="6604250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刘天普</w:t>
            </w:r>
          </w:p>
        </w:tc>
        <w:tc>
          <w:tcPr>
            <w:tcW w:w="1241" w:type="pct"/>
            <w:tcBorders>
              <w:tl2br w:val="nil"/>
              <w:tr2bl w:val="nil"/>
            </w:tcBorders>
            <w:shd w:val="clear" w:color="auto" w:fill="auto"/>
            <w:noWrap/>
            <w:vAlign w:val="center"/>
          </w:tcPr>
          <w:p w14:paraId="6F19472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113.134165, 29.12209</w:t>
            </w:r>
          </w:p>
        </w:tc>
        <w:tc>
          <w:tcPr>
            <w:tcW w:w="810" w:type="pct"/>
            <w:tcBorders>
              <w:tl2br w:val="nil"/>
              <w:tr2bl w:val="nil"/>
            </w:tcBorders>
            <w:shd w:val="clear" w:color="auto" w:fill="auto"/>
            <w:noWrap/>
            <w:vAlign w:val="center"/>
          </w:tcPr>
          <w:p w14:paraId="15CF8DB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30 户</w:t>
            </w:r>
          </w:p>
        </w:tc>
        <w:tc>
          <w:tcPr>
            <w:tcW w:w="907" w:type="pct"/>
            <w:tcBorders>
              <w:tl2br w:val="nil"/>
              <w:tr2bl w:val="nil"/>
            </w:tcBorders>
            <w:shd w:val="clear" w:color="auto" w:fill="auto"/>
            <w:vAlign w:val="center"/>
          </w:tcPr>
          <w:p w14:paraId="6391C4D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W，600-750</w:t>
            </w:r>
          </w:p>
        </w:tc>
        <w:tc>
          <w:tcPr>
            <w:tcW w:w="837" w:type="pct"/>
            <w:vMerge w:val="continue"/>
            <w:tcBorders>
              <w:tl2br w:val="nil"/>
              <w:tr2bl w:val="nil"/>
            </w:tcBorders>
            <w:shd w:val="clear" w:color="auto" w:fill="auto"/>
            <w:vAlign w:val="center"/>
          </w:tcPr>
          <w:p w14:paraId="7D2995C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2AB66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2B65FE0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4E0913B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13</w:t>
            </w:r>
          </w:p>
        </w:tc>
        <w:tc>
          <w:tcPr>
            <w:tcW w:w="695" w:type="pct"/>
            <w:tcBorders>
              <w:tl2br w:val="nil"/>
              <w:tr2bl w:val="nil"/>
            </w:tcBorders>
            <w:shd w:val="clear" w:color="auto" w:fill="auto"/>
            <w:vAlign w:val="center"/>
          </w:tcPr>
          <w:p w14:paraId="48761FC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新邹家</w:t>
            </w:r>
          </w:p>
        </w:tc>
        <w:tc>
          <w:tcPr>
            <w:tcW w:w="1241" w:type="pct"/>
            <w:tcBorders>
              <w:tl2br w:val="nil"/>
              <w:tr2bl w:val="nil"/>
            </w:tcBorders>
            <w:shd w:val="clear" w:color="auto" w:fill="auto"/>
            <w:vAlign w:val="center"/>
          </w:tcPr>
          <w:p w14:paraId="5EEDC7C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113.136196,29.12195</w:t>
            </w:r>
          </w:p>
        </w:tc>
        <w:tc>
          <w:tcPr>
            <w:tcW w:w="810" w:type="pct"/>
            <w:tcBorders>
              <w:tl2br w:val="nil"/>
              <w:tr2bl w:val="nil"/>
            </w:tcBorders>
            <w:shd w:val="clear" w:color="auto" w:fill="auto"/>
            <w:vAlign w:val="center"/>
          </w:tcPr>
          <w:p w14:paraId="76807DC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40 户</w:t>
            </w:r>
          </w:p>
        </w:tc>
        <w:tc>
          <w:tcPr>
            <w:tcW w:w="907" w:type="pct"/>
            <w:tcBorders>
              <w:tl2br w:val="nil"/>
              <w:tr2bl w:val="nil"/>
            </w:tcBorders>
            <w:shd w:val="clear" w:color="auto" w:fill="auto"/>
            <w:vAlign w:val="center"/>
          </w:tcPr>
          <w:p w14:paraId="69E1AA3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W,400-430</w:t>
            </w:r>
          </w:p>
        </w:tc>
        <w:tc>
          <w:tcPr>
            <w:tcW w:w="837" w:type="pct"/>
            <w:vMerge w:val="continue"/>
            <w:tcBorders>
              <w:tl2br w:val="nil"/>
              <w:tr2bl w:val="nil"/>
            </w:tcBorders>
            <w:shd w:val="clear" w:color="auto" w:fill="auto"/>
            <w:vAlign w:val="center"/>
          </w:tcPr>
          <w:p w14:paraId="75482D9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343FF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65E4608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3A38B0D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695" w:type="pct"/>
            <w:tcBorders>
              <w:tl2br w:val="nil"/>
              <w:tr2bl w:val="nil"/>
            </w:tcBorders>
            <w:shd w:val="clear" w:color="auto" w:fill="auto"/>
            <w:vAlign w:val="center"/>
          </w:tcPr>
          <w:p w14:paraId="224E0B2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兰塘村</w:t>
            </w:r>
          </w:p>
        </w:tc>
        <w:tc>
          <w:tcPr>
            <w:tcW w:w="1241" w:type="pct"/>
            <w:tcBorders>
              <w:tl2br w:val="nil"/>
              <w:tr2bl w:val="nil"/>
            </w:tcBorders>
            <w:shd w:val="clear" w:color="auto" w:fill="auto"/>
            <w:vAlign w:val="center"/>
          </w:tcPr>
          <w:p w14:paraId="69C6951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113.149500,29.12416</w:t>
            </w:r>
          </w:p>
        </w:tc>
        <w:tc>
          <w:tcPr>
            <w:tcW w:w="810" w:type="pct"/>
            <w:tcBorders>
              <w:tl2br w:val="nil"/>
              <w:tr2bl w:val="nil"/>
            </w:tcBorders>
            <w:shd w:val="clear" w:color="auto" w:fill="auto"/>
            <w:vAlign w:val="center"/>
          </w:tcPr>
          <w:p w14:paraId="59A56B1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100户</w:t>
            </w:r>
          </w:p>
        </w:tc>
        <w:tc>
          <w:tcPr>
            <w:tcW w:w="907" w:type="pct"/>
            <w:tcBorders>
              <w:tl2br w:val="nil"/>
              <w:tr2bl w:val="nil"/>
            </w:tcBorders>
            <w:shd w:val="clear" w:color="auto" w:fill="auto"/>
            <w:vAlign w:val="center"/>
          </w:tcPr>
          <w:p w14:paraId="76795B2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E，780-1200</w:t>
            </w:r>
          </w:p>
        </w:tc>
        <w:tc>
          <w:tcPr>
            <w:tcW w:w="837" w:type="pct"/>
            <w:vMerge w:val="continue"/>
            <w:tcBorders>
              <w:tl2br w:val="nil"/>
              <w:tr2bl w:val="nil"/>
            </w:tcBorders>
            <w:shd w:val="clear" w:color="auto" w:fill="auto"/>
            <w:vAlign w:val="center"/>
          </w:tcPr>
          <w:p w14:paraId="2A115EE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165B8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0CCE744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1CD0009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695" w:type="pct"/>
            <w:tcBorders>
              <w:tl2br w:val="nil"/>
              <w:tr2bl w:val="nil"/>
            </w:tcBorders>
            <w:shd w:val="clear" w:color="auto" w:fill="auto"/>
            <w:vAlign w:val="center"/>
          </w:tcPr>
          <w:p w14:paraId="231744D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惠民小区</w:t>
            </w:r>
          </w:p>
        </w:tc>
        <w:tc>
          <w:tcPr>
            <w:tcW w:w="1241" w:type="pct"/>
            <w:tcBorders>
              <w:tl2br w:val="nil"/>
              <w:tr2bl w:val="nil"/>
            </w:tcBorders>
            <w:shd w:val="clear" w:color="auto" w:fill="auto"/>
            <w:vAlign w:val="center"/>
          </w:tcPr>
          <w:p w14:paraId="31EFD0E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113.151747,29.12248</w:t>
            </w:r>
          </w:p>
        </w:tc>
        <w:tc>
          <w:tcPr>
            <w:tcW w:w="810" w:type="pct"/>
            <w:tcBorders>
              <w:tl2br w:val="nil"/>
              <w:tr2bl w:val="nil"/>
            </w:tcBorders>
            <w:shd w:val="clear" w:color="auto" w:fill="auto"/>
            <w:vAlign w:val="center"/>
          </w:tcPr>
          <w:p w14:paraId="56C44ED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260 户</w:t>
            </w:r>
          </w:p>
        </w:tc>
        <w:tc>
          <w:tcPr>
            <w:tcW w:w="907" w:type="pct"/>
            <w:tcBorders>
              <w:tl2br w:val="nil"/>
              <w:tr2bl w:val="nil"/>
            </w:tcBorders>
            <w:shd w:val="clear" w:color="auto" w:fill="auto"/>
            <w:vAlign w:val="center"/>
          </w:tcPr>
          <w:p w14:paraId="7E81318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E，900-1000</w:t>
            </w:r>
          </w:p>
        </w:tc>
        <w:tc>
          <w:tcPr>
            <w:tcW w:w="837" w:type="pct"/>
            <w:vMerge w:val="continue"/>
            <w:tcBorders>
              <w:tl2br w:val="nil"/>
              <w:tr2bl w:val="nil"/>
            </w:tcBorders>
            <w:shd w:val="clear" w:color="auto" w:fill="auto"/>
            <w:vAlign w:val="center"/>
          </w:tcPr>
          <w:p w14:paraId="0D2788D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56A87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4321A1D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5EDE144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695" w:type="pct"/>
            <w:tcBorders>
              <w:tl2br w:val="nil"/>
              <w:tr2bl w:val="nil"/>
            </w:tcBorders>
            <w:shd w:val="clear" w:color="auto" w:fill="auto"/>
            <w:vAlign w:val="center"/>
          </w:tcPr>
          <w:p w14:paraId="73EF77A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东方村</w:t>
            </w:r>
          </w:p>
        </w:tc>
        <w:tc>
          <w:tcPr>
            <w:tcW w:w="1241" w:type="pct"/>
            <w:tcBorders>
              <w:tl2br w:val="nil"/>
              <w:tr2bl w:val="nil"/>
            </w:tcBorders>
            <w:shd w:val="clear" w:color="auto" w:fill="auto"/>
            <w:vAlign w:val="center"/>
          </w:tcPr>
          <w:p w14:paraId="73A43C1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113.128831,29.13874</w:t>
            </w:r>
          </w:p>
        </w:tc>
        <w:tc>
          <w:tcPr>
            <w:tcW w:w="810" w:type="pct"/>
            <w:tcBorders>
              <w:tl2br w:val="nil"/>
              <w:tr2bl w:val="nil"/>
            </w:tcBorders>
            <w:shd w:val="clear" w:color="auto" w:fill="auto"/>
            <w:vAlign w:val="center"/>
          </w:tcPr>
          <w:p w14:paraId="0F403F2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居住区，约100  户</w:t>
            </w:r>
          </w:p>
        </w:tc>
        <w:tc>
          <w:tcPr>
            <w:tcW w:w="907" w:type="pct"/>
            <w:tcBorders>
              <w:tl2br w:val="nil"/>
              <w:tr2bl w:val="nil"/>
            </w:tcBorders>
            <w:shd w:val="clear" w:color="auto" w:fill="auto"/>
            <w:vAlign w:val="center"/>
          </w:tcPr>
          <w:p w14:paraId="753746F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NW,2100-2400</w:t>
            </w:r>
          </w:p>
        </w:tc>
        <w:tc>
          <w:tcPr>
            <w:tcW w:w="837" w:type="pct"/>
            <w:vMerge w:val="continue"/>
            <w:tcBorders>
              <w:tl2br w:val="nil"/>
              <w:tr2bl w:val="nil"/>
            </w:tcBorders>
            <w:shd w:val="clear" w:color="auto" w:fill="auto"/>
            <w:vAlign w:val="center"/>
          </w:tcPr>
          <w:p w14:paraId="4A834A3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0BD8C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0C6478F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2C3973A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17</w:t>
            </w:r>
          </w:p>
        </w:tc>
        <w:tc>
          <w:tcPr>
            <w:tcW w:w="695" w:type="pct"/>
            <w:tcBorders>
              <w:tl2br w:val="nil"/>
              <w:tr2bl w:val="nil"/>
            </w:tcBorders>
            <w:shd w:val="clear" w:color="auto" w:fill="auto"/>
            <w:noWrap/>
            <w:vAlign w:val="center"/>
          </w:tcPr>
          <w:p w14:paraId="5E1D440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毛家里</w:t>
            </w:r>
          </w:p>
        </w:tc>
        <w:tc>
          <w:tcPr>
            <w:tcW w:w="1241" w:type="pct"/>
            <w:tcBorders>
              <w:tl2br w:val="nil"/>
              <w:tr2bl w:val="nil"/>
            </w:tcBorders>
            <w:shd w:val="clear" w:color="auto" w:fill="auto"/>
            <w:noWrap/>
            <w:vAlign w:val="center"/>
          </w:tcPr>
          <w:p w14:paraId="14CABC7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113.144979 ,29.13786</w:t>
            </w:r>
          </w:p>
        </w:tc>
        <w:tc>
          <w:tcPr>
            <w:tcW w:w="810" w:type="pct"/>
            <w:tcBorders>
              <w:tl2br w:val="nil"/>
              <w:tr2bl w:val="nil"/>
            </w:tcBorders>
            <w:shd w:val="clear" w:color="auto" w:fill="auto"/>
            <w:noWrap/>
            <w:vAlign w:val="center"/>
          </w:tcPr>
          <w:p w14:paraId="564E64C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100 户</w:t>
            </w:r>
          </w:p>
        </w:tc>
        <w:tc>
          <w:tcPr>
            <w:tcW w:w="907" w:type="pct"/>
            <w:tcBorders>
              <w:tl2br w:val="nil"/>
              <w:tr2bl w:val="nil"/>
            </w:tcBorders>
            <w:shd w:val="clear" w:color="auto" w:fill="auto"/>
            <w:vAlign w:val="center"/>
          </w:tcPr>
          <w:p w14:paraId="399FF39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NE,1900-2000</w:t>
            </w:r>
          </w:p>
        </w:tc>
        <w:tc>
          <w:tcPr>
            <w:tcW w:w="837" w:type="pct"/>
            <w:vMerge w:val="continue"/>
            <w:tcBorders>
              <w:tl2br w:val="nil"/>
              <w:tr2bl w:val="nil"/>
            </w:tcBorders>
            <w:shd w:val="clear" w:color="auto" w:fill="auto"/>
            <w:vAlign w:val="center"/>
          </w:tcPr>
          <w:p w14:paraId="4C627B4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18563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0D2182D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5601965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18</w:t>
            </w:r>
          </w:p>
        </w:tc>
        <w:tc>
          <w:tcPr>
            <w:tcW w:w="695" w:type="pct"/>
            <w:tcBorders>
              <w:tl2br w:val="nil"/>
              <w:tr2bl w:val="nil"/>
            </w:tcBorders>
            <w:shd w:val="clear" w:color="auto" w:fill="auto"/>
            <w:noWrap/>
            <w:vAlign w:val="center"/>
          </w:tcPr>
          <w:p w14:paraId="4AC0BCB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程家庄</w:t>
            </w:r>
          </w:p>
        </w:tc>
        <w:tc>
          <w:tcPr>
            <w:tcW w:w="1241" w:type="pct"/>
            <w:tcBorders>
              <w:tl2br w:val="nil"/>
              <w:tr2bl w:val="nil"/>
            </w:tcBorders>
            <w:shd w:val="clear" w:color="auto" w:fill="auto"/>
            <w:noWrap/>
            <w:vAlign w:val="center"/>
          </w:tcPr>
          <w:p w14:paraId="30E1BD0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113.155622, 29.13717</w:t>
            </w:r>
          </w:p>
        </w:tc>
        <w:tc>
          <w:tcPr>
            <w:tcW w:w="810" w:type="pct"/>
            <w:tcBorders>
              <w:tl2br w:val="nil"/>
              <w:tr2bl w:val="nil"/>
            </w:tcBorders>
            <w:shd w:val="clear" w:color="auto" w:fill="auto"/>
            <w:noWrap/>
            <w:vAlign w:val="center"/>
          </w:tcPr>
          <w:p w14:paraId="08DC541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80 户</w:t>
            </w:r>
          </w:p>
        </w:tc>
        <w:tc>
          <w:tcPr>
            <w:tcW w:w="907" w:type="pct"/>
            <w:tcBorders>
              <w:tl2br w:val="nil"/>
              <w:tr2bl w:val="nil"/>
            </w:tcBorders>
            <w:shd w:val="clear" w:color="auto" w:fill="auto"/>
            <w:vAlign w:val="center"/>
          </w:tcPr>
          <w:p w14:paraId="23562B0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NE,2100-2300</w:t>
            </w:r>
          </w:p>
        </w:tc>
        <w:tc>
          <w:tcPr>
            <w:tcW w:w="837" w:type="pct"/>
            <w:vMerge w:val="continue"/>
            <w:tcBorders>
              <w:tl2br w:val="nil"/>
              <w:tr2bl w:val="nil"/>
            </w:tcBorders>
            <w:shd w:val="clear" w:color="auto" w:fill="auto"/>
            <w:vAlign w:val="center"/>
          </w:tcPr>
          <w:p w14:paraId="38D6C4C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2CD8C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9" w:hRule="atLeast"/>
        </w:trPr>
        <w:tc>
          <w:tcPr>
            <w:tcW w:w="198" w:type="pct"/>
            <w:vMerge w:val="continue"/>
            <w:tcBorders>
              <w:tl2br w:val="nil"/>
              <w:tr2bl w:val="nil"/>
            </w:tcBorders>
            <w:shd w:val="clear" w:color="auto" w:fill="auto"/>
            <w:noWrap/>
            <w:vAlign w:val="center"/>
          </w:tcPr>
          <w:p w14:paraId="66ED236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321085B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19</w:t>
            </w:r>
          </w:p>
        </w:tc>
        <w:tc>
          <w:tcPr>
            <w:tcW w:w="695" w:type="pct"/>
            <w:tcBorders>
              <w:tl2br w:val="nil"/>
              <w:tr2bl w:val="nil"/>
            </w:tcBorders>
            <w:shd w:val="clear" w:color="auto" w:fill="auto"/>
            <w:noWrap/>
            <w:vAlign w:val="center"/>
          </w:tcPr>
          <w:p w14:paraId="5BC33AF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桥东村</w:t>
            </w:r>
          </w:p>
        </w:tc>
        <w:tc>
          <w:tcPr>
            <w:tcW w:w="1241" w:type="pct"/>
            <w:tcBorders>
              <w:tl2br w:val="nil"/>
              <w:tr2bl w:val="nil"/>
            </w:tcBorders>
            <w:shd w:val="clear" w:color="auto" w:fill="auto"/>
            <w:noWrap/>
            <w:vAlign w:val="center"/>
          </w:tcPr>
          <w:p w14:paraId="030F01F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113.123350 ,29.13090</w:t>
            </w:r>
          </w:p>
        </w:tc>
        <w:tc>
          <w:tcPr>
            <w:tcW w:w="810" w:type="pct"/>
            <w:tcBorders>
              <w:tl2br w:val="nil"/>
              <w:tr2bl w:val="nil"/>
            </w:tcBorders>
            <w:shd w:val="clear" w:color="auto" w:fill="auto"/>
            <w:noWrap/>
            <w:vAlign w:val="center"/>
          </w:tcPr>
          <w:p w14:paraId="382ED78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130 </w:t>
            </w:r>
            <w:r>
              <w:rPr>
                <w:rFonts w:hint="default" w:ascii="Times New Roman" w:hAnsi="Times New Roman" w:eastAsia="宋体" w:cs="Times New Roman"/>
                <w:i w:val="0"/>
                <w:iCs w:val="0"/>
                <w:color w:val="000000"/>
                <w:kern w:val="0"/>
                <w:sz w:val="21"/>
                <w:szCs w:val="21"/>
                <w:highlight w:val="none"/>
                <w:u w:val="none"/>
                <w:lang w:val="en-US" w:eastAsia="zh-CN" w:bidi="ar"/>
              </w:rPr>
              <w:t>户</w:t>
            </w:r>
          </w:p>
        </w:tc>
        <w:tc>
          <w:tcPr>
            <w:tcW w:w="907" w:type="pct"/>
            <w:tcBorders>
              <w:tl2br w:val="nil"/>
              <w:tr2bl w:val="nil"/>
            </w:tcBorders>
            <w:shd w:val="clear" w:color="auto" w:fill="auto"/>
            <w:vAlign w:val="center"/>
          </w:tcPr>
          <w:p w14:paraId="3987956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SW,1500-1700</w:t>
            </w:r>
          </w:p>
        </w:tc>
        <w:tc>
          <w:tcPr>
            <w:tcW w:w="837" w:type="pct"/>
            <w:vMerge w:val="continue"/>
            <w:tcBorders>
              <w:tl2br w:val="nil"/>
              <w:tr2bl w:val="nil"/>
            </w:tcBorders>
            <w:shd w:val="clear" w:color="auto" w:fill="auto"/>
            <w:vAlign w:val="center"/>
          </w:tcPr>
          <w:p w14:paraId="133372B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21875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6D5AEBF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01033A6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695" w:type="pct"/>
            <w:tcBorders>
              <w:tl2br w:val="nil"/>
              <w:tr2bl w:val="nil"/>
            </w:tcBorders>
            <w:shd w:val="clear" w:color="auto" w:fill="auto"/>
            <w:noWrap/>
            <w:vAlign w:val="center"/>
          </w:tcPr>
          <w:p w14:paraId="3BCAB8E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背底冲</w:t>
            </w:r>
          </w:p>
        </w:tc>
        <w:tc>
          <w:tcPr>
            <w:tcW w:w="1241" w:type="pct"/>
            <w:tcBorders>
              <w:tl2br w:val="nil"/>
              <w:tr2bl w:val="nil"/>
            </w:tcBorders>
            <w:shd w:val="clear" w:color="auto" w:fill="auto"/>
            <w:noWrap/>
            <w:vAlign w:val="center"/>
          </w:tcPr>
          <w:p w14:paraId="78322BC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113.120088, 29.11314</w:t>
            </w:r>
          </w:p>
        </w:tc>
        <w:tc>
          <w:tcPr>
            <w:tcW w:w="810" w:type="pct"/>
            <w:tcBorders>
              <w:tl2br w:val="nil"/>
              <w:tr2bl w:val="nil"/>
            </w:tcBorders>
            <w:shd w:val="clear" w:color="auto" w:fill="auto"/>
            <w:noWrap/>
            <w:vAlign w:val="center"/>
          </w:tcPr>
          <w:p w14:paraId="7C3CD71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5 </w:t>
            </w:r>
            <w:r>
              <w:rPr>
                <w:rFonts w:hint="default" w:ascii="Times New Roman" w:hAnsi="Times New Roman" w:eastAsia="宋体" w:cs="Times New Roman"/>
                <w:i w:val="0"/>
                <w:iCs w:val="0"/>
                <w:color w:val="000000"/>
                <w:kern w:val="0"/>
                <w:sz w:val="21"/>
                <w:szCs w:val="21"/>
                <w:highlight w:val="none"/>
                <w:u w:val="none"/>
                <w:lang w:val="en-US" w:eastAsia="zh-CN" w:bidi="ar"/>
              </w:rPr>
              <w:t>户</w:t>
            </w:r>
          </w:p>
        </w:tc>
        <w:tc>
          <w:tcPr>
            <w:tcW w:w="907" w:type="pct"/>
            <w:tcBorders>
              <w:tl2br w:val="nil"/>
              <w:tr2bl w:val="nil"/>
            </w:tcBorders>
            <w:shd w:val="clear" w:color="auto" w:fill="auto"/>
            <w:vAlign w:val="center"/>
          </w:tcPr>
          <w:p w14:paraId="7BEA4B0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SW,2200-2500</w:t>
            </w:r>
          </w:p>
        </w:tc>
        <w:tc>
          <w:tcPr>
            <w:tcW w:w="837" w:type="pct"/>
            <w:vMerge w:val="continue"/>
            <w:tcBorders>
              <w:tl2br w:val="nil"/>
              <w:tr2bl w:val="nil"/>
            </w:tcBorders>
            <w:shd w:val="clear" w:color="auto" w:fill="auto"/>
            <w:vAlign w:val="center"/>
          </w:tcPr>
          <w:p w14:paraId="4BF33CF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1D359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73F2D7B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223AC39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w:t>
            </w:r>
          </w:p>
        </w:tc>
        <w:tc>
          <w:tcPr>
            <w:tcW w:w="695" w:type="pct"/>
            <w:tcBorders>
              <w:tl2br w:val="nil"/>
              <w:tr2bl w:val="nil"/>
            </w:tcBorders>
            <w:shd w:val="clear" w:color="auto" w:fill="auto"/>
            <w:noWrap/>
            <w:vAlign w:val="center"/>
          </w:tcPr>
          <w:p w14:paraId="1F57AAB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庙家坡</w:t>
            </w:r>
          </w:p>
        </w:tc>
        <w:tc>
          <w:tcPr>
            <w:tcW w:w="1241" w:type="pct"/>
            <w:tcBorders>
              <w:tl2br w:val="nil"/>
              <w:tr2bl w:val="nil"/>
            </w:tcBorders>
            <w:shd w:val="clear" w:color="auto" w:fill="auto"/>
            <w:noWrap/>
            <w:vAlign w:val="center"/>
          </w:tcPr>
          <w:p w14:paraId="394ECF9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113.129530, 29.10610</w:t>
            </w:r>
          </w:p>
        </w:tc>
        <w:tc>
          <w:tcPr>
            <w:tcW w:w="810" w:type="pct"/>
            <w:tcBorders>
              <w:tl2br w:val="nil"/>
              <w:tr2bl w:val="nil"/>
            </w:tcBorders>
            <w:shd w:val="clear" w:color="auto" w:fill="auto"/>
            <w:noWrap/>
            <w:vAlign w:val="center"/>
          </w:tcPr>
          <w:p w14:paraId="30F79F6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200 户</w:t>
            </w:r>
          </w:p>
        </w:tc>
        <w:tc>
          <w:tcPr>
            <w:tcW w:w="907" w:type="pct"/>
            <w:tcBorders>
              <w:tl2br w:val="nil"/>
              <w:tr2bl w:val="nil"/>
            </w:tcBorders>
            <w:shd w:val="clear" w:color="auto" w:fill="auto"/>
            <w:vAlign w:val="center"/>
          </w:tcPr>
          <w:p w14:paraId="3AA358F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SW,1500-200</w:t>
            </w:r>
          </w:p>
        </w:tc>
        <w:tc>
          <w:tcPr>
            <w:tcW w:w="837" w:type="pct"/>
            <w:vMerge w:val="continue"/>
            <w:tcBorders>
              <w:tl2br w:val="nil"/>
              <w:tr2bl w:val="nil"/>
            </w:tcBorders>
            <w:shd w:val="clear" w:color="auto" w:fill="auto"/>
            <w:vAlign w:val="center"/>
          </w:tcPr>
          <w:p w14:paraId="336F003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46E0D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2EED9E8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290B464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22</w:t>
            </w:r>
          </w:p>
        </w:tc>
        <w:tc>
          <w:tcPr>
            <w:tcW w:w="695" w:type="pct"/>
            <w:tcBorders>
              <w:tl2br w:val="nil"/>
              <w:tr2bl w:val="nil"/>
            </w:tcBorders>
            <w:shd w:val="clear" w:color="auto" w:fill="auto"/>
            <w:noWrap/>
            <w:vAlign w:val="center"/>
          </w:tcPr>
          <w:p w14:paraId="6E95E9D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水明冲</w:t>
            </w:r>
          </w:p>
        </w:tc>
        <w:tc>
          <w:tcPr>
            <w:tcW w:w="1241" w:type="pct"/>
            <w:tcBorders>
              <w:tl2br w:val="nil"/>
              <w:tr2bl w:val="nil"/>
            </w:tcBorders>
            <w:shd w:val="clear" w:color="auto" w:fill="auto"/>
            <w:noWrap/>
            <w:vAlign w:val="center"/>
          </w:tcPr>
          <w:p w14:paraId="3D142CE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113.141889</w:t>
            </w: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29.11073</w:t>
            </w:r>
          </w:p>
        </w:tc>
        <w:tc>
          <w:tcPr>
            <w:tcW w:w="810" w:type="pct"/>
            <w:tcBorders>
              <w:tl2br w:val="nil"/>
              <w:tr2bl w:val="nil"/>
            </w:tcBorders>
            <w:shd w:val="clear" w:color="auto" w:fill="auto"/>
            <w:noWrap/>
            <w:vAlign w:val="center"/>
          </w:tcPr>
          <w:p w14:paraId="3CC55C3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5</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户</w:t>
            </w:r>
          </w:p>
        </w:tc>
        <w:tc>
          <w:tcPr>
            <w:tcW w:w="907" w:type="pct"/>
            <w:tcBorders>
              <w:tl2br w:val="nil"/>
              <w:tr2bl w:val="nil"/>
            </w:tcBorders>
            <w:shd w:val="clear" w:color="auto" w:fill="auto"/>
            <w:vAlign w:val="center"/>
          </w:tcPr>
          <w:p w14:paraId="535C7AA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S,1300-1600</w:t>
            </w:r>
          </w:p>
        </w:tc>
        <w:tc>
          <w:tcPr>
            <w:tcW w:w="837" w:type="pct"/>
            <w:vMerge w:val="continue"/>
            <w:tcBorders>
              <w:tl2br w:val="nil"/>
              <w:tr2bl w:val="nil"/>
            </w:tcBorders>
            <w:shd w:val="clear" w:color="auto" w:fill="auto"/>
            <w:vAlign w:val="center"/>
          </w:tcPr>
          <w:p w14:paraId="50A0E4E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6F959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3801C78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7298B54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23</w:t>
            </w:r>
          </w:p>
        </w:tc>
        <w:tc>
          <w:tcPr>
            <w:tcW w:w="695" w:type="pct"/>
            <w:tcBorders>
              <w:tl2br w:val="nil"/>
              <w:tr2bl w:val="nil"/>
            </w:tcBorders>
            <w:shd w:val="clear" w:color="auto" w:fill="auto"/>
            <w:noWrap/>
            <w:vAlign w:val="center"/>
          </w:tcPr>
          <w:p w14:paraId="7F472B0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王野鸡冲</w:t>
            </w:r>
          </w:p>
        </w:tc>
        <w:tc>
          <w:tcPr>
            <w:tcW w:w="1241" w:type="pct"/>
            <w:tcBorders>
              <w:tl2br w:val="nil"/>
              <w:tr2bl w:val="nil"/>
            </w:tcBorders>
            <w:shd w:val="clear" w:color="auto" w:fill="auto"/>
            <w:noWrap/>
            <w:vAlign w:val="center"/>
          </w:tcPr>
          <w:p w14:paraId="0A6E891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113.141889</w:t>
            </w: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 xml:space="preserve"> 29.10284</w:t>
            </w:r>
          </w:p>
        </w:tc>
        <w:tc>
          <w:tcPr>
            <w:tcW w:w="810" w:type="pct"/>
            <w:tcBorders>
              <w:tl2br w:val="nil"/>
              <w:tr2bl w:val="nil"/>
            </w:tcBorders>
            <w:shd w:val="clear" w:color="auto" w:fill="auto"/>
            <w:noWrap/>
            <w:vAlign w:val="center"/>
          </w:tcPr>
          <w:p w14:paraId="06AF3A0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w:t>
            </w:r>
            <w:r>
              <w:rPr>
                <w:rStyle w:val="52"/>
                <w:rFonts w:hint="default" w:ascii="Times New Roman" w:hAnsi="Times New Roman" w:eastAsia="宋体" w:cs="Times New Roman"/>
                <w:sz w:val="21"/>
                <w:szCs w:val="21"/>
                <w:highlight w:val="none"/>
                <w:lang w:val="en-US" w:eastAsia="zh-CN" w:bidi="ar"/>
              </w:rPr>
              <w:t xml:space="preserve"> </w:t>
            </w:r>
            <w:r>
              <w:rPr>
                <w:rFonts w:hint="default" w:ascii="Times New Roman" w:hAnsi="Times New Roman" w:eastAsia="宋体" w:cs="Times New Roman"/>
                <w:i w:val="0"/>
                <w:iCs w:val="0"/>
                <w:color w:val="000000"/>
                <w:kern w:val="0"/>
                <w:sz w:val="21"/>
                <w:szCs w:val="21"/>
                <w:highlight w:val="none"/>
                <w:u w:val="none"/>
                <w:lang w:val="en-US" w:eastAsia="zh-CN" w:bidi="ar"/>
              </w:rPr>
              <w:t>50 户</w:t>
            </w:r>
          </w:p>
        </w:tc>
        <w:tc>
          <w:tcPr>
            <w:tcW w:w="907" w:type="pct"/>
            <w:tcBorders>
              <w:tl2br w:val="nil"/>
              <w:tr2bl w:val="nil"/>
            </w:tcBorders>
            <w:shd w:val="clear" w:color="auto" w:fill="auto"/>
            <w:vAlign w:val="center"/>
          </w:tcPr>
          <w:p w14:paraId="38A3869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S,1200-1500</w:t>
            </w:r>
          </w:p>
        </w:tc>
        <w:tc>
          <w:tcPr>
            <w:tcW w:w="837" w:type="pct"/>
            <w:vMerge w:val="continue"/>
            <w:tcBorders>
              <w:tl2br w:val="nil"/>
              <w:tr2bl w:val="nil"/>
            </w:tcBorders>
            <w:shd w:val="clear" w:color="auto" w:fill="auto"/>
            <w:vAlign w:val="center"/>
          </w:tcPr>
          <w:p w14:paraId="64D75F1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1DC51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5BBE7A6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3AD61E5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24</w:t>
            </w:r>
          </w:p>
        </w:tc>
        <w:tc>
          <w:tcPr>
            <w:tcW w:w="695" w:type="pct"/>
            <w:tcBorders>
              <w:tl2br w:val="nil"/>
              <w:tr2bl w:val="nil"/>
            </w:tcBorders>
            <w:shd w:val="clear" w:color="auto" w:fill="auto"/>
            <w:vAlign w:val="center"/>
          </w:tcPr>
          <w:p w14:paraId="14AE7E2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何下屋</w:t>
            </w:r>
          </w:p>
        </w:tc>
        <w:tc>
          <w:tcPr>
            <w:tcW w:w="1241" w:type="pct"/>
            <w:tcBorders>
              <w:tl2br w:val="nil"/>
              <w:tr2bl w:val="nil"/>
            </w:tcBorders>
            <w:shd w:val="clear" w:color="auto" w:fill="auto"/>
            <w:vAlign w:val="center"/>
          </w:tcPr>
          <w:p w14:paraId="2848594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113.157212,29.10932</w:t>
            </w:r>
          </w:p>
        </w:tc>
        <w:tc>
          <w:tcPr>
            <w:tcW w:w="810" w:type="pct"/>
            <w:tcBorders>
              <w:tl2br w:val="nil"/>
              <w:tr2bl w:val="nil"/>
            </w:tcBorders>
            <w:shd w:val="clear" w:color="auto" w:fill="auto"/>
            <w:vAlign w:val="center"/>
          </w:tcPr>
          <w:p w14:paraId="5AE5AB4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居住区，约30 户</w:t>
            </w:r>
          </w:p>
        </w:tc>
        <w:tc>
          <w:tcPr>
            <w:tcW w:w="907" w:type="pct"/>
            <w:tcBorders>
              <w:tl2br w:val="nil"/>
              <w:tr2bl w:val="nil"/>
            </w:tcBorders>
            <w:shd w:val="clear" w:color="auto" w:fill="auto"/>
            <w:vAlign w:val="center"/>
          </w:tcPr>
          <w:p w14:paraId="4A3BE65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SE,1900-2100</w:t>
            </w:r>
          </w:p>
        </w:tc>
        <w:tc>
          <w:tcPr>
            <w:tcW w:w="837" w:type="pct"/>
            <w:vMerge w:val="continue"/>
            <w:tcBorders>
              <w:tl2br w:val="nil"/>
              <w:tr2bl w:val="nil"/>
            </w:tcBorders>
            <w:shd w:val="clear" w:color="auto" w:fill="auto"/>
            <w:vAlign w:val="center"/>
          </w:tcPr>
          <w:p w14:paraId="4EC8212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497AC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279CC4D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13009CA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25</w:t>
            </w:r>
          </w:p>
        </w:tc>
        <w:tc>
          <w:tcPr>
            <w:tcW w:w="695" w:type="pct"/>
            <w:tcBorders>
              <w:tl2br w:val="nil"/>
              <w:tr2bl w:val="nil"/>
            </w:tcBorders>
            <w:shd w:val="clear" w:color="auto" w:fill="auto"/>
            <w:noWrap/>
            <w:vAlign w:val="center"/>
          </w:tcPr>
          <w:p w14:paraId="42A24B9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老侯家组</w:t>
            </w:r>
          </w:p>
        </w:tc>
        <w:tc>
          <w:tcPr>
            <w:tcW w:w="1241" w:type="pct"/>
            <w:tcBorders>
              <w:tl2br w:val="nil"/>
              <w:tr2bl w:val="nil"/>
            </w:tcBorders>
            <w:shd w:val="clear" w:color="auto" w:fill="auto"/>
            <w:vAlign w:val="center"/>
          </w:tcPr>
          <w:p w14:paraId="48D32D3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113.162321,29.11132</w:t>
            </w:r>
          </w:p>
        </w:tc>
        <w:tc>
          <w:tcPr>
            <w:tcW w:w="810" w:type="pct"/>
            <w:tcBorders>
              <w:tl2br w:val="nil"/>
              <w:tr2bl w:val="nil"/>
            </w:tcBorders>
            <w:shd w:val="clear" w:color="auto" w:fill="auto"/>
            <w:vAlign w:val="center"/>
          </w:tcPr>
          <w:p w14:paraId="3C273D9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居住区，约50 户</w:t>
            </w:r>
          </w:p>
        </w:tc>
        <w:tc>
          <w:tcPr>
            <w:tcW w:w="907" w:type="pct"/>
            <w:tcBorders>
              <w:tl2br w:val="nil"/>
              <w:tr2bl w:val="nil"/>
            </w:tcBorders>
            <w:shd w:val="clear" w:color="auto" w:fill="auto"/>
            <w:vAlign w:val="center"/>
          </w:tcPr>
          <w:p w14:paraId="7D640A7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SE,2200-2500</w:t>
            </w:r>
          </w:p>
        </w:tc>
        <w:tc>
          <w:tcPr>
            <w:tcW w:w="837" w:type="pct"/>
            <w:vMerge w:val="continue"/>
            <w:tcBorders>
              <w:tl2br w:val="nil"/>
              <w:tr2bl w:val="nil"/>
            </w:tcBorders>
            <w:shd w:val="clear" w:color="auto" w:fill="auto"/>
            <w:vAlign w:val="center"/>
          </w:tcPr>
          <w:p w14:paraId="0BD1024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75170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56D52E6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5A6D1EF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26</w:t>
            </w:r>
          </w:p>
        </w:tc>
        <w:tc>
          <w:tcPr>
            <w:tcW w:w="695" w:type="pct"/>
            <w:tcBorders>
              <w:tl2br w:val="nil"/>
              <w:tr2bl w:val="nil"/>
            </w:tcBorders>
            <w:shd w:val="clear" w:color="auto" w:fill="auto"/>
            <w:vAlign w:val="center"/>
          </w:tcPr>
          <w:p w14:paraId="0F460A3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屈家屋</w:t>
            </w:r>
          </w:p>
        </w:tc>
        <w:tc>
          <w:tcPr>
            <w:tcW w:w="1241" w:type="pct"/>
            <w:tcBorders>
              <w:tl2br w:val="nil"/>
              <w:tr2bl w:val="nil"/>
            </w:tcBorders>
            <w:shd w:val="clear" w:color="auto" w:fill="auto"/>
            <w:vAlign w:val="center"/>
          </w:tcPr>
          <w:p w14:paraId="1DAE8923">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113.152230,29.10293</w:t>
            </w:r>
          </w:p>
        </w:tc>
        <w:tc>
          <w:tcPr>
            <w:tcW w:w="810" w:type="pct"/>
            <w:tcBorders>
              <w:tl2br w:val="nil"/>
              <w:tr2bl w:val="nil"/>
            </w:tcBorders>
            <w:shd w:val="clear" w:color="auto" w:fill="auto"/>
            <w:vAlign w:val="center"/>
          </w:tcPr>
          <w:p w14:paraId="4C73F9C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居住区，约30 户</w:t>
            </w:r>
          </w:p>
        </w:tc>
        <w:tc>
          <w:tcPr>
            <w:tcW w:w="907" w:type="pct"/>
            <w:tcBorders>
              <w:tl2br w:val="nil"/>
              <w:tr2bl w:val="nil"/>
            </w:tcBorders>
            <w:shd w:val="clear" w:color="auto" w:fill="auto"/>
            <w:vAlign w:val="center"/>
          </w:tcPr>
          <w:p w14:paraId="4023E1F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SE,1900-2400</w:t>
            </w:r>
          </w:p>
        </w:tc>
        <w:tc>
          <w:tcPr>
            <w:tcW w:w="837" w:type="pct"/>
            <w:vMerge w:val="continue"/>
            <w:tcBorders>
              <w:tl2br w:val="nil"/>
              <w:tr2bl w:val="nil"/>
            </w:tcBorders>
            <w:shd w:val="clear" w:color="auto" w:fill="auto"/>
            <w:vAlign w:val="center"/>
          </w:tcPr>
          <w:p w14:paraId="0A953F9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5E08B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3A1FA60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4FC1323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27</w:t>
            </w:r>
          </w:p>
        </w:tc>
        <w:tc>
          <w:tcPr>
            <w:tcW w:w="695" w:type="pct"/>
            <w:tcBorders>
              <w:tl2br w:val="nil"/>
              <w:tr2bl w:val="nil"/>
            </w:tcBorders>
            <w:shd w:val="clear" w:color="auto" w:fill="auto"/>
            <w:vAlign w:val="center"/>
          </w:tcPr>
          <w:p w14:paraId="4C83F96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童家里</w:t>
            </w:r>
          </w:p>
        </w:tc>
        <w:tc>
          <w:tcPr>
            <w:tcW w:w="1241" w:type="pct"/>
            <w:tcBorders>
              <w:tl2br w:val="nil"/>
              <w:tr2bl w:val="nil"/>
            </w:tcBorders>
            <w:shd w:val="clear" w:color="auto" w:fill="auto"/>
            <w:vAlign w:val="center"/>
          </w:tcPr>
          <w:p w14:paraId="7FFFD90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113.1361197,29.1308</w:t>
            </w:r>
          </w:p>
        </w:tc>
        <w:tc>
          <w:tcPr>
            <w:tcW w:w="810" w:type="pct"/>
            <w:tcBorders>
              <w:tl2br w:val="nil"/>
              <w:tr2bl w:val="nil"/>
            </w:tcBorders>
            <w:shd w:val="clear" w:color="auto" w:fill="auto"/>
            <w:vAlign w:val="center"/>
          </w:tcPr>
          <w:p w14:paraId="73966A90">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居住区，约37 户</w:t>
            </w:r>
          </w:p>
        </w:tc>
        <w:tc>
          <w:tcPr>
            <w:tcW w:w="907" w:type="pct"/>
            <w:tcBorders>
              <w:tl2br w:val="nil"/>
              <w:tr2bl w:val="nil"/>
            </w:tcBorders>
            <w:shd w:val="clear" w:color="auto" w:fill="auto"/>
            <w:vAlign w:val="center"/>
          </w:tcPr>
          <w:p w14:paraId="2E3553B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N,920-1000</w:t>
            </w:r>
          </w:p>
        </w:tc>
        <w:tc>
          <w:tcPr>
            <w:tcW w:w="837" w:type="pct"/>
            <w:vMerge w:val="continue"/>
            <w:tcBorders>
              <w:tl2br w:val="nil"/>
              <w:tr2bl w:val="nil"/>
            </w:tcBorders>
            <w:shd w:val="clear" w:color="auto" w:fill="auto"/>
            <w:vAlign w:val="center"/>
          </w:tcPr>
          <w:p w14:paraId="3A65A96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1095E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98" w:type="pct"/>
            <w:vMerge w:val="continue"/>
            <w:tcBorders>
              <w:tl2br w:val="nil"/>
              <w:tr2bl w:val="nil"/>
            </w:tcBorders>
            <w:shd w:val="clear" w:color="auto" w:fill="auto"/>
            <w:noWrap/>
            <w:vAlign w:val="center"/>
          </w:tcPr>
          <w:p w14:paraId="38107C8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411A16B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28</w:t>
            </w:r>
          </w:p>
        </w:tc>
        <w:tc>
          <w:tcPr>
            <w:tcW w:w="695" w:type="pct"/>
            <w:tcBorders>
              <w:tl2br w:val="nil"/>
              <w:tr2bl w:val="nil"/>
            </w:tcBorders>
            <w:shd w:val="clear" w:color="auto" w:fill="auto"/>
            <w:vAlign w:val="center"/>
          </w:tcPr>
          <w:p w14:paraId="2EA8305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荣晏</w:t>
            </w:r>
          </w:p>
        </w:tc>
        <w:tc>
          <w:tcPr>
            <w:tcW w:w="1241" w:type="pct"/>
            <w:tcBorders>
              <w:tl2br w:val="nil"/>
              <w:tr2bl w:val="nil"/>
            </w:tcBorders>
            <w:shd w:val="clear" w:color="auto" w:fill="auto"/>
            <w:vAlign w:val="center"/>
          </w:tcPr>
          <w:p w14:paraId="6E5FD34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113.122592,29.12485</w:t>
            </w:r>
          </w:p>
        </w:tc>
        <w:tc>
          <w:tcPr>
            <w:tcW w:w="810" w:type="pct"/>
            <w:tcBorders>
              <w:tl2br w:val="nil"/>
              <w:tr2bl w:val="nil"/>
            </w:tcBorders>
            <w:shd w:val="clear" w:color="auto" w:fill="auto"/>
            <w:vAlign w:val="center"/>
          </w:tcPr>
          <w:p w14:paraId="34BC5CD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居住区，约110 户</w:t>
            </w:r>
          </w:p>
        </w:tc>
        <w:tc>
          <w:tcPr>
            <w:tcW w:w="907" w:type="pct"/>
            <w:tcBorders>
              <w:tl2br w:val="nil"/>
              <w:tr2bl w:val="nil"/>
            </w:tcBorders>
            <w:shd w:val="clear" w:color="auto" w:fill="auto"/>
            <w:vAlign w:val="center"/>
          </w:tcPr>
          <w:p w14:paraId="3C0A8B6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NW,1800-2000</w:t>
            </w:r>
          </w:p>
        </w:tc>
        <w:tc>
          <w:tcPr>
            <w:tcW w:w="837" w:type="pct"/>
            <w:vMerge w:val="continue"/>
            <w:tcBorders>
              <w:tl2br w:val="nil"/>
              <w:tr2bl w:val="nil"/>
            </w:tcBorders>
            <w:shd w:val="clear" w:color="auto" w:fill="auto"/>
            <w:vAlign w:val="center"/>
          </w:tcPr>
          <w:p w14:paraId="7662E0C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750C4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198" w:type="pct"/>
            <w:vMerge w:val="restart"/>
            <w:tcBorders>
              <w:tl2br w:val="nil"/>
              <w:tr2bl w:val="nil"/>
            </w:tcBorders>
            <w:shd w:val="clear" w:color="auto" w:fill="auto"/>
            <w:noWrap/>
            <w:vAlign w:val="center"/>
          </w:tcPr>
          <w:p w14:paraId="63A6D046">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声环境</w:t>
            </w:r>
          </w:p>
        </w:tc>
        <w:tc>
          <w:tcPr>
            <w:tcW w:w="308" w:type="pct"/>
            <w:tcBorders>
              <w:tl2br w:val="nil"/>
              <w:tr2bl w:val="nil"/>
            </w:tcBorders>
            <w:shd w:val="clear" w:color="auto" w:fill="auto"/>
            <w:noWrap/>
            <w:vAlign w:val="center"/>
          </w:tcPr>
          <w:p w14:paraId="0672839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695" w:type="pct"/>
            <w:tcBorders>
              <w:tl2br w:val="nil"/>
              <w:tr2bl w:val="nil"/>
            </w:tcBorders>
            <w:shd w:val="clear" w:color="auto" w:fill="auto"/>
            <w:vAlign w:val="center"/>
          </w:tcPr>
          <w:p w14:paraId="03CAD069">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雷家屋</w:t>
            </w:r>
          </w:p>
        </w:tc>
        <w:tc>
          <w:tcPr>
            <w:tcW w:w="1241" w:type="pct"/>
            <w:tcBorders>
              <w:tl2br w:val="nil"/>
              <w:tr2bl w:val="nil"/>
            </w:tcBorders>
            <w:shd w:val="clear" w:color="auto" w:fill="auto"/>
            <w:vAlign w:val="center"/>
          </w:tcPr>
          <w:p w14:paraId="4DB0B56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113.142295,29.12385</w:t>
            </w:r>
          </w:p>
        </w:tc>
        <w:tc>
          <w:tcPr>
            <w:tcW w:w="810" w:type="pct"/>
            <w:tcBorders>
              <w:tl2br w:val="nil"/>
              <w:tr2bl w:val="nil"/>
            </w:tcBorders>
            <w:shd w:val="clear" w:color="auto" w:fill="auto"/>
            <w:vAlign w:val="center"/>
          </w:tcPr>
          <w:p w14:paraId="19A97C5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居住区，约5  户</w:t>
            </w:r>
          </w:p>
        </w:tc>
        <w:tc>
          <w:tcPr>
            <w:tcW w:w="907" w:type="pct"/>
            <w:tcBorders>
              <w:tl2br w:val="nil"/>
              <w:tr2bl w:val="nil"/>
            </w:tcBorders>
            <w:shd w:val="clear" w:color="auto" w:fill="auto"/>
            <w:vAlign w:val="center"/>
          </w:tcPr>
          <w:p w14:paraId="0C70033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NE,150-220</w:t>
            </w:r>
          </w:p>
        </w:tc>
        <w:tc>
          <w:tcPr>
            <w:tcW w:w="837" w:type="pct"/>
            <w:vMerge w:val="restart"/>
            <w:tcBorders>
              <w:tl2br w:val="nil"/>
              <w:tr2bl w:val="nil"/>
            </w:tcBorders>
            <w:shd w:val="clear" w:color="auto" w:fill="auto"/>
            <w:vAlign w:val="center"/>
          </w:tcPr>
          <w:p w14:paraId="4FFB01F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pacing w:val="-2"/>
                <w:kern w:val="0"/>
                <w:sz w:val="21"/>
                <w:szCs w:val="21"/>
                <w:highlight w:val="none"/>
                <w:lang w:val="en-US" w:eastAsia="zh-CN" w:bidi="ar-SA"/>
              </w:rPr>
              <w:t>《声环境质量标准》（GB3096-2008）中的</w:t>
            </w:r>
            <w:r>
              <w:rPr>
                <w:rFonts w:hint="eastAsia" w:eastAsia="宋体" w:cs="Times New Roman"/>
                <w:spacing w:val="-2"/>
                <w:kern w:val="0"/>
                <w:sz w:val="21"/>
                <w:szCs w:val="21"/>
                <w:highlight w:val="none"/>
                <w:lang w:val="en-US" w:eastAsia="zh-CN" w:bidi="ar-SA"/>
              </w:rPr>
              <w:t>2</w:t>
            </w:r>
            <w:r>
              <w:rPr>
                <w:rFonts w:hint="default" w:ascii="Times New Roman" w:hAnsi="Times New Roman" w:eastAsia="宋体" w:cs="Times New Roman"/>
                <w:spacing w:val="-2"/>
                <w:kern w:val="0"/>
                <w:sz w:val="21"/>
                <w:szCs w:val="21"/>
                <w:highlight w:val="none"/>
                <w:lang w:val="en-US" w:eastAsia="zh-CN" w:bidi="ar-SA"/>
              </w:rPr>
              <w:t xml:space="preserve"> 类区标准</w:t>
            </w:r>
          </w:p>
        </w:tc>
      </w:tr>
      <w:tr w14:paraId="7E9A0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1" w:hRule="atLeast"/>
        </w:trPr>
        <w:tc>
          <w:tcPr>
            <w:tcW w:w="198" w:type="pct"/>
            <w:vMerge w:val="continue"/>
            <w:tcBorders>
              <w:tl2br w:val="nil"/>
              <w:tr2bl w:val="nil"/>
            </w:tcBorders>
            <w:shd w:val="clear" w:color="auto" w:fill="auto"/>
            <w:noWrap/>
            <w:vAlign w:val="center"/>
          </w:tcPr>
          <w:p w14:paraId="7FF960B1">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08" w:type="pct"/>
            <w:tcBorders>
              <w:tl2br w:val="nil"/>
              <w:tr2bl w:val="nil"/>
            </w:tcBorders>
            <w:shd w:val="clear" w:color="auto" w:fill="auto"/>
            <w:noWrap/>
            <w:vAlign w:val="center"/>
          </w:tcPr>
          <w:p w14:paraId="5ACB192D">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695" w:type="pct"/>
            <w:tcBorders>
              <w:tl2br w:val="nil"/>
              <w:tr2bl w:val="nil"/>
            </w:tcBorders>
            <w:shd w:val="clear" w:color="auto" w:fill="auto"/>
            <w:vAlign w:val="center"/>
          </w:tcPr>
          <w:p w14:paraId="5FF96BC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兰塘八组</w:t>
            </w:r>
          </w:p>
        </w:tc>
        <w:tc>
          <w:tcPr>
            <w:tcW w:w="1241" w:type="pct"/>
            <w:tcBorders>
              <w:tl2br w:val="nil"/>
              <w:tr2bl w:val="nil"/>
            </w:tcBorders>
            <w:shd w:val="clear" w:color="auto" w:fill="auto"/>
            <w:vAlign w:val="center"/>
          </w:tcPr>
          <w:p w14:paraId="2D85DCB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113.142878,29.12310</w:t>
            </w:r>
          </w:p>
        </w:tc>
        <w:tc>
          <w:tcPr>
            <w:tcW w:w="810" w:type="pct"/>
            <w:tcBorders>
              <w:tl2br w:val="nil"/>
              <w:tr2bl w:val="nil"/>
            </w:tcBorders>
            <w:shd w:val="clear" w:color="auto" w:fill="auto"/>
            <w:vAlign w:val="center"/>
          </w:tcPr>
          <w:p w14:paraId="0D4AFAD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居住区，约 10 户</w:t>
            </w:r>
          </w:p>
        </w:tc>
        <w:tc>
          <w:tcPr>
            <w:tcW w:w="907" w:type="pct"/>
            <w:tcBorders>
              <w:tl2br w:val="nil"/>
              <w:tr2bl w:val="nil"/>
            </w:tcBorders>
            <w:shd w:val="clear" w:color="auto" w:fill="auto"/>
            <w:vAlign w:val="center"/>
          </w:tcPr>
          <w:p w14:paraId="79E3349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NE,154-250</w:t>
            </w:r>
          </w:p>
        </w:tc>
        <w:tc>
          <w:tcPr>
            <w:tcW w:w="837" w:type="pct"/>
            <w:vMerge w:val="continue"/>
            <w:tcBorders>
              <w:tl2br w:val="nil"/>
              <w:tr2bl w:val="nil"/>
            </w:tcBorders>
            <w:shd w:val="clear" w:color="auto" w:fill="auto"/>
            <w:vAlign w:val="center"/>
          </w:tcPr>
          <w:p w14:paraId="2C4C9E8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43D13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trPr>
        <w:tc>
          <w:tcPr>
            <w:tcW w:w="198" w:type="pct"/>
            <w:tcBorders>
              <w:tl2br w:val="nil"/>
              <w:tr2bl w:val="nil"/>
            </w:tcBorders>
            <w:shd w:val="clear" w:color="auto" w:fill="auto"/>
            <w:noWrap/>
            <w:vAlign w:val="center"/>
          </w:tcPr>
          <w:p w14:paraId="14033635">
            <w:pPr>
              <w:pStyle w:val="36"/>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地表</w:t>
            </w:r>
          </w:p>
          <w:p w14:paraId="54BE0D8A">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水环境</w:t>
            </w:r>
          </w:p>
        </w:tc>
        <w:tc>
          <w:tcPr>
            <w:tcW w:w="308" w:type="pct"/>
            <w:tcBorders>
              <w:tl2br w:val="nil"/>
              <w:tr2bl w:val="nil"/>
            </w:tcBorders>
            <w:shd w:val="clear" w:color="auto" w:fill="auto"/>
            <w:noWrap/>
            <w:vAlign w:val="center"/>
          </w:tcPr>
          <w:p w14:paraId="745C317B">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695" w:type="pct"/>
            <w:tcBorders>
              <w:tl2br w:val="nil"/>
              <w:tr2bl w:val="nil"/>
            </w:tcBorders>
            <w:shd w:val="clear" w:color="auto" w:fill="auto"/>
            <w:vAlign w:val="center"/>
          </w:tcPr>
          <w:p w14:paraId="56DFE728">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新墙河</w:t>
            </w:r>
          </w:p>
        </w:tc>
        <w:tc>
          <w:tcPr>
            <w:tcW w:w="1241" w:type="pct"/>
            <w:tcBorders>
              <w:tl2br w:val="nil"/>
              <w:tr2bl w:val="nil"/>
            </w:tcBorders>
            <w:shd w:val="clear" w:color="auto" w:fill="auto"/>
            <w:vAlign w:val="center"/>
          </w:tcPr>
          <w:p w14:paraId="67381F57">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810" w:type="pct"/>
            <w:tcBorders>
              <w:tl2br w:val="nil"/>
              <w:tr2bl w:val="nil"/>
            </w:tcBorders>
            <w:shd w:val="clear" w:color="auto" w:fill="auto"/>
            <w:vAlign w:val="center"/>
          </w:tcPr>
          <w:p w14:paraId="403F8C22">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渔业用水区/大河</w:t>
            </w:r>
          </w:p>
        </w:tc>
        <w:tc>
          <w:tcPr>
            <w:tcW w:w="907" w:type="pct"/>
            <w:tcBorders>
              <w:tl2br w:val="nil"/>
              <w:tr2bl w:val="nil"/>
            </w:tcBorders>
            <w:shd w:val="clear" w:color="auto" w:fill="auto"/>
            <w:vAlign w:val="center"/>
          </w:tcPr>
          <w:p w14:paraId="38466DEE">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N，约3880</w:t>
            </w:r>
          </w:p>
        </w:tc>
        <w:tc>
          <w:tcPr>
            <w:tcW w:w="837" w:type="pct"/>
            <w:tcBorders>
              <w:tl2br w:val="nil"/>
              <w:tr2bl w:val="nil"/>
            </w:tcBorders>
            <w:shd w:val="clear" w:color="auto" w:fill="auto"/>
            <w:vAlign w:val="center"/>
          </w:tcPr>
          <w:p w14:paraId="350865F4">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rPr>
              <w:t>《地表水环境质量标准》（GB383</w:t>
            </w:r>
            <w:r>
              <w:rPr>
                <w:rFonts w:hint="default" w:ascii="Times New Roman" w:hAnsi="Times New Roman" w:eastAsia="宋体" w:cs="Times New Roman"/>
                <w:spacing w:val="-1"/>
                <w:sz w:val="21"/>
                <w:szCs w:val="21"/>
                <w:highlight w:val="none"/>
              </w:rPr>
              <w:t>8-2002）Ⅲ类标准</w:t>
            </w:r>
          </w:p>
        </w:tc>
      </w:tr>
    </w:tbl>
    <w:p w14:paraId="23848FE5">
      <w:pPr>
        <w:pStyle w:val="6"/>
        <w:bidi w:val="0"/>
        <w:rPr>
          <w:highlight w:val="none"/>
        </w:rPr>
      </w:pPr>
      <w:bookmarkStart w:id="69" w:name="_Toc488833064"/>
      <w:bookmarkStart w:id="70" w:name="_Toc28646"/>
      <w:r>
        <w:rPr>
          <w:rFonts w:ascii="Times New Roman" w:hAnsi="Times New Roman" w:eastAsia="宋体" w:cs="Times New Roman"/>
          <w:highlight w:val="none"/>
        </w:rPr>
        <w:t>2.</w:t>
      </w:r>
      <w:r>
        <w:rPr>
          <w:rFonts w:hint="eastAsia" w:ascii="Times New Roman" w:hAnsi="Times New Roman" w:eastAsia="宋体" w:cs="Times New Roman"/>
          <w:highlight w:val="none"/>
        </w:rPr>
        <w:t>7</w:t>
      </w:r>
      <w:r>
        <w:rPr>
          <w:rFonts w:hint="eastAsia" w:ascii="Times New Roman" w:hAnsi="Times New Roman" w:eastAsia="宋体" w:cs="Times New Roman"/>
          <w:highlight w:val="none"/>
          <w:lang w:val="en-US" w:eastAsia="zh-CN"/>
        </w:rPr>
        <w:t xml:space="preserve"> </w:t>
      </w:r>
      <w:r>
        <w:rPr>
          <w:rFonts w:ascii="Times New Roman" w:hAnsi="Times New Roman" w:eastAsia="宋体" w:cs="Times New Roman"/>
          <w:highlight w:val="none"/>
        </w:rPr>
        <w:t>环境功能区划</w:t>
      </w:r>
      <w:bookmarkEnd w:id="69"/>
      <w:bookmarkEnd w:id="70"/>
    </w:p>
    <w:p w14:paraId="0D35A109">
      <w:pPr>
        <w:pStyle w:val="7"/>
        <w:bidi w:val="0"/>
        <w:rPr>
          <w:highlight w:val="none"/>
        </w:rPr>
      </w:pPr>
      <w:bookmarkStart w:id="71" w:name="_Toc680"/>
      <w:r>
        <w:rPr>
          <w:highlight w:val="none"/>
        </w:rPr>
        <w:t>2.</w:t>
      </w:r>
      <w:r>
        <w:rPr>
          <w:rFonts w:hint="eastAsia"/>
          <w:highlight w:val="none"/>
          <w:lang w:val="en-US" w:eastAsia="zh-CN"/>
        </w:rPr>
        <w:t>7</w:t>
      </w:r>
      <w:r>
        <w:rPr>
          <w:highlight w:val="none"/>
        </w:rPr>
        <w:t>.1 地表水环境功能区</w:t>
      </w:r>
      <w:bookmarkEnd w:id="71"/>
    </w:p>
    <w:p w14:paraId="2F9DE5FE">
      <w:pPr>
        <w:pStyle w:val="2"/>
        <w:spacing w:before="183" w:line="360" w:lineRule="auto"/>
        <w:ind w:left="133" w:right="116" w:firstLine="480"/>
        <w:jc w:val="both"/>
        <w:rPr>
          <w:highlight w:val="none"/>
        </w:rPr>
      </w:pPr>
      <w:r>
        <w:rPr>
          <w:spacing w:val="1"/>
          <w:highlight w:val="none"/>
        </w:rPr>
        <w:t>生活污水</w:t>
      </w:r>
      <w:r>
        <w:rPr>
          <w:rFonts w:hint="eastAsia"/>
          <w:spacing w:val="1"/>
          <w:highlight w:val="none"/>
        </w:rPr>
        <w:t>依托园区创新创业基地</w:t>
      </w:r>
      <w:r>
        <w:rPr>
          <w:rFonts w:hint="eastAsia"/>
          <w:spacing w:val="1"/>
          <w:highlight w:val="none"/>
          <w:lang w:val="en-US" w:eastAsia="zh-CN"/>
        </w:rPr>
        <w:t>的</w:t>
      </w:r>
      <w:r>
        <w:rPr>
          <w:spacing w:val="1"/>
          <w:highlight w:val="none"/>
        </w:rPr>
        <w:t>隔油池</w:t>
      </w:r>
      <w:r>
        <w:rPr>
          <w:rFonts w:hint="eastAsia" w:eastAsia="宋体" w:cs="Times New Roman"/>
          <w:spacing w:val="1"/>
          <w:highlight w:val="none"/>
          <w:lang w:val="en-US" w:eastAsia="zh-CN"/>
        </w:rPr>
        <w:t>和</w:t>
      </w:r>
      <w:r>
        <w:rPr>
          <w:spacing w:val="1"/>
          <w:highlight w:val="none"/>
        </w:rPr>
        <w:t>化粪池处理后</w:t>
      </w:r>
      <w:r>
        <w:rPr>
          <w:rFonts w:hint="eastAsia"/>
          <w:spacing w:val="1"/>
          <w:highlight w:val="none"/>
          <w:lang w:val="en-US" w:eastAsia="zh-CN"/>
        </w:rPr>
        <w:t>进入园区污水管网，地面清洁废水经沉淀池沉淀后同纯水制备浓水一起进入园区污水管网排入岳阳高新技术产业园区污水处理厂处理</w:t>
      </w:r>
      <w:r>
        <w:rPr>
          <w:spacing w:val="-2"/>
          <w:highlight w:val="none"/>
        </w:rPr>
        <w:t>达标后排入新墙河，汇入口上游</w:t>
      </w:r>
      <w:r>
        <w:rPr>
          <w:spacing w:val="-47"/>
          <w:highlight w:val="none"/>
        </w:rPr>
        <w:t xml:space="preserve"> </w:t>
      </w:r>
      <w:r>
        <w:rPr>
          <w:rFonts w:ascii="Times New Roman" w:hAnsi="Times New Roman" w:eastAsia="Times New Roman" w:cs="Times New Roman"/>
          <w:spacing w:val="-2"/>
          <w:highlight w:val="none"/>
        </w:rPr>
        <w:t xml:space="preserve">500m </w:t>
      </w:r>
      <w:r>
        <w:rPr>
          <w:spacing w:val="-2"/>
          <w:highlight w:val="none"/>
        </w:rPr>
        <w:t>至下游</w:t>
      </w:r>
      <w:r>
        <w:rPr>
          <w:spacing w:val="-32"/>
          <w:highlight w:val="none"/>
        </w:rPr>
        <w:t xml:space="preserve"> </w:t>
      </w:r>
      <w:r>
        <w:rPr>
          <w:rFonts w:ascii="Times New Roman" w:hAnsi="Times New Roman" w:eastAsia="Times New Roman" w:cs="Times New Roman"/>
          <w:spacing w:val="-2"/>
          <w:highlight w:val="none"/>
        </w:rPr>
        <w:t>1.5km</w:t>
      </w:r>
      <w:r>
        <w:rPr>
          <w:rFonts w:ascii="Times New Roman" w:hAnsi="Times New Roman" w:eastAsia="Times New Roman" w:cs="Times New Roman"/>
          <w:spacing w:val="27"/>
          <w:w w:val="101"/>
          <w:highlight w:val="none"/>
        </w:rPr>
        <w:t xml:space="preserve"> </w:t>
      </w:r>
      <w:r>
        <w:rPr>
          <w:spacing w:val="-2"/>
          <w:highlight w:val="none"/>
        </w:rPr>
        <w:t>的</w:t>
      </w:r>
      <w:r>
        <w:rPr>
          <w:highlight w:val="none"/>
        </w:rPr>
        <w:t>范围</w:t>
      </w:r>
      <w:r>
        <w:rPr>
          <w:rFonts w:hint="eastAsia"/>
          <w:highlight w:val="none"/>
          <w:lang w:eastAsia="zh-CN"/>
        </w:rPr>
        <w:t>，</w:t>
      </w:r>
      <w:r>
        <w:rPr>
          <w:highlight w:val="none"/>
        </w:rPr>
        <w:t>新墙河水域执行《地表水环境质量标准》（</w:t>
      </w:r>
      <w:r>
        <w:rPr>
          <w:rFonts w:ascii="Times New Roman" w:hAnsi="Times New Roman" w:eastAsia="Times New Roman" w:cs="Times New Roman"/>
          <w:highlight w:val="none"/>
        </w:rPr>
        <w:t>GB383</w:t>
      </w:r>
      <w:r>
        <w:rPr>
          <w:rFonts w:ascii="Times New Roman" w:hAnsi="Times New Roman" w:eastAsia="Times New Roman" w:cs="Times New Roman"/>
          <w:spacing w:val="-1"/>
          <w:highlight w:val="none"/>
        </w:rPr>
        <w:t>8-2002</w:t>
      </w:r>
      <w:r>
        <w:rPr>
          <w:spacing w:val="-1"/>
          <w:highlight w:val="none"/>
        </w:rPr>
        <w:t>）</w:t>
      </w:r>
      <w:r>
        <w:rPr>
          <w:rFonts w:ascii="Times New Roman" w:hAnsi="Times New Roman" w:eastAsia="Times New Roman" w:cs="Times New Roman"/>
          <w:spacing w:val="-1"/>
          <w:highlight w:val="none"/>
        </w:rPr>
        <w:t>Ⅲ</w:t>
      </w:r>
      <w:r>
        <w:rPr>
          <w:spacing w:val="-1"/>
          <w:highlight w:val="none"/>
        </w:rPr>
        <w:t>类标准。</w:t>
      </w:r>
    </w:p>
    <w:p w14:paraId="572D7B26">
      <w:pPr>
        <w:pStyle w:val="7"/>
        <w:bidi w:val="0"/>
        <w:rPr>
          <w:highlight w:val="none"/>
        </w:rPr>
      </w:pPr>
      <w:bookmarkStart w:id="72" w:name="_Toc8643"/>
      <w:r>
        <w:rPr>
          <w:highlight w:val="none"/>
        </w:rPr>
        <w:t>2.</w:t>
      </w:r>
      <w:r>
        <w:rPr>
          <w:rFonts w:hint="eastAsia"/>
          <w:highlight w:val="none"/>
          <w:lang w:val="en-US" w:eastAsia="zh-CN"/>
        </w:rPr>
        <w:t>7</w:t>
      </w:r>
      <w:r>
        <w:rPr>
          <w:highlight w:val="none"/>
        </w:rPr>
        <w:t>.2 大气环境功能区划</w:t>
      </w:r>
      <w:bookmarkEnd w:id="72"/>
    </w:p>
    <w:p w14:paraId="11E375CC">
      <w:pPr>
        <w:pStyle w:val="2"/>
        <w:spacing w:before="182" w:line="362" w:lineRule="auto"/>
        <w:ind w:left="141" w:right="116" w:firstLine="471"/>
        <w:rPr>
          <w:spacing w:val="-1"/>
          <w:highlight w:val="none"/>
        </w:rPr>
      </w:pPr>
      <w:r>
        <w:rPr>
          <w:spacing w:val="-2"/>
          <w:highlight w:val="none"/>
        </w:rPr>
        <w:t>本项目厂区所在地区属于工业园区，根据《环境空气质量标准》中环境空气质量功</w:t>
      </w:r>
      <w:r>
        <w:rPr>
          <w:highlight w:val="none"/>
        </w:rPr>
        <w:t>能区分类，属于二类区，执行《环境空气质量标</w:t>
      </w:r>
      <w:r>
        <w:rPr>
          <w:spacing w:val="-1"/>
          <w:highlight w:val="none"/>
        </w:rPr>
        <w:t>准》（</w:t>
      </w:r>
      <w:r>
        <w:rPr>
          <w:rFonts w:ascii="Times New Roman" w:hAnsi="Times New Roman" w:eastAsia="Times New Roman" w:cs="Times New Roman"/>
          <w:spacing w:val="-1"/>
          <w:highlight w:val="none"/>
        </w:rPr>
        <w:t>GB3095-2012</w:t>
      </w:r>
      <w:r>
        <w:rPr>
          <w:spacing w:val="-1"/>
          <w:highlight w:val="none"/>
        </w:rPr>
        <w:t>）中二级标准。</w:t>
      </w:r>
    </w:p>
    <w:p w14:paraId="1AE112DC">
      <w:pPr>
        <w:pStyle w:val="7"/>
        <w:bidi w:val="0"/>
        <w:rPr>
          <w:highlight w:val="none"/>
        </w:rPr>
      </w:pPr>
      <w:bookmarkStart w:id="73" w:name="_Toc8580"/>
      <w:r>
        <w:rPr>
          <w:highlight w:val="none"/>
        </w:rPr>
        <w:t>2.</w:t>
      </w:r>
      <w:r>
        <w:rPr>
          <w:rFonts w:hint="eastAsia"/>
          <w:highlight w:val="none"/>
          <w:lang w:val="en-US" w:eastAsia="zh-CN"/>
        </w:rPr>
        <w:t>7</w:t>
      </w:r>
      <w:r>
        <w:rPr>
          <w:highlight w:val="none"/>
        </w:rPr>
        <w:t>.3 声环境功能区划</w:t>
      </w:r>
      <w:bookmarkEnd w:id="73"/>
    </w:p>
    <w:p w14:paraId="65A5347C">
      <w:pPr>
        <w:ind w:firstLine="472" w:firstLineChars="200"/>
        <w:rPr>
          <w:rFonts w:hint="eastAsia" w:ascii="Times New Roman" w:hAnsi="Times New Roman" w:eastAsia="宋体" w:cs="Times New Roman"/>
          <w:spacing w:val="-2"/>
          <w:kern w:val="0"/>
          <w:sz w:val="24"/>
          <w:szCs w:val="20"/>
          <w:highlight w:val="none"/>
          <w:lang w:val="en-US" w:eastAsia="zh-CN" w:bidi="ar-SA"/>
        </w:rPr>
      </w:pPr>
      <w:r>
        <w:rPr>
          <w:rFonts w:ascii="Times New Roman" w:hAnsi="Times New Roman" w:eastAsia="宋体" w:cs="Times New Roman"/>
          <w:spacing w:val="-2"/>
          <w:kern w:val="0"/>
          <w:sz w:val="24"/>
          <w:szCs w:val="20"/>
          <w:highlight w:val="none"/>
          <w:lang w:val="en-US" w:eastAsia="zh-CN" w:bidi="ar-SA"/>
        </w:rPr>
        <w:t>根据《声环境质量标准》（GB3096-2008）中对噪声区域的划分，本项目厂区所在地区属于工业园区，项目厂址</w:t>
      </w:r>
      <w:r>
        <w:rPr>
          <w:rFonts w:hint="eastAsia" w:ascii="Times New Roman" w:hAnsi="Times New Roman" w:eastAsia="宋体" w:cs="Times New Roman"/>
          <w:spacing w:val="-2"/>
          <w:kern w:val="0"/>
          <w:sz w:val="24"/>
          <w:szCs w:val="20"/>
          <w:highlight w:val="none"/>
          <w:lang w:val="en-US" w:eastAsia="zh-CN" w:bidi="ar-SA"/>
        </w:rPr>
        <w:t>东厂界、北厂界、南厂界声环境执行《声环境质量标准》（GB3096-2008）中的3 类区标准，西厂界靠近二级公路和高铁铁路干线，因此西厂界声环境执行《声环境质量标准》（GB3096-2008）中的4 b类区标准。</w:t>
      </w:r>
    </w:p>
    <w:p w14:paraId="1FC671FE">
      <w:pPr>
        <w:rPr>
          <w:highlight w:val="none"/>
        </w:rPr>
        <w:sectPr>
          <w:footerReference r:id="rId9" w:type="default"/>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0" w:charSpace="0"/>
        </w:sectPr>
      </w:pPr>
    </w:p>
    <w:p w14:paraId="75C40BE3">
      <w:pPr>
        <w:pStyle w:val="5"/>
        <w:pageBreakBefore w:val="0"/>
        <w:widowControl w:val="0"/>
        <w:kinsoku/>
        <w:wordWrap/>
        <w:overflowPunct/>
        <w:topLinePunct w:val="0"/>
        <w:autoSpaceDE/>
        <w:autoSpaceDN/>
        <w:bidi w:val="0"/>
        <w:adjustRightInd/>
        <w:snapToGrid/>
        <w:spacing w:before="0" w:beforeLines="100" w:after="0" w:afterLines="100" w:afterAutospacing="0"/>
        <w:textAlignment w:val="auto"/>
        <w:rPr>
          <w:highlight w:val="none"/>
        </w:rPr>
      </w:pPr>
      <w:bookmarkStart w:id="74" w:name="_Toc8567"/>
      <w:r>
        <w:rPr>
          <w:highlight w:val="none"/>
        </w:rPr>
        <w:t>3</w:t>
      </w:r>
      <w:r>
        <w:rPr>
          <w:rFonts w:hint="eastAsia"/>
          <w:highlight w:val="none"/>
          <w:lang w:eastAsia="zh-CN"/>
        </w:rPr>
        <w:t>、</w:t>
      </w:r>
      <w:r>
        <w:rPr>
          <w:highlight w:val="none"/>
        </w:rPr>
        <w:t>工程概况</w:t>
      </w:r>
      <w:bookmarkEnd w:id="74"/>
    </w:p>
    <w:p w14:paraId="2CA3E7FF">
      <w:pPr>
        <w:pStyle w:val="6"/>
        <w:bidi w:val="0"/>
        <w:rPr>
          <w:highlight w:val="none"/>
        </w:rPr>
      </w:pPr>
      <w:bookmarkStart w:id="75" w:name="bookmark74"/>
      <w:bookmarkEnd w:id="75"/>
      <w:bookmarkStart w:id="76" w:name="_Toc8361"/>
      <w:r>
        <w:rPr>
          <w:highlight w:val="none"/>
        </w:rPr>
        <w:t>3.</w:t>
      </w:r>
      <w:r>
        <w:rPr>
          <w:rFonts w:hint="eastAsia"/>
          <w:highlight w:val="none"/>
          <w:lang w:val="en-US" w:eastAsia="zh-CN"/>
        </w:rPr>
        <w:t xml:space="preserve">3 </w:t>
      </w:r>
      <w:r>
        <w:rPr>
          <w:highlight w:val="none"/>
        </w:rPr>
        <w:t>建设项目产品方案</w:t>
      </w:r>
      <w:bookmarkEnd w:id="76"/>
    </w:p>
    <w:p w14:paraId="09A90274">
      <w:pPr>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本项目产品为</w:t>
      </w:r>
      <w:r>
        <w:rPr>
          <w:rFonts w:hint="default" w:ascii="Times New Roman" w:hAnsi="Times New Roman" w:eastAsia="宋体" w:cs="Times New Roman"/>
          <w:color w:val="auto"/>
          <w:sz w:val="24"/>
          <w:szCs w:val="24"/>
          <w:highlight w:val="none"/>
        </w:rPr>
        <w:t>高效纺织生物酶制剂</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500吨/年</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助剂</w:t>
      </w:r>
      <w:r>
        <w:rPr>
          <w:rFonts w:hint="default" w:ascii="Times New Roman" w:hAnsi="Times New Roman" w:eastAsia="宋体" w:cs="Times New Roman"/>
          <w:color w:val="auto"/>
          <w:sz w:val="24"/>
          <w:szCs w:val="24"/>
          <w:highlight w:val="none"/>
          <w:lang w:val="en-US" w:eastAsia="zh-CN"/>
        </w:rPr>
        <w:t>1500</w:t>
      </w:r>
      <w:r>
        <w:rPr>
          <w:rFonts w:hint="default" w:ascii="Times New Roman" w:hAnsi="Times New Roman" w:eastAsia="宋体" w:cs="Times New Roman"/>
          <w:color w:val="auto"/>
          <w:sz w:val="24"/>
          <w:szCs w:val="24"/>
          <w:highlight w:val="none"/>
        </w:rPr>
        <w:t>吨/年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具体方案如下表：</w:t>
      </w:r>
    </w:p>
    <w:p w14:paraId="1D1404F8">
      <w:pPr>
        <w:ind w:firstLine="474" w:firstLineChars="200"/>
        <w:jc w:val="center"/>
        <w:rPr>
          <w:rFonts w:hint="eastAsia"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spacing w:val="-2"/>
          <w:kern w:val="0"/>
          <w:sz w:val="24"/>
          <w:szCs w:val="20"/>
          <w:highlight w:val="none"/>
          <w:lang w:val="en-US" w:eastAsia="zh-CN" w:bidi="ar-SA"/>
        </w:rPr>
        <w:t>表3.3-1 产品方案一览表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67"/>
        <w:gridCol w:w="964"/>
        <w:gridCol w:w="1281"/>
        <w:gridCol w:w="2520"/>
        <w:gridCol w:w="1589"/>
        <w:gridCol w:w="1591"/>
      </w:tblGrid>
      <w:tr w14:paraId="531F1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333" w:type="pct"/>
            <w:tcBorders>
              <w:tl2br w:val="nil"/>
              <w:tr2bl w:val="nil"/>
            </w:tcBorders>
            <w:noWrap w:val="0"/>
            <w:vAlign w:val="center"/>
          </w:tcPr>
          <w:p w14:paraId="28C0E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kern w:val="0"/>
                <w:sz w:val="21"/>
                <w:szCs w:val="21"/>
                <w:highlight w:val="none"/>
                <w:u w:val="none"/>
              </w:rPr>
              <w:t>序号</w:t>
            </w:r>
          </w:p>
        </w:tc>
        <w:tc>
          <w:tcPr>
            <w:tcW w:w="1318" w:type="pct"/>
            <w:gridSpan w:val="2"/>
            <w:tcBorders>
              <w:tl2br w:val="nil"/>
              <w:tr2bl w:val="nil"/>
            </w:tcBorders>
            <w:noWrap w:val="0"/>
            <w:vAlign w:val="center"/>
          </w:tcPr>
          <w:p w14:paraId="50621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kern w:val="0"/>
                <w:sz w:val="21"/>
                <w:szCs w:val="21"/>
                <w:highlight w:val="none"/>
                <w:u w:val="none"/>
                <w:lang w:val="en-US" w:eastAsia="zh-CN"/>
              </w:rPr>
            </w:pPr>
            <w:r>
              <w:rPr>
                <w:rFonts w:hint="eastAsia" w:eastAsia="宋体" w:cs="Times New Roman"/>
                <w:kern w:val="0"/>
                <w:sz w:val="21"/>
                <w:szCs w:val="21"/>
                <w:highlight w:val="none"/>
                <w:u w:val="none"/>
                <w:lang w:val="en-US" w:eastAsia="zh-CN"/>
              </w:rPr>
              <w:t>产品分类</w:t>
            </w:r>
          </w:p>
        </w:tc>
        <w:tc>
          <w:tcPr>
            <w:tcW w:w="1480" w:type="pct"/>
            <w:tcBorders>
              <w:tl2br w:val="nil"/>
              <w:tr2bl w:val="nil"/>
            </w:tcBorders>
            <w:noWrap w:val="0"/>
            <w:vAlign w:val="center"/>
          </w:tcPr>
          <w:p w14:paraId="0A1EA1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lang w:val="en-US" w:eastAsia="zh-CN"/>
              </w:rPr>
            </w:pPr>
            <w:r>
              <w:rPr>
                <w:rFonts w:hint="eastAsia" w:eastAsia="宋体" w:cs="Times New Roman"/>
                <w:kern w:val="0"/>
                <w:sz w:val="21"/>
                <w:szCs w:val="21"/>
                <w:highlight w:val="none"/>
                <w:u w:val="none"/>
                <w:lang w:val="en-US" w:eastAsia="zh-CN"/>
              </w:rPr>
              <w:t>产品名称</w:t>
            </w:r>
          </w:p>
        </w:tc>
        <w:tc>
          <w:tcPr>
            <w:tcW w:w="933" w:type="pct"/>
            <w:tcBorders>
              <w:tl2br w:val="nil"/>
              <w:tr2bl w:val="nil"/>
            </w:tcBorders>
            <w:noWrap w:val="0"/>
            <w:vAlign w:val="center"/>
          </w:tcPr>
          <w:p w14:paraId="3903CF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kern w:val="0"/>
                <w:sz w:val="21"/>
                <w:szCs w:val="21"/>
                <w:highlight w:val="none"/>
                <w:u w:val="none"/>
                <w:lang w:val="en-US" w:eastAsia="zh-CN"/>
              </w:rPr>
            </w:pPr>
            <w:r>
              <w:rPr>
                <w:rFonts w:hint="default" w:ascii="Times New Roman" w:hAnsi="Times New Roman" w:eastAsia="宋体" w:cs="Times New Roman"/>
                <w:color w:val="auto"/>
                <w:sz w:val="21"/>
                <w:szCs w:val="21"/>
                <w:highlight w:val="none"/>
              </w:rPr>
              <w:t>重量（吨/年）</w:t>
            </w:r>
          </w:p>
        </w:tc>
        <w:tc>
          <w:tcPr>
            <w:tcW w:w="934" w:type="pct"/>
            <w:tcBorders>
              <w:tl2br w:val="nil"/>
              <w:tr2bl w:val="nil"/>
            </w:tcBorders>
            <w:noWrap w:val="0"/>
            <w:vAlign w:val="center"/>
          </w:tcPr>
          <w:p w14:paraId="5BAB5A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产品总量（</w:t>
            </w:r>
            <w:r>
              <w:rPr>
                <w:rFonts w:hint="default" w:ascii="Times New Roman" w:hAnsi="Times New Roman" w:eastAsia="宋体" w:cs="Times New Roman"/>
                <w:color w:val="auto"/>
                <w:sz w:val="21"/>
                <w:szCs w:val="21"/>
                <w:highlight w:val="none"/>
              </w:rPr>
              <w:t>（吨/年</w:t>
            </w:r>
            <w:r>
              <w:rPr>
                <w:rFonts w:hint="eastAsia" w:eastAsia="宋体" w:cs="Times New Roman"/>
                <w:color w:val="auto"/>
                <w:sz w:val="21"/>
                <w:szCs w:val="21"/>
                <w:highlight w:val="none"/>
                <w:lang w:val="en-US" w:eastAsia="zh-CN"/>
              </w:rPr>
              <w:t>）</w:t>
            </w:r>
          </w:p>
        </w:tc>
      </w:tr>
      <w:tr w14:paraId="6109FE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333" w:type="pct"/>
            <w:tcBorders>
              <w:tl2br w:val="nil"/>
              <w:tr2bl w:val="nil"/>
            </w:tcBorders>
            <w:noWrap w:val="0"/>
            <w:vAlign w:val="center"/>
          </w:tcPr>
          <w:p w14:paraId="5C4CB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kern w:val="0"/>
                <w:sz w:val="21"/>
                <w:szCs w:val="21"/>
                <w:highlight w:val="none"/>
                <w:u w:val="none"/>
              </w:rPr>
              <w:t>1</w:t>
            </w:r>
          </w:p>
        </w:tc>
        <w:tc>
          <w:tcPr>
            <w:tcW w:w="1318" w:type="pct"/>
            <w:gridSpan w:val="2"/>
            <w:vMerge w:val="restart"/>
            <w:tcBorders>
              <w:tl2br w:val="nil"/>
              <w:tr2bl w:val="nil"/>
            </w:tcBorders>
            <w:noWrap w:val="0"/>
            <w:vAlign w:val="center"/>
          </w:tcPr>
          <w:p w14:paraId="1B6CC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eastAsia="宋体" w:cs="Times New Roman"/>
                <w:kern w:val="0"/>
                <w:sz w:val="21"/>
                <w:szCs w:val="21"/>
                <w:highlight w:val="none"/>
                <w:u w:val="none"/>
                <w:lang w:val="en-US" w:eastAsia="zh-CN"/>
              </w:rPr>
              <w:t>酶制剂</w:t>
            </w:r>
          </w:p>
        </w:tc>
        <w:tc>
          <w:tcPr>
            <w:tcW w:w="1480" w:type="pct"/>
            <w:tcBorders>
              <w:tl2br w:val="nil"/>
              <w:tr2bl w:val="nil"/>
            </w:tcBorders>
            <w:noWrap w:val="0"/>
            <w:vAlign w:val="center"/>
          </w:tcPr>
          <w:p w14:paraId="7E15D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lang w:val="en-US" w:eastAsia="zh-CN"/>
              </w:rPr>
            </w:pPr>
            <w:r>
              <w:rPr>
                <w:rFonts w:hint="eastAsia" w:ascii="Times New Roman" w:hAnsi="Times New Roman" w:eastAsia="宋体" w:cs="Times New Roman"/>
                <w:sz w:val="21"/>
                <w:szCs w:val="21"/>
                <w:highlight w:val="none"/>
                <w:u w:val="none"/>
                <w:lang w:val="en-US" w:eastAsia="zh-CN"/>
              </w:rPr>
              <w:t>酶制剂粉剂</w:t>
            </w:r>
          </w:p>
        </w:tc>
        <w:tc>
          <w:tcPr>
            <w:tcW w:w="933" w:type="pct"/>
            <w:tcBorders>
              <w:tl2br w:val="nil"/>
              <w:tr2bl w:val="nil"/>
            </w:tcBorders>
            <w:noWrap w:val="0"/>
            <w:vAlign w:val="center"/>
          </w:tcPr>
          <w:p w14:paraId="465EF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1500</w:t>
            </w:r>
          </w:p>
        </w:tc>
        <w:tc>
          <w:tcPr>
            <w:tcW w:w="934" w:type="pct"/>
            <w:vMerge w:val="restart"/>
            <w:tcBorders>
              <w:tl2br w:val="nil"/>
              <w:tr2bl w:val="nil"/>
            </w:tcBorders>
            <w:noWrap w:val="0"/>
            <w:vAlign w:val="center"/>
          </w:tcPr>
          <w:p w14:paraId="4BFB1B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3500</w:t>
            </w:r>
          </w:p>
        </w:tc>
      </w:tr>
      <w:tr w14:paraId="51D66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333" w:type="pct"/>
            <w:tcBorders>
              <w:tl2br w:val="nil"/>
              <w:tr2bl w:val="nil"/>
            </w:tcBorders>
            <w:noWrap w:val="0"/>
            <w:vAlign w:val="center"/>
          </w:tcPr>
          <w:p w14:paraId="684DB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kern w:val="0"/>
                <w:sz w:val="21"/>
                <w:szCs w:val="21"/>
                <w:highlight w:val="none"/>
                <w:u w:val="none"/>
              </w:rPr>
              <w:t>2</w:t>
            </w:r>
          </w:p>
        </w:tc>
        <w:tc>
          <w:tcPr>
            <w:tcW w:w="1318" w:type="pct"/>
            <w:gridSpan w:val="2"/>
            <w:vMerge w:val="continue"/>
            <w:tcBorders>
              <w:tl2br w:val="nil"/>
              <w:tr2bl w:val="nil"/>
            </w:tcBorders>
            <w:noWrap w:val="0"/>
            <w:vAlign w:val="center"/>
          </w:tcPr>
          <w:p w14:paraId="79507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p>
        </w:tc>
        <w:tc>
          <w:tcPr>
            <w:tcW w:w="1480" w:type="pct"/>
            <w:tcBorders>
              <w:tl2br w:val="nil"/>
              <w:tr2bl w:val="nil"/>
            </w:tcBorders>
            <w:noWrap w:val="0"/>
            <w:vAlign w:val="center"/>
          </w:tcPr>
          <w:p w14:paraId="710368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ascii="Times New Roman" w:hAnsi="Times New Roman" w:eastAsia="宋体" w:cs="Times New Roman"/>
                <w:sz w:val="21"/>
                <w:szCs w:val="21"/>
                <w:highlight w:val="none"/>
                <w:u w:val="none"/>
                <w:lang w:val="en-US" w:eastAsia="zh-CN"/>
              </w:rPr>
              <w:t>酶制剂水剂</w:t>
            </w:r>
          </w:p>
        </w:tc>
        <w:tc>
          <w:tcPr>
            <w:tcW w:w="933" w:type="pct"/>
            <w:tcBorders>
              <w:tl2br w:val="nil"/>
              <w:tr2bl w:val="nil"/>
            </w:tcBorders>
            <w:noWrap w:val="0"/>
            <w:vAlign w:val="center"/>
          </w:tcPr>
          <w:p w14:paraId="09CED4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2000</w:t>
            </w:r>
          </w:p>
        </w:tc>
        <w:tc>
          <w:tcPr>
            <w:tcW w:w="934" w:type="pct"/>
            <w:vMerge w:val="continue"/>
            <w:tcBorders>
              <w:tl2br w:val="nil"/>
              <w:tr2bl w:val="nil"/>
            </w:tcBorders>
            <w:noWrap w:val="0"/>
            <w:vAlign w:val="center"/>
          </w:tcPr>
          <w:p w14:paraId="49185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1"/>
                <w:szCs w:val="21"/>
                <w:highlight w:val="none"/>
                <w:u w:val="none"/>
                <w:lang w:val="en-US" w:eastAsia="zh-CN"/>
              </w:rPr>
            </w:pPr>
          </w:p>
        </w:tc>
      </w:tr>
      <w:tr w14:paraId="419F5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333" w:type="pct"/>
            <w:vMerge w:val="restart"/>
            <w:tcBorders>
              <w:tl2br w:val="nil"/>
              <w:tr2bl w:val="nil"/>
            </w:tcBorders>
            <w:noWrap w:val="0"/>
            <w:vAlign w:val="center"/>
          </w:tcPr>
          <w:p w14:paraId="191DA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kern w:val="0"/>
                <w:sz w:val="21"/>
                <w:szCs w:val="21"/>
                <w:highlight w:val="none"/>
                <w:u w:val="none"/>
              </w:rPr>
              <w:t>3</w:t>
            </w:r>
          </w:p>
        </w:tc>
        <w:tc>
          <w:tcPr>
            <w:tcW w:w="566" w:type="pct"/>
            <w:vMerge w:val="restart"/>
            <w:tcBorders>
              <w:tl2br w:val="nil"/>
              <w:tr2bl w:val="nil"/>
            </w:tcBorders>
            <w:noWrap w:val="0"/>
            <w:vAlign w:val="center"/>
          </w:tcPr>
          <w:p w14:paraId="147AF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lang w:val="en-US" w:eastAsia="zh-CN"/>
              </w:rPr>
            </w:pPr>
            <w:r>
              <w:rPr>
                <w:rFonts w:hint="eastAsia" w:eastAsia="宋体" w:cs="Times New Roman"/>
                <w:kern w:val="0"/>
                <w:sz w:val="21"/>
                <w:szCs w:val="21"/>
                <w:highlight w:val="none"/>
                <w:u w:val="none"/>
                <w:lang w:val="en-US" w:eastAsia="zh-CN"/>
              </w:rPr>
              <w:t>助剂</w:t>
            </w:r>
          </w:p>
        </w:tc>
        <w:tc>
          <w:tcPr>
            <w:tcW w:w="752" w:type="pct"/>
            <w:vMerge w:val="restart"/>
            <w:tcBorders>
              <w:tl2br w:val="nil"/>
              <w:tr2bl w:val="nil"/>
            </w:tcBorders>
            <w:noWrap w:val="0"/>
            <w:vAlign w:val="center"/>
          </w:tcPr>
          <w:p w14:paraId="251EB3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助剂</w:t>
            </w:r>
            <w:r>
              <w:rPr>
                <w:rFonts w:hint="eastAsia" w:ascii="Times New Roman" w:hAnsi="Times New Roman" w:eastAsia="宋体" w:cs="Times New Roman"/>
                <w:sz w:val="21"/>
                <w:szCs w:val="21"/>
                <w:highlight w:val="none"/>
                <w:u w:val="none"/>
                <w:lang w:val="en-US" w:eastAsia="zh-CN"/>
              </w:rPr>
              <w:t>水剂</w:t>
            </w:r>
          </w:p>
        </w:tc>
        <w:tc>
          <w:tcPr>
            <w:tcW w:w="1480" w:type="pct"/>
            <w:tcBorders>
              <w:tl2br w:val="nil"/>
              <w:tr2bl w:val="nil"/>
            </w:tcBorders>
            <w:noWrap w:val="0"/>
            <w:vAlign w:val="center"/>
          </w:tcPr>
          <w:p w14:paraId="477E8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硅油</w:t>
            </w:r>
          </w:p>
        </w:tc>
        <w:tc>
          <w:tcPr>
            <w:tcW w:w="933" w:type="pct"/>
            <w:tcBorders>
              <w:tl2br w:val="nil"/>
              <w:tr2bl w:val="nil"/>
            </w:tcBorders>
            <w:noWrap w:val="0"/>
            <w:vAlign w:val="center"/>
          </w:tcPr>
          <w:p w14:paraId="55E0F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ascii="Times New Roman" w:hAnsi="Times New Roman" w:eastAsia="宋体" w:cs="Times New Roman"/>
                <w:sz w:val="21"/>
                <w:szCs w:val="21"/>
                <w:highlight w:val="none"/>
                <w:u w:val="none"/>
                <w:lang w:val="en-US" w:eastAsia="zh-CN"/>
              </w:rPr>
              <w:t>5</w:t>
            </w:r>
            <w:r>
              <w:rPr>
                <w:rFonts w:hint="eastAsia" w:eastAsia="宋体" w:cs="Times New Roman"/>
                <w:sz w:val="21"/>
                <w:szCs w:val="21"/>
                <w:highlight w:val="none"/>
                <w:u w:val="none"/>
                <w:lang w:val="en-US" w:eastAsia="zh-CN"/>
              </w:rPr>
              <w:t>85</w:t>
            </w:r>
          </w:p>
        </w:tc>
        <w:tc>
          <w:tcPr>
            <w:tcW w:w="934" w:type="pct"/>
            <w:vMerge w:val="restart"/>
            <w:tcBorders>
              <w:tl2br w:val="nil"/>
              <w:tr2bl w:val="nil"/>
            </w:tcBorders>
            <w:noWrap w:val="0"/>
            <w:vAlign w:val="center"/>
          </w:tcPr>
          <w:p w14:paraId="3B5DE4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1500</w:t>
            </w:r>
          </w:p>
        </w:tc>
      </w:tr>
      <w:tr w14:paraId="19962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333" w:type="pct"/>
            <w:vMerge w:val="continue"/>
            <w:tcBorders>
              <w:tl2br w:val="nil"/>
              <w:tr2bl w:val="nil"/>
            </w:tcBorders>
            <w:noWrap w:val="0"/>
            <w:vAlign w:val="center"/>
          </w:tcPr>
          <w:p w14:paraId="4032E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p>
        </w:tc>
        <w:tc>
          <w:tcPr>
            <w:tcW w:w="566" w:type="pct"/>
            <w:vMerge w:val="continue"/>
            <w:tcBorders>
              <w:tl2br w:val="nil"/>
              <w:tr2bl w:val="nil"/>
            </w:tcBorders>
            <w:noWrap w:val="0"/>
            <w:vAlign w:val="center"/>
          </w:tcPr>
          <w:p w14:paraId="1963E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p>
        </w:tc>
        <w:tc>
          <w:tcPr>
            <w:tcW w:w="752" w:type="pct"/>
            <w:vMerge w:val="continue"/>
            <w:tcBorders>
              <w:tl2br w:val="nil"/>
              <w:tr2bl w:val="nil"/>
            </w:tcBorders>
            <w:noWrap w:val="0"/>
            <w:vAlign w:val="center"/>
          </w:tcPr>
          <w:p w14:paraId="0DB203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p>
        </w:tc>
        <w:tc>
          <w:tcPr>
            <w:tcW w:w="1480" w:type="pct"/>
            <w:tcBorders>
              <w:tl2br w:val="nil"/>
              <w:tr2bl w:val="nil"/>
            </w:tcBorders>
            <w:noWrap w:val="0"/>
            <w:vAlign w:val="center"/>
          </w:tcPr>
          <w:p w14:paraId="39858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防染剂</w:t>
            </w:r>
          </w:p>
        </w:tc>
        <w:tc>
          <w:tcPr>
            <w:tcW w:w="933" w:type="pct"/>
            <w:tcBorders>
              <w:tl2br w:val="nil"/>
              <w:tr2bl w:val="nil"/>
            </w:tcBorders>
            <w:noWrap w:val="0"/>
            <w:vAlign w:val="center"/>
          </w:tcPr>
          <w:p w14:paraId="295C0E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ascii="Times New Roman" w:hAnsi="Times New Roman" w:eastAsia="宋体" w:cs="Times New Roman"/>
                <w:sz w:val="21"/>
                <w:szCs w:val="21"/>
                <w:highlight w:val="none"/>
                <w:u w:val="none"/>
                <w:lang w:val="en-US" w:eastAsia="zh-CN"/>
              </w:rPr>
              <w:t>3</w:t>
            </w:r>
            <w:r>
              <w:rPr>
                <w:rFonts w:hint="eastAsia" w:eastAsia="宋体" w:cs="Times New Roman"/>
                <w:sz w:val="21"/>
                <w:szCs w:val="21"/>
                <w:highlight w:val="none"/>
                <w:u w:val="none"/>
                <w:lang w:val="en-US" w:eastAsia="zh-CN"/>
              </w:rPr>
              <w:t>15</w:t>
            </w:r>
          </w:p>
        </w:tc>
        <w:tc>
          <w:tcPr>
            <w:tcW w:w="934" w:type="pct"/>
            <w:vMerge w:val="continue"/>
            <w:tcBorders>
              <w:tl2br w:val="nil"/>
              <w:tr2bl w:val="nil"/>
            </w:tcBorders>
            <w:noWrap w:val="0"/>
            <w:vAlign w:val="center"/>
          </w:tcPr>
          <w:p w14:paraId="07250C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highlight w:val="none"/>
                <w:u w:val="none"/>
                <w:lang w:val="en-US" w:eastAsia="zh-CN"/>
              </w:rPr>
            </w:pPr>
          </w:p>
        </w:tc>
      </w:tr>
      <w:tr w14:paraId="68124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333" w:type="pct"/>
            <w:vMerge w:val="restart"/>
            <w:tcBorders>
              <w:tl2br w:val="nil"/>
              <w:tr2bl w:val="nil"/>
            </w:tcBorders>
            <w:noWrap w:val="0"/>
            <w:vAlign w:val="center"/>
          </w:tcPr>
          <w:p w14:paraId="5E183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kern w:val="0"/>
                <w:sz w:val="21"/>
                <w:szCs w:val="21"/>
                <w:highlight w:val="none"/>
                <w:u w:val="none"/>
              </w:rPr>
              <w:t>4</w:t>
            </w:r>
          </w:p>
        </w:tc>
        <w:tc>
          <w:tcPr>
            <w:tcW w:w="566" w:type="pct"/>
            <w:vMerge w:val="continue"/>
            <w:tcBorders>
              <w:tl2br w:val="nil"/>
              <w:tr2bl w:val="nil"/>
            </w:tcBorders>
            <w:noWrap w:val="0"/>
            <w:vAlign w:val="center"/>
          </w:tcPr>
          <w:p w14:paraId="117A7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p>
        </w:tc>
        <w:tc>
          <w:tcPr>
            <w:tcW w:w="752" w:type="pct"/>
            <w:vMerge w:val="restart"/>
            <w:tcBorders>
              <w:tl2br w:val="nil"/>
              <w:tr2bl w:val="nil"/>
            </w:tcBorders>
            <w:noWrap w:val="0"/>
            <w:vAlign w:val="center"/>
          </w:tcPr>
          <w:p w14:paraId="17B307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助剂</w:t>
            </w:r>
            <w:r>
              <w:rPr>
                <w:rFonts w:hint="eastAsia" w:ascii="Times New Roman" w:hAnsi="Times New Roman" w:eastAsia="宋体" w:cs="Times New Roman"/>
                <w:sz w:val="21"/>
                <w:szCs w:val="21"/>
                <w:highlight w:val="none"/>
                <w:u w:val="none"/>
                <w:lang w:val="en-US" w:eastAsia="zh-CN"/>
              </w:rPr>
              <w:t>粉剂</w:t>
            </w:r>
          </w:p>
        </w:tc>
        <w:tc>
          <w:tcPr>
            <w:tcW w:w="1480" w:type="pct"/>
            <w:tcBorders>
              <w:tl2br w:val="nil"/>
              <w:tr2bl w:val="nil"/>
            </w:tcBorders>
            <w:noWrap w:val="0"/>
            <w:vAlign w:val="center"/>
          </w:tcPr>
          <w:p w14:paraId="12BD4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 xml:space="preserve">  防染粉（1#）</w:t>
            </w:r>
          </w:p>
        </w:tc>
        <w:tc>
          <w:tcPr>
            <w:tcW w:w="933" w:type="pct"/>
            <w:tcBorders>
              <w:tl2br w:val="nil"/>
              <w:tr2bl w:val="nil"/>
            </w:tcBorders>
            <w:noWrap w:val="0"/>
            <w:vAlign w:val="center"/>
          </w:tcPr>
          <w:p w14:paraId="1C42F6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414</w:t>
            </w:r>
          </w:p>
        </w:tc>
        <w:tc>
          <w:tcPr>
            <w:tcW w:w="934" w:type="pct"/>
            <w:vMerge w:val="continue"/>
            <w:tcBorders>
              <w:tl2br w:val="nil"/>
              <w:tr2bl w:val="nil"/>
            </w:tcBorders>
            <w:noWrap w:val="0"/>
            <w:vAlign w:val="center"/>
          </w:tcPr>
          <w:p w14:paraId="76671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1"/>
                <w:szCs w:val="21"/>
                <w:highlight w:val="none"/>
                <w:u w:val="none"/>
                <w:lang w:val="en-US" w:eastAsia="zh-CN"/>
              </w:rPr>
            </w:pPr>
          </w:p>
        </w:tc>
      </w:tr>
      <w:tr w14:paraId="20F4C6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333" w:type="pct"/>
            <w:vMerge w:val="continue"/>
            <w:tcBorders>
              <w:tl2br w:val="nil"/>
              <w:tr2bl w:val="nil"/>
            </w:tcBorders>
            <w:noWrap w:val="0"/>
            <w:vAlign w:val="center"/>
          </w:tcPr>
          <w:p w14:paraId="3150B4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p>
        </w:tc>
        <w:tc>
          <w:tcPr>
            <w:tcW w:w="566" w:type="pct"/>
            <w:vMerge w:val="continue"/>
            <w:tcBorders>
              <w:tl2br w:val="nil"/>
              <w:tr2bl w:val="nil"/>
            </w:tcBorders>
            <w:noWrap w:val="0"/>
            <w:vAlign w:val="center"/>
          </w:tcPr>
          <w:p w14:paraId="54F3C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highlight w:val="none"/>
                <w:u w:val="none"/>
              </w:rPr>
            </w:pPr>
          </w:p>
        </w:tc>
        <w:tc>
          <w:tcPr>
            <w:tcW w:w="752" w:type="pct"/>
            <w:vMerge w:val="continue"/>
            <w:tcBorders>
              <w:tl2br w:val="nil"/>
              <w:tr2bl w:val="nil"/>
            </w:tcBorders>
            <w:noWrap w:val="0"/>
            <w:vAlign w:val="center"/>
          </w:tcPr>
          <w:p w14:paraId="69298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p>
        </w:tc>
        <w:tc>
          <w:tcPr>
            <w:tcW w:w="1480" w:type="pct"/>
            <w:tcBorders>
              <w:tl2br w:val="nil"/>
              <w:tr2bl w:val="nil"/>
            </w:tcBorders>
            <w:noWrap w:val="0"/>
            <w:vAlign w:val="center"/>
          </w:tcPr>
          <w:p w14:paraId="79D301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 xml:space="preserve">  防染粉（2#）</w:t>
            </w:r>
          </w:p>
        </w:tc>
        <w:tc>
          <w:tcPr>
            <w:tcW w:w="933" w:type="pct"/>
            <w:tcBorders>
              <w:tl2br w:val="nil"/>
              <w:tr2bl w:val="nil"/>
            </w:tcBorders>
            <w:noWrap w:val="0"/>
            <w:vAlign w:val="center"/>
          </w:tcPr>
          <w:p w14:paraId="1AB923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186</w:t>
            </w:r>
          </w:p>
        </w:tc>
        <w:tc>
          <w:tcPr>
            <w:tcW w:w="934" w:type="pct"/>
            <w:vMerge w:val="continue"/>
            <w:tcBorders>
              <w:tl2br w:val="nil"/>
              <w:tr2bl w:val="nil"/>
            </w:tcBorders>
            <w:noWrap w:val="0"/>
            <w:vAlign w:val="center"/>
          </w:tcPr>
          <w:p w14:paraId="1AB99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1"/>
                <w:szCs w:val="21"/>
                <w:highlight w:val="none"/>
                <w:u w:val="none"/>
                <w:lang w:val="en-US" w:eastAsia="zh-CN"/>
              </w:rPr>
            </w:pPr>
          </w:p>
        </w:tc>
      </w:tr>
    </w:tbl>
    <w:p w14:paraId="30861605">
      <w:pPr>
        <w:ind w:firstLine="482" w:firstLineChars="200"/>
        <w:rPr>
          <w:rFonts w:hint="eastAsia"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highlight w:val="none"/>
        </w:rPr>
        <w:t>本项目产品介绍：</w:t>
      </w:r>
    </w:p>
    <w:p w14:paraId="7D3E5E45">
      <w:pPr>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酶制剂是酶经过提纯、加工后的具有催化功能的生物制品，主要用于催化生产过程中的各种化学反应，具有催化效率高、作用条件温和、减少化学污染等特点。其本身不具有物理刺激性，对环境无害。生物酶制剂作为一种绿色产品，主要用于改进或变革、纺织、轻工等传统行业中的部分高污染、高能耗生产工艺，节能减排。</w:t>
      </w:r>
      <w:r>
        <w:rPr>
          <w:rFonts w:hint="eastAsia" w:ascii="Times New Roman" w:hAnsi="Times New Roman" w:eastAsia="宋体" w:cs="Times New Roman"/>
          <w:color w:val="auto"/>
          <w:sz w:val="24"/>
          <w:szCs w:val="24"/>
          <w:highlight w:val="none"/>
          <w:lang w:val="en-US" w:eastAsia="zh-CN"/>
        </w:rPr>
        <w:t>本项目通过复配工艺生产的生物酶制剂</w:t>
      </w:r>
      <w:r>
        <w:rPr>
          <w:rFonts w:hint="default" w:ascii="Times New Roman" w:hAnsi="Times New Roman" w:eastAsia="宋体" w:cs="Times New Roman"/>
          <w:color w:val="auto"/>
          <w:sz w:val="24"/>
          <w:szCs w:val="24"/>
          <w:highlight w:val="none"/>
        </w:rPr>
        <w:t>主要用于纺织面料的生物抛光和水洗工艺，能够去除织物表面的绒毛，使织物具有光滑、柔软的手感，同时提高织物的色泽鲜艳度和抗起球性能。</w:t>
      </w:r>
      <w:r>
        <w:rPr>
          <w:rFonts w:hint="eastAsia" w:ascii="Times New Roman" w:hAnsi="Times New Roman" w:eastAsia="宋体" w:cs="Times New Roman"/>
          <w:color w:val="auto"/>
          <w:sz w:val="24"/>
          <w:szCs w:val="24"/>
          <w:highlight w:val="none"/>
          <w:lang w:val="en-US" w:eastAsia="zh-CN"/>
        </w:rPr>
        <w:t>生物酶制剂</w:t>
      </w:r>
      <w:r>
        <w:rPr>
          <w:rFonts w:hint="default" w:ascii="Times New Roman" w:hAnsi="Times New Roman" w:eastAsia="宋体" w:cs="Times New Roman"/>
          <w:color w:val="auto"/>
          <w:sz w:val="24"/>
          <w:szCs w:val="24"/>
          <w:highlight w:val="none"/>
        </w:rPr>
        <w:t>在纺织中的应用不仅提升了织物的品质和性能，还显著降低了能耗和环境污染，符合绿色环保的发展趋势。其多功能性和高效性使其成为现代纺织工业中不可或缺的生物催化剂。</w:t>
      </w:r>
    </w:p>
    <w:p w14:paraId="60215E5B">
      <w:pPr>
        <w:ind w:firstLine="480" w:firstLineChars="200"/>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助剂是纺织品生产加工过程中必须的化学品。纺织助剂对提高纺织品的产品质量和附加价值具有不可或缺的重要作用，它不仅能赋予纺织品各种特殊功能和风格，如柔软、防皱、防缩、防水、抗菌、抗静电、阻燃等，还可以改进染整工艺，起到节约能源和降低加工成本的作用。</w:t>
      </w:r>
    </w:p>
    <w:p w14:paraId="3D15ED18">
      <w:pPr>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eastAsia="宋体"/>
          <w:color w:val="auto"/>
          <w:kern w:val="0"/>
          <w:sz w:val="24"/>
          <w:szCs w:val="24"/>
          <w:highlight w:val="none"/>
          <w:lang w:val="en-US" w:eastAsia="zh-CN"/>
        </w:rPr>
        <w:t>本项目</w:t>
      </w:r>
      <w:r>
        <w:rPr>
          <w:rFonts w:hint="eastAsia" w:eastAsia="宋体" w:cs="Times New Roman"/>
          <w:color w:val="auto"/>
          <w:kern w:val="0"/>
          <w:sz w:val="24"/>
          <w:szCs w:val="24"/>
          <w:highlight w:val="none"/>
          <w:u w:val="none"/>
          <w:lang w:val="en-US" w:eastAsia="zh-CN"/>
        </w:rPr>
        <w:t>酶制剂粉剂由固态</w:t>
      </w:r>
      <w:r>
        <w:rPr>
          <w:rFonts w:hint="eastAsia" w:ascii="Times New Roman" w:hAnsi="Times New Roman" w:eastAsia="宋体" w:cs="Times New Roman"/>
          <w:color w:val="auto"/>
          <w:kern w:val="0"/>
          <w:sz w:val="24"/>
          <w:szCs w:val="24"/>
          <w:highlight w:val="none"/>
          <w:u w:val="none"/>
        </w:rPr>
        <w:t>纤维素酶</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元明粉、</w:t>
      </w:r>
      <w:r>
        <w:rPr>
          <w:rFonts w:hint="eastAsia" w:ascii="Times New Roman" w:hAnsi="Times New Roman" w:eastAsia="宋体" w:cs="Times New Roman"/>
          <w:color w:val="auto"/>
          <w:kern w:val="0"/>
          <w:sz w:val="24"/>
          <w:szCs w:val="24"/>
          <w:highlight w:val="none"/>
          <w:u w:val="none"/>
        </w:rPr>
        <w:t>三聚磷酸钠</w:t>
      </w:r>
      <w:r>
        <w:rPr>
          <w:rFonts w:hint="eastAsia" w:ascii="Times New Roman" w:hAnsi="Times New Roman" w:eastAsia="宋体" w:cs="Times New Roman"/>
          <w:color w:val="auto"/>
          <w:kern w:val="0"/>
          <w:sz w:val="24"/>
          <w:szCs w:val="24"/>
          <w:highlight w:val="none"/>
          <w:u w:val="none"/>
          <w:lang w:val="en-US" w:eastAsia="zh-CN"/>
        </w:rPr>
        <w:t>混合复配而成；</w:t>
      </w:r>
      <w:r>
        <w:rPr>
          <w:rFonts w:hint="eastAsia" w:eastAsia="宋体" w:cs="Times New Roman"/>
          <w:color w:val="auto"/>
          <w:kern w:val="0"/>
          <w:sz w:val="24"/>
          <w:szCs w:val="24"/>
          <w:highlight w:val="none"/>
          <w:u w:val="none"/>
          <w:lang w:val="en-US" w:eastAsia="zh-CN"/>
        </w:rPr>
        <w:t>酶制剂水剂由液态</w:t>
      </w:r>
      <w:r>
        <w:rPr>
          <w:rFonts w:hint="eastAsia" w:ascii="Times New Roman" w:hAnsi="Times New Roman" w:eastAsia="宋体" w:cs="Times New Roman"/>
          <w:color w:val="auto"/>
          <w:kern w:val="0"/>
          <w:sz w:val="24"/>
          <w:szCs w:val="24"/>
          <w:highlight w:val="none"/>
          <w:u w:val="none"/>
        </w:rPr>
        <w:t>纤维素酶</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rPr>
        <w:t>盐</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rPr>
        <w:t>山梨醇</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纯水混合复配而成；硅油产品由</w:t>
      </w:r>
      <w:r>
        <w:rPr>
          <w:rFonts w:hint="eastAsia" w:ascii="Times New Roman" w:hAnsi="Times New Roman" w:eastAsia="宋体" w:cs="Times New Roman"/>
          <w:color w:val="auto"/>
          <w:kern w:val="0"/>
          <w:sz w:val="24"/>
          <w:szCs w:val="24"/>
          <w:highlight w:val="none"/>
          <w:u w:val="none"/>
        </w:rPr>
        <w:t>硅油</w:t>
      </w:r>
      <w:r>
        <w:rPr>
          <w:rFonts w:hint="eastAsia" w:ascii="Times New Roman" w:hAnsi="Times New Roman" w:eastAsia="宋体" w:cs="Times New Roman"/>
          <w:color w:val="auto"/>
          <w:kern w:val="0"/>
          <w:sz w:val="24"/>
          <w:szCs w:val="24"/>
          <w:highlight w:val="none"/>
          <w:u w:val="none"/>
          <w:lang w:val="en-US" w:eastAsia="zh-CN"/>
        </w:rPr>
        <w:t>和自来水混合复配而成。</w:t>
      </w:r>
      <w:r>
        <w:rPr>
          <w:rFonts w:hint="eastAsia" w:eastAsia="宋体" w:cs="Times New Roman"/>
          <w:color w:val="auto"/>
          <w:kern w:val="0"/>
          <w:sz w:val="24"/>
          <w:szCs w:val="24"/>
          <w:highlight w:val="none"/>
          <w:u w:val="none"/>
          <w:lang w:val="en-US" w:eastAsia="zh-CN"/>
        </w:rPr>
        <w:t>防染粉1#由</w:t>
      </w:r>
      <w:r>
        <w:rPr>
          <w:rFonts w:hint="eastAsia" w:ascii="Times New Roman" w:hAnsi="Times New Roman" w:eastAsia="宋体" w:cs="Times New Roman"/>
          <w:color w:val="auto"/>
          <w:kern w:val="0"/>
          <w:sz w:val="24"/>
          <w:szCs w:val="24"/>
          <w:highlight w:val="none"/>
          <w:u w:val="none"/>
        </w:rPr>
        <w:t>聚乙二醇4000</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聚酯切片</w:t>
      </w:r>
      <w:r>
        <w:rPr>
          <w:rFonts w:hint="eastAsia" w:eastAsia="宋体" w:cs="Times New Roman"/>
          <w:color w:val="auto"/>
          <w:kern w:val="0"/>
          <w:sz w:val="24"/>
          <w:szCs w:val="24"/>
          <w:highlight w:val="none"/>
          <w:u w:val="none"/>
          <w:lang w:val="en-US" w:eastAsia="zh-CN"/>
        </w:rPr>
        <w:t>高温</w:t>
      </w:r>
      <w:r>
        <w:rPr>
          <w:rFonts w:hint="eastAsia" w:ascii="Times New Roman" w:hAnsi="Times New Roman" w:eastAsia="宋体" w:cs="Times New Roman"/>
          <w:color w:val="auto"/>
          <w:kern w:val="0"/>
          <w:sz w:val="24"/>
          <w:szCs w:val="24"/>
          <w:highlight w:val="none"/>
          <w:u w:val="none"/>
          <w:lang w:val="en-US" w:eastAsia="zh-CN"/>
        </w:rPr>
        <w:t>加热溶解，混合复配而成</w:t>
      </w:r>
      <w:r>
        <w:rPr>
          <w:rFonts w:hint="eastAsia" w:eastAsia="宋体" w:cs="Times New Roman"/>
          <w:color w:val="auto"/>
          <w:kern w:val="0"/>
          <w:sz w:val="24"/>
          <w:szCs w:val="24"/>
          <w:highlight w:val="none"/>
          <w:u w:val="none"/>
          <w:lang w:val="en-US" w:eastAsia="zh-CN"/>
        </w:rPr>
        <w:t>，过程中发生化学变化。防染粉2#由防染粉1#的10%作为原料与平平加通过物理搅拌混合复配而成。</w:t>
      </w:r>
      <w:r>
        <w:rPr>
          <w:rFonts w:hint="eastAsia" w:ascii="Times New Roman" w:hAnsi="Times New Roman" w:eastAsia="宋体" w:cs="Times New Roman"/>
          <w:color w:val="auto"/>
          <w:kern w:val="0"/>
          <w:sz w:val="24"/>
          <w:szCs w:val="24"/>
          <w:highlight w:val="none"/>
          <w:u w:val="none"/>
          <w:lang w:val="en-US" w:eastAsia="zh-CN"/>
        </w:rPr>
        <w:t>防染剂由本项目</w:t>
      </w:r>
      <w:r>
        <w:rPr>
          <w:rFonts w:hint="eastAsia" w:eastAsia="宋体" w:cs="Times New Roman"/>
          <w:color w:val="auto"/>
          <w:kern w:val="0"/>
          <w:sz w:val="24"/>
          <w:szCs w:val="24"/>
          <w:highlight w:val="none"/>
          <w:u w:val="none"/>
          <w:lang w:val="en-US" w:eastAsia="zh-CN"/>
        </w:rPr>
        <w:t>防染粉1#中间</w:t>
      </w:r>
      <w:r>
        <w:rPr>
          <w:rFonts w:hint="eastAsia" w:ascii="Times New Roman" w:hAnsi="Times New Roman" w:eastAsia="宋体" w:cs="Times New Roman"/>
          <w:color w:val="auto"/>
          <w:kern w:val="0"/>
          <w:sz w:val="24"/>
          <w:szCs w:val="24"/>
          <w:highlight w:val="none"/>
          <w:u w:val="none"/>
          <w:lang w:val="en-US" w:eastAsia="zh-CN"/>
        </w:rPr>
        <w:t>产品</w:t>
      </w:r>
      <w:r>
        <w:rPr>
          <w:rFonts w:hint="eastAsia" w:eastAsia="宋体" w:cs="Times New Roman"/>
          <w:color w:val="auto"/>
          <w:kern w:val="0"/>
          <w:sz w:val="24"/>
          <w:szCs w:val="24"/>
          <w:highlight w:val="none"/>
          <w:u w:val="none"/>
          <w:lang w:val="en-US" w:eastAsia="zh-CN"/>
        </w:rPr>
        <w:t>（助剂粉剂的</w:t>
      </w:r>
      <w:r>
        <w:rPr>
          <w:rFonts w:hint="eastAsia" w:ascii="Times New Roman" w:hAnsi="Times New Roman" w:eastAsia="宋体" w:cs="Times New Roman"/>
          <w:color w:val="auto"/>
          <w:kern w:val="0"/>
          <w:sz w:val="24"/>
          <w:szCs w:val="24"/>
          <w:highlight w:val="none"/>
          <w:u w:val="none"/>
          <w:lang w:val="en-US" w:eastAsia="zh-CN"/>
        </w:rPr>
        <w:t>20%热浆</w:t>
      </w:r>
      <w:r>
        <w:rPr>
          <w:rFonts w:hint="eastAsia" w:eastAsia="宋体" w:cs="Times New Roman"/>
          <w:color w:val="auto"/>
          <w:kern w:val="0"/>
          <w:sz w:val="24"/>
          <w:szCs w:val="24"/>
          <w:highlight w:val="none"/>
          <w:u w:val="none"/>
          <w:lang w:val="en-US" w:eastAsia="zh-CN"/>
        </w:rPr>
        <w:t>）作为原材料</w:t>
      </w:r>
      <w:r>
        <w:rPr>
          <w:rFonts w:hint="eastAsia" w:ascii="Times New Roman" w:hAnsi="Times New Roman" w:eastAsia="宋体" w:cs="Times New Roman"/>
          <w:color w:val="auto"/>
          <w:kern w:val="0"/>
          <w:sz w:val="24"/>
          <w:szCs w:val="24"/>
          <w:highlight w:val="none"/>
          <w:u w:val="none"/>
          <w:lang w:val="en-US" w:eastAsia="zh-CN"/>
        </w:rPr>
        <w:t>加自来水开稀</w:t>
      </w:r>
      <w:r>
        <w:rPr>
          <w:rFonts w:hint="eastAsia" w:eastAsia="宋体" w:cs="Times New Roman"/>
          <w:color w:val="auto"/>
          <w:kern w:val="0"/>
          <w:sz w:val="24"/>
          <w:szCs w:val="24"/>
          <w:highlight w:val="none"/>
          <w:u w:val="none"/>
          <w:lang w:val="en-US" w:eastAsia="zh-CN"/>
        </w:rPr>
        <w:t>复配而成。</w:t>
      </w:r>
    </w:p>
    <w:p w14:paraId="51EC1C2A">
      <w:pPr>
        <w:pStyle w:val="6"/>
        <w:pageBreakBefore w:val="0"/>
        <w:widowControl w:val="0"/>
        <w:kinsoku/>
        <w:wordWrap/>
        <w:overflowPunct/>
        <w:topLinePunct w:val="0"/>
        <w:autoSpaceDE/>
        <w:autoSpaceDN/>
        <w:bidi w:val="0"/>
        <w:adjustRightInd/>
        <w:snapToGrid/>
        <w:spacing w:before="0" w:beforeLines="100" w:after="0" w:afterLines="100" w:afterAutospacing="0"/>
        <w:textAlignment w:val="auto"/>
        <w:rPr>
          <w:highlight w:val="none"/>
        </w:rPr>
      </w:pPr>
      <w:bookmarkStart w:id="77" w:name="_Toc28644"/>
      <w:r>
        <w:rPr>
          <w:highlight w:val="none"/>
        </w:rPr>
        <w:t>3.</w:t>
      </w:r>
      <w:r>
        <w:rPr>
          <w:rFonts w:hint="eastAsia"/>
          <w:highlight w:val="none"/>
          <w:lang w:val="en-US" w:eastAsia="zh-CN"/>
        </w:rPr>
        <w:t xml:space="preserve">1 </w:t>
      </w:r>
      <w:r>
        <w:rPr>
          <w:highlight w:val="none"/>
        </w:rPr>
        <w:t>工程基本情况</w:t>
      </w:r>
      <w:bookmarkEnd w:id="77"/>
    </w:p>
    <w:p w14:paraId="5F4813E5">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项目名称：</w:t>
      </w:r>
      <w:r>
        <w:rPr>
          <w:rFonts w:hint="default" w:ascii="Times New Roman" w:hAnsi="Times New Roman" w:eastAsia="宋体" w:cs="Times New Roman"/>
          <w:color w:val="auto"/>
          <w:kern w:val="0"/>
          <w:sz w:val="24"/>
          <w:szCs w:val="24"/>
          <w:highlight w:val="none"/>
        </w:rPr>
        <w:t>年复配3500吨生物酶制剂及1500吨酶制品助剂应用</w:t>
      </w:r>
      <w:r>
        <w:rPr>
          <w:rFonts w:hint="eastAsia" w:eastAsia="宋体" w:cs="Times New Roman"/>
          <w:color w:val="auto"/>
          <w:kern w:val="0"/>
          <w:sz w:val="24"/>
          <w:szCs w:val="24"/>
          <w:highlight w:val="none"/>
          <w:lang w:val="en-US" w:eastAsia="zh-CN"/>
        </w:rPr>
        <w:t>项目</w:t>
      </w:r>
      <w:r>
        <w:rPr>
          <w:rFonts w:hint="default" w:ascii="Times New Roman" w:hAnsi="Times New Roman" w:eastAsia="宋体" w:cs="Times New Roman"/>
          <w:color w:val="auto"/>
          <w:sz w:val="24"/>
          <w:szCs w:val="24"/>
          <w:highlight w:val="none"/>
        </w:rPr>
        <w:t>；</w:t>
      </w:r>
    </w:p>
    <w:p w14:paraId="7741097E">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kern w:val="0"/>
          <w:sz w:val="24"/>
          <w:szCs w:val="24"/>
          <w:highlight w:val="none"/>
        </w:rPr>
        <w:t>湖南鸿蒙新材料制造有限公司</w:t>
      </w:r>
      <w:r>
        <w:rPr>
          <w:rFonts w:hint="default" w:ascii="Times New Roman" w:hAnsi="Times New Roman" w:eastAsia="宋体" w:cs="Times New Roman"/>
          <w:color w:val="auto"/>
          <w:sz w:val="24"/>
          <w:szCs w:val="24"/>
          <w:highlight w:val="none"/>
        </w:rPr>
        <w:t>；</w:t>
      </w:r>
    </w:p>
    <w:p w14:paraId="5D2C545F">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建设性质：新建；</w:t>
      </w:r>
    </w:p>
    <w:p w14:paraId="3FD8EBE4">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r>
        <w:rPr>
          <w:rFonts w:hint="default" w:ascii="Times New Roman" w:hAnsi="Times New Roman" w:eastAsia="宋体" w:cs="Times New Roman"/>
          <w:color w:val="000000"/>
          <w:kern w:val="0"/>
          <w:sz w:val="24"/>
          <w:szCs w:val="24"/>
          <w:highlight w:val="none"/>
          <w:lang w:val="en-US" w:eastAsia="zh-CN" w:bidi="ar"/>
        </w:rPr>
        <w:t>本项目租赁岳阳县荣家湾镇岳阳高新技术产业园区武广路3号创新创业基地C栋</w:t>
      </w:r>
      <w:r>
        <w:rPr>
          <w:rFonts w:hint="eastAsia" w:eastAsia="宋体" w:cs="Times New Roman"/>
          <w:color w:val="000000"/>
          <w:kern w:val="0"/>
          <w:sz w:val="24"/>
          <w:szCs w:val="24"/>
          <w:highlight w:val="none"/>
          <w:lang w:val="en-US" w:eastAsia="zh-CN" w:bidi="ar"/>
        </w:rPr>
        <w:t>（2F）闲置</w:t>
      </w:r>
      <w:r>
        <w:rPr>
          <w:rFonts w:hint="default" w:ascii="Times New Roman" w:hAnsi="Times New Roman" w:eastAsia="宋体" w:cs="Times New Roman"/>
          <w:color w:val="000000"/>
          <w:kern w:val="0"/>
          <w:sz w:val="24"/>
          <w:szCs w:val="24"/>
          <w:highlight w:val="none"/>
          <w:lang w:val="en-US" w:eastAsia="zh-CN" w:bidi="ar"/>
        </w:rPr>
        <w:t>的</w:t>
      </w:r>
      <w:r>
        <w:rPr>
          <w:rFonts w:hint="eastAsia" w:eastAsia="宋体" w:cs="Times New Roman"/>
          <w:color w:val="000000"/>
          <w:kern w:val="0"/>
          <w:sz w:val="24"/>
          <w:szCs w:val="24"/>
          <w:highlight w:val="none"/>
          <w:lang w:val="en-US" w:eastAsia="zh-CN" w:bidi="ar"/>
        </w:rPr>
        <w:t>标准</w:t>
      </w:r>
      <w:r>
        <w:rPr>
          <w:rFonts w:hint="default" w:ascii="Times New Roman" w:hAnsi="Times New Roman" w:eastAsia="宋体" w:cs="Times New Roman"/>
          <w:color w:val="000000"/>
          <w:kern w:val="0"/>
          <w:sz w:val="24"/>
          <w:szCs w:val="24"/>
          <w:highlight w:val="none"/>
          <w:lang w:val="en-US" w:eastAsia="zh-CN" w:bidi="ar"/>
        </w:rPr>
        <w:t>厂房</w:t>
      </w:r>
      <w:r>
        <w:rPr>
          <w:rFonts w:hint="default" w:ascii="Times New Roman" w:hAnsi="Times New Roman" w:eastAsia="宋体" w:cs="Times New Roman"/>
          <w:color w:val="auto"/>
          <w:sz w:val="24"/>
          <w:szCs w:val="24"/>
          <w:highlight w:val="none"/>
        </w:rPr>
        <w:t>；</w:t>
      </w:r>
    </w:p>
    <w:p w14:paraId="5CD79B11">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投资总额：</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00万元人民币</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环保投资占</w:t>
      </w:r>
      <w:r>
        <w:rPr>
          <w:rFonts w:hint="default" w:ascii="Times New Roman" w:hAnsi="Times New Roman" w:eastAsia="宋体" w:cs="Times New Roman"/>
          <w:color w:val="0C0C0C"/>
          <w:kern w:val="0"/>
          <w:sz w:val="24"/>
          <w:szCs w:val="24"/>
          <w:highlight w:val="none"/>
          <w:lang w:val="en-US" w:eastAsia="zh-CN" w:bidi="ar"/>
        </w:rPr>
        <w:t>34.1</w:t>
      </w:r>
      <w:r>
        <w:rPr>
          <w:rFonts w:hint="eastAsia" w:ascii="Times New Roman" w:hAnsi="Times New Roman" w:eastAsia="宋体" w:cs="Times New Roman"/>
          <w:sz w:val="24"/>
          <w:szCs w:val="24"/>
          <w:highlight w:val="none"/>
          <w:lang w:val="en-US" w:eastAsia="zh-CN"/>
        </w:rPr>
        <w:t>万）</w:t>
      </w:r>
      <w:r>
        <w:rPr>
          <w:rFonts w:hint="default" w:ascii="Times New Roman" w:hAnsi="Times New Roman" w:eastAsia="宋体" w:cs="Times New Roman"/>
          <w:sz w:val="24"/>
          <w:szCs w:val="24"/>
          <w:highlight w:val="none"/>
        </w:rPr>
        <w:t>。</w:t>
      </w:r>
    </w:p>
    <w:p w14:paraId="625C10F2">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用地面积</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z w:val="24"/>
          <w:szCs w:val="24"/>
          <w:highlight w:val="none"/>
        </w:rPr>
        <w:t>2245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14:paraId="426C392E">
      <w:pPr>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z w:val="24"/>
          <w:szCs w:val="24"/>
          <w:highlight w:val="none"/>
        </w:rPr>
        <w:t>建设规模：项目建成后，</w:t>
      </w:r>
      <w:r>
        <w:rPr>
          <w:rFonts w:hint="default" w:ascii="Times New Roman" w:hAnsi="Times New Roman" w:eastAsia="宋体" w:cs="Times New Roman"/>
          <w:color w:val="auto"/>
          <w:sz w:val="24"/>
          <w:szCs w:val="24"/>
          <w:highlight w:val="none"/>
        </w:rPr>
        <w:t>生物酶制剂年产</w:t>
      </w:r>
      <w:r>
        <w:rPr>
          <w:rFonts w:hint="default" w:ascii="Times New Roman" w:hAnsi="Times New Roman" w:eastAsia="宋体" w:cs="Times New Roman"/>
          <w:color w:val="auto"/>
          <w:kern w:val="0"/>
          <w:sz w:val="24"/>
          <w:szCs w:val="24"/>
          <w:highlight w:val="none"/>
        </w:rPr>
        <w:t>3500</w:t>
      </w:r>
      <w:r>
        <w:rPr>
          <w:rFonts w:hint="default" w:ascii="Times New Roman" w:hAnsi="Times New Roman" w:eastAsia="宋体" w:cs="Times New Roman"/>
          <w:color w:val="auto"/>
          <w:sz w:val="24"/>
          <w:szCs w:val="24"/>
          <w:highlight w:val="none"/>
        </w:rPr>
        <w:t>t，酶制品助剂年产</w:t>
      </w:r>
      <w:r>
        <w:rPr>
          <w:rFonts w:hint="default" w:ascii="Times New Roman" w:hAnsi="Times New Roman" w:eastAsia="宋体" w:cs="Times New Roman"/>
          <w:color w:val="auto"/>
          <w:kern w:val="0"/>
          <w:sz w:val="24"/>
          <w:szCs w:val="24"/>
          <w:highlight w:val="none"/>
        </w:rPr>
        <w:t>1500</w:t>
      </w:r>
      <w:r>
        <w:rPr>
          <w:rFonts w:hint="default" w:ascii="Times New Roman" w:hAnsi="Times New Roman" w:eastAsia="宋体" w:cs="Times New Roman"/>
          <w:color w:val="auto"/>
          <w:sz w:val="24"/>
          <w:szCs w:val="24"/>
          <w:highlight w:val="none"/>
        </w:rPr>
        <w:t>t</w:t>
      </w:r>
      <w:r>
        <w:rPr>
          <w:rFonts w:hint="eastAsia" w:ascii="Times New Roman" w:hAnsi="Times New Roman" w:eastAsia="宋体" w:cs="Times New Roman"/>
          <w:color w:val="auto"/>
          <w:sz w:val="24"/>
          <w:szCs w:val="24"/>
          <w:highlight w:val="none"/>
          <w:lang w:eastAsia="zh-CN"/>
        </w:rPr>
        <w:t>；</w:t>
      </w:r>
    </w:p>
    <w:p w14:paraId="581F25B3">
      <w:pPr>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施工周期</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约2个月。</w:t>
      </w:r>
    </w:p>
    <w:p w14:paraId="43A68290">
      <w:pPr>
        <w:ind w:firstLine="480" w:firstLineChars="20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Cs/>
          <w:color w:val="auto"/>
          <w:sz w:val="24"/>
          <w:szCs w:val="24"/>
          <w:highlight w:val="none"/>
        </w:rPr>
        <w:t>劳动定员：</w:t>
      </w:r>
      <w:r>
        <w:rPr>
          <w:rFonts w:hint="default" w:ascii="Times New Roman" w:hAnsi="Times New Roman" w:eastAsia="宋体" w:cs="Times New Roman"/>
          <w:color w:val="auto"/>
          <w:kern w:val="0"/>
          <w:sz w:val="24"/>
          <w:szCs w:val="24"/>
          <w:highlight w:val="none"/>
        </w:rPr>
        <w:t>拟建项目劳动定员为</w:t>
      </w:r>
      <w:r>
        <w:rPr>
          <w:rFonts w:hint="default" w:ascii="Times New Roman" w:hAnsi="Times New Roman" w:eastAsia="宋体" w:cs="Times New Roman"/>
          <w:color w:val="auto"/>
          <w:kern w:val="0"/>
          <w:sz w:val="24"/>
          <w:szCs w:val="24"/>
          <w:highlight w:val="none"/>
          <w:lang w:val="en-US" w:eastAsia="zh-CN"/>
        </w:rPr>
        <w:t>18</w:t>
      </w:r>
      <w:r>
        <w:rPr>
          <w:rFonts w:hint="default" w:ascii="Times New Roman" w:hAnsi="Times New Roman" w:eastAsia="宋体" w:cs="Times New Roman"/>
          <w:color w:val="auto"/>
          <w:kern w:val="0"/>
          <w:sz w:val="24"/>
          <w:szCs w:val="24"/>
          <w:highlight w:val="none"/>
        </w:rPr>
        <w:t>人</w:t>
      </w:r>
      <w:r>
        <w:rPr>
          <w:rFonts w:hint="default" w:ascii="Times New Roman" w:hAnsi="Times New Roman" w:eastAsia="宋体" w:cs="Times New Roman"/>
          <w:color w:val="auto"/>
          <w:kern w:val="0"/>
          <w:sz w:val="24"/>
          <w:szCs w:val="24"/>
          <w:highlight w:val="none"/>
          <w:lang w:eastAsia="zh-CN"/>
        </w:rPr>
        <w:t>；</w:t>
      </w:r>
    </w:p>
    <w:p w14:paraId="0C0D2F94">
      <w:pPr>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kern w:val="0"/>
          <w:sz w:val="24"/>
          <w:szCs w:val="24"/>
          <w:highlight w:val="none"/>
        </w:rPr>
        <w:t>生产班制：本项目年工作日期为3</w:t>
      </w:r>
      <w:r>
        <w:rPr>
          <w:rFonts w:hint="default" w:ascii="Times New Roman" w:hAnsi="Times New Roman" w:eastAsia="宋体" w:cs="Times New Roman"/>
          <w:color w:val="auto"/>
          <w:kern w:val="0"/>
          <w:sz w:val="24"/>
          <w:szCs w:val="24"/>
          <w:highlight w:val="none"/>
          <w:lang w:val="en-US" w:eastAsia="zh-CN"/>
        </w:rPr>
        <w:t>00</w:t>
      </w:r>
      <w:r>
        <w:rPr>
          <w:rFonts w:hint="default" w:ascii="Times New Roman" w:hAnsi="Times New Roman" w:eastAsia="宋体" w:cs="Times New Roman"/>
          <w:color w:val="auto"/>
          <w:kern w:val="0"/>
          <w:sz w:val="24"/>
          <w:szCs w:val="24"/>
          <w:highlight w:val="none"/>
        </w:rPr>
        <w:t>天，工作人员每天工作8小时。</w:t>
      </w:r>
    </w:p>
    <w:p w14:paraId="65B42563">
      <w:pPr>
        <w:pStyle w:val="6"/>
        <w:bidi w:val="0"/>
        <w:rPr>
          <w:highlight w:val="none"/>
        </w:rPr>
      </w:pPr>
      <w:bookmarkStart w:id="78" w:name="_Toc32235"/>
      <w:r>
        <w:rPr>
          <w:highlight w:val="none"/>
        </w:rPr>
        <w:t>3.2</w:t>
      </w:r>
      <w:r>
        <w:rPr>
          <w:rFonts w:hint="eastAsia"/>
          <w:highlight w:val="none"/>
          <w:lang w:val="en-US" w:eastAsia="zh-CN"/>
        </w:rPr>
        <w:t xml:space="preserve"> </w:t>
      </w:r>
      <w:r>
        <w:rPr>
          <w:highlight w:val="none"/>
        </w:rPr>
        <w:t>建设项目内容</w:t>
      </w:r>
      <w:bookmarkEnd w:id="78"/>
    </w:p>
    <w:p w14:paraId="0D579D40">
      <w:pPr>
        <w:ind w:firstLine="480" w:firstLineChars="200"/>
        <w:rPr>
          <w:rFonts w:hint="eastAsia" w:ascii="Times New Roman" w:hAnsi="Times New Roman" w:eastAsia="宋体" w:cs="Times New Roman"/>
          <w:color w:val="auto"/>
          <w:kern w:val="0"/>
          <w:sz w:val="24"/>
          <w:szCs w:val="24"/>
          <w:highlight w:val="none"/>
          <w:lang w:eastAsia="zh-CN"/>
        </w:rPr>
      </w:pPr>
      <w:r>
        <w:rPr>
          <w:rFonts w:hint="eastAsia" w:ascii="Times New Roman" w:hAnsi="Times New Roman" w:eastAsia="宋体" w:cs="Times New Roman"/>
          <w:color w:val="auto"/>
          <w:kern w:val="0"/>
          <w:sz w:val="24"/>
          <w:szCs w:val="24"/>
          <w:highlight w:val="none"/>
        </w:rPr>
        <w:t>本项目租赁岳阳县荣家湾镇岳阳高新技术产业园区武广路3号创新创业基地C栋</w:t>
      </w:r>
      <w:r>
        <w:rPr>
          <w:rFonts w:hint="eastAsia"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2F</w:t>
      </w:r>
      <w:r>
        <w:rPr>
          <w:rFonts w:hint="eastAsia"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已建成</w:t>
      </w:r>
      <w:r>
        <w:rPr>
          <w:rFonts w:hint="eastAsia" w:eastAsia="宋体" w:cs="Times New Roman"/>
          <w:color w:val="auto"/>
          <w:kern w:val="0"/>
          <w:sz w:val="24"/>
          <w:szCs w:val="24"/>
          <w:highlight w:val="none"/>
          <w:lang w:val="en-US" w:eastAsia="zh-CN"/>
        </w:rPr>
        <w:t>的闲置标准</w:t>
      </w:r>
      <w:r>
        <w:rPr>
          <w:rFonts w:hint="eastAsia" w:ascii="Times New Roman" w:hAnsi="Times New Roman" w:eastAsia="宋体" w:cs="Times New Roman"/>
          <w:color w:val="auto"/>
          <w:kern w:val="0"/>
          <w:sz w:val="24"/>
          <w:szCs w:val="24"/>
          <w:highlight w:val="none"/>
        </w:rPr>
        <w:t>厂房</w:t>
      </w:r>
      <w:r>
        <w:rPr>
          <w:rFonts w:hint="eastAsia" w:ascii="Times New Roman" w:hAnsi="Times New Roman" w:eastAsia="宋体" w:cs="Times New Roman"/>
          <w:color w:val="auto"/>
          <w:kern w:val="0"/>
          <w:sz w:val="24"/>
          <w:szCs w:val="24"/>
          <w:highlight w:val="none"/>
          <w:lang w:val="en-US" w:eastAsia="zh-CN"/>
        </w:rPr>
        <w:t>进行生产，</w:t>
      </w:r>
      <w:r>
        <w:rPr>
          <w:rFonts w:hint="default" w:ascii="Times New Roman" w:hAnsi="Times New Roman" w:eastAsia="宋体" w:cs="Times New Roman"/>
          <w:color w:val="auto"/>
          <w:kern w:val="0"/>
          <w:sz w:val="24"/>
          <w:szCs w:val="24"/>
          <w:highlight w:val="none"/>
        </w:rPr>
        <w:t>本项目由主要建设内容及其建设情况见表3.</w:t>
      </w:r>
      <w:r>
        <w:rPr>
          <w:rFonts w:hint="eastAsia" w:ascii="Times New Roman" w:hAnsi="Times New Roman" w:eastAsia="宋体" w:cs="Times New Roman"/>
          <w:color w:val="auto"/>
          <w:kern w:val="0"/>
          <w:sz w:val="24"/>
          <w:szCs w:val="24"/>
          <w:highlight w:val="none"/>
          <w:lang w:val="en-US" w:eastAsia="zh-CN"/>
        </w:rPr>
        <w:t>2</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1</w:t>
      </w:r>
      <w:r>
        <w:rPr>
          <w:rFonts w:hint="eastAsia" w:ascii="Times New Roman" w:hAnsi="Times New Roman" w:eastAsia="宋体" w:cs="Times New Roman"/>
          <w:color w:val="auto"/>
          <w:kern w:val="0"/>
          <w:sz w:val="24"/>
          <w:szCs w:val="24"/>
          <w:highlight w:val="none"/>
          <w:lang w:eastAsia="zh-CN"/>
        </w:rPr>
        <w:t>。</w:t>
      </w:r>
    </w:p>
    <w:p w14:paraId="1A1509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ighlight w:val="none"/>
          <w:lang w:eastAsia="zh-CN"/>
        </w:rPr>
      </w:pPr>
      <w:r>
        <w:rPr>
          <w:rFonts w:hint="default" w:ascii="Times New Roman" w:hAnsi="Times New Roman" w:eastAsia="宋体" w:cs="Times New Roman"/>
          <w:b/>
          <w:bCs/>
          <w:color w:val="auto"/>
          <w:kern w:val="0"/>
          <w:sz w:val="24"/>
          <w:szCs w:val="24"/>
          <w:highlight w:val="none"/>
        </w:rPr>
        <w:t>表3.</w:t>
      </w:r>
      <w:r>
        <w:rPr>
          <w:rFonts w:hint="eastAsia"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rPr>
        <w:t>-</w:t>
      </w:r>
      <w:r>
        <w:rPr>
          <w:rFonts w:hint="eastAsia"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 xml:space="preserve"> 项目建设内容组成一览表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72"/>
        <w:gridCol w:w="1039"/>
        <w:gridCol w:w="1228"/>
        <w:gridCol w:w="5073"/>
      </w:tblGrid>
      <w:tr w14:paraId="6AA43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tcBorders>
              <w:tl2br w:val="nil"/>
              <w:tr2bl w:val="nil"/>
            </w:tcBorders>
            <w:vAlign w:val="center"/>
          </w:tcPr>
          <w:p w14:paraId="03B80E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4F7039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单元名称</w:t>
            </w:r>
          </w:p>
        </w:tc>
        <w:tc>
          <w:tcPr>
            <w:tcW w:w="2979" w:type="pct"/>
            <w:tcBorders>
              <w:tl2br w:val="nil"/>
              <w:tr2bl w:val="nil"/>
            </w:tcBorders>
            <w:vAlign w:val="center"/>
          </w:tcPr>
          <w:p w14:paraId="4D1A48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b/>
                <w:bCs/>
                <w:sz w:val="21"/>
                <w:szCs w:val="21"/>
                <w:highlight w:val="none"/>
                <w:u w:val="none"/>
              </w:rPr>
              <w:t>工程规模</w:t>
            </w:r>
          </w:p>
        </w:tc>
      </w:tr>
      <w:tr w14:paraId="505C7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688" w:type="pct"/>
            <w:vMerge w:val="restart"/>
            <w:tcBorders>
              <w:tl2br w:val="nil"/>
              <w:tr2bl w:val="nil"/>
            </w:tcBorders>
            <w:vAlign w:val="center"/>
          </w:tcPr>
          <w:p w14:paraId="232E0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r>
              <w:rPr>
                <w:rFonts w:hint="default" w:ascii="Times New Roman" w:hAnsi="Times New Roman" w:eastAsia="宋体" w:cs="Times New Roman"/>
                <w:b/>
                <w:bCs/>
                <w:sz w:val="21"/>
                <w:szCs w:val="21"/>
                <w:highlight w:val="none"/>
                <w:u w:val="none"/>
              </w:rPr>
              <w:t>主体工程</w:t>
            </w:r>
          </w:p>
        </w:tc>
        <w:tc>
          <w:tcPr>
            <w:tcW w:w="610" w:type="pct"/>
            <w:vMerge w:val="restart"/>
            <w:tcBorders>
              <w:tl2br w:val="nil"/>
              <w:tr2bl w:val="nil"/>
            </w:tcBorders>
            <w:vAlign w:val="center"/>
          </w:tcPr>
          <w:p w14:paraId="20FF31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生产厂房</w:t>
            </w:r>
          </w:p>
        </w:tc>
        <w:tc>
          <w:tcPr>
            <w:tcW w:w="721" w:type="pct"/>
            <w:tcBorders>
              <w:tl2br w:val="nil"/>
              <w:tr2bl w:val="nil"/>
            </w:tcBorders>
            <w:vAlign w:val="center"/>
          </w:tcPr>
          <w:p w14:paraId="1A3C11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color w:val="000000"/>
                <w:kern w:val="0"/>
                <w:sz w:val="21"/>
                <w:szCs w:val="21"/>
                <w:highlight w:val="none"/>
                <w:u w:val="none"/>
                <w:lang w:val="en-US" w:eastAsia="zh-CN"/>
              </w:rPr>
              <w:t>液态产品复配车间</w:t>
            </w:r>
            <w:r>
              <w:rPr>
                <w:rFonts w:hint="eastAsia" w:eastAsia="宋体" w:cs="Times New Roman"/>
                <w:color w:val="000000"/>
                <w:kern w:val="0"/>
                <w:sz w:val="21"/>
                <w:szCs w:val="21"/>
                <w:highlight w:val="none"/>
                <w:u w:val="none"/>
                <w:lang w:val="en-US" w:eastAsia="zh-CN"/>
              </w:rPr>
              <w:t>1个</w:t>
            </w:r>
          </w:p>
        </w:tc>
        <w:tc>
          <w:tcPr>
            <w:tcW w:w="2979" w:type="pct"/>
            <w:tcBorders>
              <w:tl2br w:val="nil"/>
              <w:tr2bl w:val="nil"/>
            </w:tcBorders>
            <w:vAlign w:val="center"/>
          </w:tcPr>
          <w:p w14:paraId="6FE98BF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eastAsia" w:eastAsia="宋体" w:cs="Times New Roman"/>
                <w:color w:val="000000"/>
                <w:kern w:val="0"/>
                <w:sz w:val="21"/>
                <w:szCs w:val="21"/>
                <w:highlight w:val="none"/>
                <w:u w:val="none"/>
                <w:lang w:val="en-US" w:eastAsia="zh-CN"/>
              </w:rPr>
              <w:t>位于1层，共</w:t>
            </w:r>
            <w:r>
              <w:rPr>
                <w:rFonts w:hint="default" w:ascii="Times New Roman" w:hAnsi="Times New Roman" w:eastAsia="宋体" w:cs="Times New Roman"/>
                <w:sz w:val="21"/>
                <w:szCs w:val="21"/>
                <w:highlight w:val="none"/>
                <w:u w:val="none"/>
              </w:rPr>
              <w:t xml:space="preserve">占地面积 200 </w:t>
            </w:r>
            <w:r>
              <w:rPr>
                <w:rFonts w:hint="default" w:ascii="Times New Roman" w:hAnsi="Times New Roman" w:eastAsia="宋体" w:cs="Times New Roman"/>
                <w:color w:val="000000"/>
                <w:kern w:val="0"/>
                <w:sz w:val="21"/>
                <w:szCs w:val="21"/>
                <w:highlight w:val="none"/>
                <w:u w:val="none"/>
                <w:lang w:bidi="ar"/>
              </w:rPr>
              <w:t>m</w:t>
            </w:r>
            <w:r>
              <w:rPr>
                <w:rFonts w:hint="default" w:ascii="Times New Roman" w:hAnsi="Times New Roman" w:eastAsia="宋体" w:cs="Times New Roman"/>
                <w:color w:val="000000"/>
                <w:kern w:val="0"/>
                <w:sz w:val="21"/>
                <w:szCs w:val="21"/>
                <w:highlight w:val="none"/>
                <w:u w:val="none"/>
                <w:vertAlign w:val="superscript"/>
                <w:lang w:bidi="ar"/>
              </w:rPr>
              <w:t>2</w:t>
            </w:r>
            <w:r>
              <w:rPr>
                <w:rFonts w:hint="eastAsia" w:eastAsia="宋体" w:cs="Times New Roman"/>
                <w:color w:val="000000"/>
                <w:kern w:val="0"/>
                <w:sz w:val="21"/>
                <w:szCs w:val="21"/>
                <w:highlight w:val="none"/>
                <w:u w:val="none"/>
                <w:vertAlign w:val="baseline"/>
                <w:lang w:eastAsia="zh-CN" w:bidi="ar"/>
              </w:rPr>
              <w:t>，</w:t>
            </w:r>
            <w:r>
              <w:rPr>
                <w:rFonts w:hint="eastAsia" w:eastAsia="宋体" w:cs="Times New Roman"/>
                <w:color w:val="000000"/>
                <w:kern w:val="0"/>
                <w:sz w:val="21"/>
                <w:szCs w:val="21"/>
                <w:highlight w:val="none"/>
                <w:u w:val="none"/>
                <w:lang w:val="en-US" w:eastAsia="zh-CN"/>
              </w:rPr>
              <w:t>包含1条酶制剂水剂复配生产线</w:t>
            </w:r>
            <w:r>
              <w:rPr>
                <w:rFonts w:hint="eastAsia" w:eastAsia="宋体" w:cs="Times New Roman"/>
                <w:b/>
                <w:bCs/>
                <w:color w:val="000000"/>
                <w:kern w:val="0"/>
                <w:sz w:val="21"/>
                <w:szCs w:val="21"/>
                <w:highlight w:val="none"/>
                <w:u w:val="none"/>
                <w:lang w:val="en-US" w:eastAsia="zh-CN"/>
              </w:rPr>
              <w:t>1#</w:t>
            </w:r>
            <w:r>
              <w:rPr>
                <w:rFonts w:hint="eastAsia" w:eastAsia="宋体" w:cs="Times New Roman"/>
                <w:b w:val="0"/>
                <w:bCs w:val="0"/>
                <w:color w:val="000000"/>
                <w:kern w:val="0"/>
                <w:sz w:val="21"/>
                <w:szCs w:val="21"/>
                <w:highlight w:val="none"/>
                <w:u w:val="none"/>
                <w:lang w:val="en-US" w:eastAsia="zh-CN"/>
              </w:rPr>
              <w:t>（</w:t>
            </w:r>
            <w:r>
              <w:rPr>
                <w:rFonts w:hint="eastAsia" w:eastAsia="宋体" w:cs="Times New Roman"/>
                <w:b w:val="0"/>
                <w:bCs w:val="0"/>
                <w:sz w:val="21"/>
                <w:szCs w:val="21"/>
                <w:highlight w:val="none"/>
                <w:u w:val="none"/>
                <w:lang w:val="en-US" w:eastAsia="zh-CN"/>
              </w:rPr>
              <w:t>产品为</w:t>
            </w:r>
            <w:r>
              <w:rPr>
                <w:rFonts w:hint="eastAsia" w:eastAsia="宋体" w:cs="Times New Roman"/>
                <w:b w:val="0"/>
                <w:bCs w:val="0"/>
                <w:color w:val="000000"/>
                <w:kern w:val="0"/>
                <w:sz w:val="21"/>
                <w:szCs w:val="21"/>
                <w:highlight w:val="none"/>
                <w:u w:val="none"/>
                <w:lang w:val="en-US" w:eastAsia="zh-CN"/>
              </w:rPr>
              <w:t>酶制剂水剂）</w:t>
            </w:r>
            <w:r>
              <w:rPr>
                <w:rFonts w:hint="eastAsia" w:eastAsia="宋体" w:cs="Times New Roman"/>
                <w:color w:val="000000"/>
                <w:kern w:val="0"/>
                <w:sz w:val="21"/>
                <w:szCs w:val="21"/>
                <w:highlight w:val="none"/>
                <w:u w:val="none"/>
                <w:lang w:val="en-US" w:eastAsia="zh-CN"/>
              </w:rPr>
              <w:t>；1条配套助剂水剂生产线</w:t>
            </w:r>
            <w:r>
              <w:rPr>
                <w:rFonts w:hint="eastAsia" w:eastAsia="宋体" w:cs="Times New Roman"/>
                <w:b/>
                <w:bCs/>
                <w:color w:val="000000"/>
                <w:kern w:val="0"/>
                <w:sz w:val="21"/>
                <w:szCs w:val="21"/>
                <w:highlight w:val="none"/>
                <w:u w:val="none"/>
                <w:lang w:val="en-US" w:eastAsia="zh-CN"/>
              </w:rPr>
              <w:t>2#</w:t>
            </w:r>
            <w:r>
              <w:rPr>
                <w:rFonts w:hint="eastAsia" w:eastAsia="宋体" w:cs="Times New Roman"/>
                <w:color w:val="000000"/>
                <w:kern w:val="0"/>
                <w:sz w:val="21"/>
                <w:szCs w:val="21"/>
                <w:highlight w:val="none"/>
                <w:u w:val="none"/>
                <w:lang w:val="en-US" w:eastAsia="zh-CN"/>
              </w:rPr>
              <w:t>（</w:t>
            </w:r>
            <w:r>
              <w:rPr>
                <w:rFonts w:hint="eastAsia" w:eastAsia="宋体" w:cs="Times New Roman"/>
                <w:b w:val="0"/>
                <w:bCs w:val="0"/>
                <w:sz w:val="21"/>
                <w:szCs w:val="21"/>
                <w:highlight w:val="none"/>
                <w:u w:val="none"/>
                <w:lang w:val="en-US" w:eastAsia="zh-CN"/>
              </w:rPr>
              <w:t>产品为</w:t>
            </w:r>
            <w:r>
              <w:rPr>
                <w:rFonts w:hint="eastAsia" w:eastAsia="宋体" w:cs="Times New Roman"/>
                <w:color w:val="000000"/>
                <w:kern w:val="0"/>
                <w:sz w:val="21"/>
                <w:szCs w:val="21"/>
                <w:highlight w:val="none"/>
                <w:u w:val="none"/>
                <w:lang w:val="en-US" w:eastAsia="zh-CN"/>
              </w:rPr>
              <w:t>硅油）。</w:t>
            </w:r>
          </w:p>
        </w:tc>
      </w:tr>
      <w:tr w14:paraId="31351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88" w:type="pct"/>
            <w:vMerge w:val="continue"/>
            <w:tcBorders>
              <w:tl2br w:val="nil"/>
              <w:tr2bl w:val="nil"/>
            </w:tcBorders>
            <w:vAlign w:val="center"/>
          </w:tcPr>
          <w:p w14:paraId="033D0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610" w:type="pct"/>
            <w:vMerge w:val="continue"/>
            <w:tcBorders>
              <w:tl2br w:val="nil"/>
              <w:tr2bl w:val="nil"/>
            </w:tcBorders>
            <w:vAlign w:val="center"/>
          </w:tcPr>
          <w:p w14:paraId="160934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p>
        </w:tc>
        <w:tc>
          <w:tcPr>
            <w:tcW w:w="721" w:type="pct"/>
            <w:tcBorders>
              <w:tl2br w:val="nil"/>
              <w:tr2bl w:val="nil"/>
            </w:tcBorders>
            <w:vAlign w:val="center"/>
          </w:tcPr>
          <w:p w14:paraId="65D16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粉剂复配车间</w:t>
            </w:r>
            <w:r>
              <w:rPr>
                <w:rFonts w:hint="eastAsia" w:eastAsia="宋体" w:cs="Times New Roman"/>
                <w:sz w:val="21"/>
                <w:szCs w:val="21"/>
                <w:highlight w:val="none"/>
                <w:u w:val="none"/>
                <w:lang w:val="en-US" w:eastAsia="zh-CN"/>
              </w:rPr>
              <w:t>1</w:t>
            </w:r>
            <w:r>
              <w:rPr>
                <w:rFonts w:hint="default" w:ascii="Times New Roman" w:hAnsi="Times New Roman" w:eastAsia="宋体" w:cs="Times New Roman"/>
                <w:sz w:val="21"/>
                <w:szCs w:val="21"/>
                <w:highlight w:val="none"/>
                <w:u w:val="none"/>
              </w:rPr>
              <w:t>个</w:t>
            </w:r>
          </w:p>
        </w:tc>
        <w:tc>
          <w:tcPr>
            <w:tcW w:w="2979" w:type="pct"/>
            <w:tcBorders>
              <w:tl2br w:val="nil"/>
              <w:tr2bl w:val="nil"/>
            </w:tcBorders>
            <w:vAlign w:val="center"/>
          </w:tcPr>
          <w:p w14:paraId="18D551E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none"/>
                <w:lang w:val="en-US" w:eastAsia="zh-CN"/>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占地面积100</w:t>
            </w:r>
            <w:r>
              <w:rPr>
                <w:rFonts w:hint="default" w:ascii="Times New Roman" w:hAnsi="Times New Roman" w:eastAsia="宋体" w:cs="Times New Roman"/>
                <w:color w:val="000000"/>
                <w:kern w:val="0"/>
                <w:sz w:val="21"/>
                <w:szCs w:val="21"/>
                <w:highlight w:val="none"/>
                <w:u w:val="none"/>
                <w:lang w:bidi="ar"/>
              </w:rPr>
              <w:t>m</w:t>
            </w:r>
            <w:r>
              <w:rPr>
                <w:rFonts w:hint="default" w:ascii="Times New Roman" w:hAnsi="Times New Roman" w:eastAsia="宋体" w:cs="Times New Roman"/>
                <w:color w:val="000000"/>
                <w:kern w:val="0"/>
                <w:sz w:val="21"/>
                <w:szCs w:val="21"/>
                <w:highlight w:val="none"/>
                <w:u w:val="none"/>
                <w:vertAlign w:val="superscript"/>
                <w:lang w:bidi="ar"/>
              </w:rPr>
              <w:t>2</w:t>
            </w:r>
            <w:r>
              <w:rPr>
                <w:rFonts w:hint="eastAsia" w:eastAsia="宋体" w:cs="Times New Roman"/>
                <w:sz w:val="21"/>
                <w:szCs w:val="21"/>
                <w:highlight w:val="none"/>
                <w:u w:val="none"/>
                <w:lang w:eastAsia="zh-CN"/>
              </w:rPr>
              <w:t>，</w:t>
            </w:r>
            <w:r>
              <w:rPr>
                <w:rFonts w:hint="eastAsia" w:eastAsia="宋体" w:cs="Times New Roman"/>
                <w:sz w:val="21"/>
                <w:szCs w:val="21"/>
                <w:highlight w:val="none"/>
                <w:u w:val="none"/>
                <w:lang w:val="en-US" w:eastAsia="zh-CN"/>
              </w:rPr>
              <w:t>包含1条酶制剂粉剂及助剂粉剂复配生产线</w:t>
            </w:r>
            <w:r>
              <w:rPr>
                <w:rFonts w:hint="eastAsia" w:eastAsia="宋体" w:cs="Times New Roman"/>
                <w:b/>
                <w:bCs/>
                <w:sz w:val="21"/>
                <w:szCs w:val="21"/>
                <w:highlight w:val="none"/>
                <w:u w:val="none"/>
                <w:lang w:val="en-US" w:eastAsia="zh-CN"/>
              </w:rPr>
              <w:t>3#</w:t>
            </w:r>
            <w:r>
              <w:rPr>
                <w:rFonts w:hint="eastAsia" w:eastAsia="宋体" w:cs="Times New Roman"/>
                <w:b w:val="0"/>
                <w:bCs w:val="0"/>
                <w:sz w:val="21"/>
                <w:szCs w:val="21"/>
                <w:highlight w:val="none"/>
                <w:u w:val="none"/>
                <w:lang w:val="en-US" w:eastAsia="zh-CN"/>
              </w:rPr>
              <w:t>（产品为酶制剂粉剂及防染粉2#）</w:t>
            </w:r>
          </w:p>
        </w:tc>
      </w:tr>
      <w:tr w14:paraId="68A41A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688" w:type="pct"/>
            <w:vMerge w:val="continue"/>
            <w:tcBorders>
              <w:tl2br w:val="nil"/>
              <w:tr2bl w:val="nil"/>
            </w:tcBorders>
            <w:vAlign w:val="center"/>
          </w:tcPr>
          <w:p w14:paraId="3A77B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610" w:type="pct"/>
            <w:vMerge w:val="continue"/>
            <w:tcBorders>
              <w:tl2br w:val="nil"/>
              <w:tr2bl w:val="nil"/>
            </w:tcBorders>
            <w:vAlign w:val="center"/>
          </w:tcPr>
          <w:p w14:paraId="035A2C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p>
        </w:tc>
        <w:tc>
          <w:tcPr>
            <w:tcW w:w="721" w:type="pct"/>
            <w:tcBorders>
              <w:tl2br w:val="nil"/>
              <w:tr2bl w:val="nil"/>
            </w:tcBorders>
            <w:vAlign w:val="center"/>
          </w:tcPr>
          <w:p w14:paraId="4171E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color w:val="000000"/>
                <w:kern w:val="0"/>
                <w:sz w:val="21"/>
                <w:szCs w:val="21"/>
                <w:highlight w:val="none"/>
                <w:u w:val="none"/>
                <w:lang w:bidi="ar"/>
              </w:rPr>
              <w:t>固体助剂车间</w:t>
            </w:r>
            <w:r>
              <w:rPr>
                <w:rFonts w:hint="eastAsia" w:eastAsia="宋体" w:cs="Times New Roman"/>
                <w:color w:val="000000"/>
                <w:kern w:val="0"/>
                <w:sz w:val="21"/>
                <w:szCs w:val="21"/>
                <w:highlight w:val="none"/>
                <w:u w:val="none"/>
                <w:lang w:val="en-US" w:eastAsia="zh-CN" w:bidi="ar"/>
              </w:rPr>
              <w:t>1个</w:t>
            </w:r>
          </w:p>
        </w:tc>
        <w:tc>
          <w:tcPr>
            <w:tcW w:w="2979" w:type="pct"/>
            <w:tcBorders>
              <w:tl2br w:val="nil"/>
              <w:tr2bl w:val="nil"/>
            </w:tcBorders>
            <w:vAlign w:val="center"/>
          </w:tcPr>
          <w:p w14:paraId="2F87F07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u w:val="none"/>
                <w:lang w:val="en-US" w:eastAsia="zh-CN"/>
              </w:rPr>
            </w:pPr>
            <w:r>
              <w:rPr>
                <w:rFonts w:hint="eastAsia" w:eastAsia="宋体" w:cs="Times New Roman"/>
                <w:color w:val="000000"/>
                <w:kern w:val="0"/>
                <w:sz w:val="21"/>
                <w:szCs w:val="21"/>
                <w:highlight w:val="none"/>
                <w:u w:val="none"/>
                <w:lang w:val="en-US" w:eastAsia="zh-CN"/>
              </w:rPr>
              <w:t>位于1层，</w:t>
            </w:r>
            <w:r>
              <w:rPr>
                <w:rFonts w:hint="eastAsia" w:eastAsia="宋体" w:cs="Times New Roman"/>
                <w:color w:val="000000"/>
                <w:kern w:val="0"/>
                <w:sz w:val="21"/>
                <w:szCs w:val="21"/>
                <w:highlight w:val="none"/>
                <w:u w:val="none"/>
                <w:lang w:val="en-US" w:eastAsia="zh-CN" w:bidi="ar"/>
              </w:rPr>
              <w:t>共</w:t>
            </w:r>
            <w:r>
              <w:rPr>
                <w:rFonts w:hint="default" w:ascii="Times New Roman" w:hAnsi="Times New Roman" w:eastAsia="宋体" w:cs="Times New Roman"/>
                <w:sz w:val="21"/>
                <w:szCs w:val="21"/>
                <w:highlight w:val="none"/>
                <w:u w:val="none"/>
              </w:rPr>
              <w:t xml:space="preserve">占地面积 300 </w:t>
            </w:r>
            <w:r>
              <w:rPr>
                <w:rFonts w:hint="default" w:ascii="Times New Roman" w:hAnsi="Times New Roman" w:eastAsia="宋体" w:cs="Times New Roman"/>
                <w:color w:val="000000"/>
                <w:kern w:val="0"/>
                <w:sz w:val="21"/>
                <w:szCs w:val="21"/>
                <w:highlight w:val="none"/>
                <w:u w:val="none"/>
                <w:lang w:bidi="ar"/>
              </w:rPr>
              <w:t>m</w:t>
            </w:r>
            <w:r>
              <w:rPr>
                <w:rFonts w:hint="default" w:ascii="Times New Roman" w:hAnsi="Times New Roman" w:eastAsia="宋体" w:cs="Times New Roman"/>
                <w:color w:val="000000"/>
                <w:kern w:val="0"/>
                <w:sz w:val="21"/>
                <w:szCs w:val="21"/>
                <w:highlight w:val="none"/>
                <w:u w:val="none"/>
                <w:vertAlign w:val="superscript"/>
                <w:lang w:bidi="ar"/>
              </w:rPr>
              <w:t>2</w:t>
            </w:r>
            <w:r>
              <w:rPr>
                <w:rFonts w:hint="eastAsia" w:eastAsia="宋体" w:cs="Times New Roman"/>
                <w:sz w:val="21"/>
                <w:szCs w:val="21"/>
                <w:highlight w:val="none"/>
                <w:u w:val="none"/>
                <w:lang w:eastAsia="zh-CN"/>
              </w:rPr>
              <w:t>，</w:t>
            </w:r>
            <w:r>
              <w:rPr>
                <w:rFonts w:hint="eastAsia" w:eastAsia="宋体" w:cs="Times New Roman"/>
                <w:sz w:val="21"/>
                <w:szCs w:val="21"/>
                <w:highlight w:val="none"/>
                <w:u w:val="none"/>
                <w:lang w:val="en-US" w:eastAsia="zh-CN"/>
              </w:rPr>
              <w:t>包</w:t>
            </w:r>
            <w:r>
              <w:rPr>
                <w:rFonts w:hint="eastAsia" w:eastAsia="宋体" w:cs="Times New Roman"/>
                <w:color w:val="000000"/>
                <w:kern w:val="0"/>
                <w:sz w:val="21"/>
                <w:szCs w:val="21"/>
                <w:highlight w:val="none"/>
                <w:u w:val="none"/>
                <w:lang w:val="en-US" w:eastAsia="zh-CN" w:bidi="ar"/>
              </w:rPr>
              <w:t>含1条助剂粉剂生产线</w:t>
            </w:r>
            <w:r>
              <w:rPr>
                <w:rFonts w:hint="eastAsia" w:eastAsia="宋体" w:cs="Times New Roman"/>
                <w:b/>
                <w:bCs/>
                <w:color w:val="000000"/>
                <w:kern w:val="0"/>
                <w:sz w:val="21"/>
                <w:szCs w:val="21"/>
                <w:highlight w:val="none"/>
                <w:u w:val="none"/>
                <w:lang w:val="en-US" w:eastAsia="zh-CN" w:bidi="ar"/>
              </w:rPr>
              <w:t>4#</w:t>
            </w:r>
            <w:r>
              <w:rPr>
                <w:rFonts w:hint="eastAsia" w:eastAsia="宋体" w:cs="Times New Roman"/>
                <w:color w:val="000000"/>
                <w:kern w:val="0"/>
                <w:sz w:val="21"/>
                <w:szCs w:val="21"/>
                <w:highlight w:val="none"/>
                <w:u w:val="none"/>
                <w:lang w:val="en-US" w:eastAsia="zh-CN" w:bidi="ar"/>
              </w:rPr>
              <w:t>（</w:t>
            </w:r>
            <w:r>
              <w:rPr>
                <w:rFonts w:hint="eastAsia" w:eastAsia="宋体" w:cs="Times New Roman"/>
                <w:b w:val="0"/>
                <w:bCs w:val="0"/>
                <w:sz w:val="21"/>
                <w:szCs w:val="21"/>
                <w:highlight w:val="none"/>
                <w:u w:val="none"/>
                <w:lang w:val="en-US" w:eastAsia="zh-CN"/>
              </w:rPr>
              <w:t>产品为</w:t>
            </w:r>
            <w:r>
              <w:rPr>
                <w:rFonts w:hint="eastAsia" w:eastAsia="宋体" w:cs="Times New Roman"/>
                <w:color w:val="000000"/>
                <w:kern w:val="0"/>
                <w:sz w:val="21"/>
                <w:szCs w:val="21"/>
                <w:highlight w:val="none"/>
                <w:u w:val="none"/>
                <w:lang w:val="en-US" w:eastAsia="zh-CN" w:bidi="ar"/>
              </w:rPr>
              <w:t>防染粉1#）；1条助剂水剂生产线</w:t>
            </w:r>
            <w:r>
              <w:rPr>
                <w:rFonts w:hint="eastAsia" w:eastAsia="宋体" w:cs="Times New Roman"/>
                <w:b/>
                <w:bCs/>
                <w:color w:val="000000"/>
                <w:kern w:val="0"/>
                <w:sz w:val="21"/>
                <w:szCs w:val="21"/>
                <w:highlight w:val="none"/>
                <w:u w:val="none"/>
                <w:lang w:val="en-US" w:eastAsia="zh-CN" w:bidi="ar"/>
              </w:rPr>
              <w:t>5#</w:t>
            </w:r>
            <w:r>
              <w:rPr>
                <w:rFonts w:hint="eastAsia" w:eastAsia="宋体" w:cs="Times New Roman"/>
                <w:color w:val="000000"/>
                <w:kern w:val="0"/>
                <w:sz w:val="21"/>
                <w:szCs w:val="21"/>
                <w:highlight w:val="none"/>
                <w:u w:val="none"/>
                <w:lang w:val="en-US" w:eastAsia="zh-CN" w:bidi="ar"/>
              </w:rPr>
              <w:t>（</w:t>
            </w:r>
            <w:r>
              <w:rPr>
                <w:rFonts w:hint="eastAsia" w:eastAsia="宋体" w:cs="Times New Roman"/>
                <w:b w:val="0"/>
                <w:bCs w:val="0"/>
                <w:sz w:val="21"/>
                <w:szCs w:val="21"/>
                <w:highlight w:val="none"/>
                <w:u w:val="none"/>
                <w:lang w:val="en-US" w:eastAsia="zh-CN"/>
              </w:rPr>
              <w:t>产品为</w:t>
            </w:r>
            <w:r>
              <w:rPr>
                <w:rFonts w:hint="eastAsia" w:eastAsia="宋体" w:cs="Times New Roman"/>
                <w:color w:val="000000"/>
                <w:kern w:val="0"/>
                <w:sz w:val="21"/>
                <w:szCs w:val="21"/>
                <w:highlight w:val="none"/>
                <w:u w:val="none"/>
                <w:lang w:val="en-US" w:eastAsia="zh-CN" w:bidi="ar"/>
              </w:rPr>
              <w:t>防染剂）。</w:t>
            </w:r>
          </w:p>
        </w:tc>
      </w:tr>
      <w:tr w14:paraId="40BEE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restart"/>
            <w:tcBorders>
              <w:tl2br w:val="nil"/>
              <w:tr2bl w:val="nil"/>
            </w:tcBorders>
            <w:vAlign w:val="center"/>
          </w:tcPr>
          <w:p w14:paraId="6C65F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r>
              <w:rPr>
                <w:rFonts w:hint="default" w:ascii="Times New Roman" w:hAnsi="Times New Roman" w:eastAsia="宋体" w:cs="Times New Roman"/>
                <w:b/>
                <w:bCs/>
                <w:sz w:val="21"/>
                <w:szCs w:val="21"/>
                <w:highlight w:val="none"/>
                <w:u w:val="none"/>
              </w:rPr>
              <w:t>储运工程</w:t>
            </w:r>
          </w:p>
        </w:tc>
        <w:tc>
          <w:tcPr>
            <w:tcW w:w="1331" w:type="pct"/>
            <w:gridSpan w:val="2"/>
            <w:tcBorders>
              <w:tl2br w:val="nil"/>
              <w:tr2bl w:val="nil"/>
            </w:tcBorders>
            <w:vAlign w:val="center"/>
          </w:tcPr>
          <w:p w14:paraId="64BCB87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rPr>
              <w:t>冷库</w:t>
            </w:r>
            <w:r>
              <w:rPr>
                <w:rFonts w:hint="default" w:ascii="Times New Roman" w:hAnsi="Times New Roman" w:eastAsia="宋体" w:cs="Times New Roman"/>
                <w:sz w:val="21"/>
                <w:szCs w:val="21"/>
                <w:highlight w:val="none"/>
                <w:u w:val="none"/>
                <w:lang w:val="en-US" w:eastAsia="zh-CN"/>
              </w:rPr>
              <w:t>1（存放间）</w:t>
            </w:r>
          </w:p>
        </w:tc>
        <w:tc>
          <w:tcPr>
            <w:tcW w:w="2979" w:type="pct"/>
            <w:tcBorders>
              <w:tl2br w:val="nil"/>
              <w:tr2bl w:val="nil"/>
            </w:tcBorders>
            <w:vAlign w:val="center"/>
          </w:tcPr>
          <w:p w14:paraId="3B5F4A5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占地面积</w:t>
            </w:r>
            <w:r>
              <w:rPr>
                <w:rFonts w:hint="default" w:ascii="Times New Roman" w:hAnsi="Times New Roman" w:eastAsia="宋体" w:cs="Times New Roman"/>
                <w:sz w:val="21"/>
                <w:szCs w:val="21"/>
                <w:highlight w:val="none"/>
                <w:u w:val="none"/>
                <w:lang w:val="en-US" w:eastAsia="zh-CN"/>
              </w:rPr>
              <w:t>31m</w:t>
            </w:r>
            <w:r>
              <w:rPr>
                <w:rFonts w:hint="default" w:ascii="Times New Roman" w:hAnsi="Times New Roman" w:eastAsia="宋体" w:cs="Times New Roman"/>
                <w:sz w:val="21"/>
                <w:szCs w:val="21"/>
                <w:highlight w:val="none"/>
                <w:u w:val="none"/>
                <w:vertAlign w:val="superscript"/>
                <w:lang w:val="en-US" w:eastAsia="zh-CN"/>
              </w:rPr>
              <w:t>2</w:t>
            </w:r>
            <w:r>
              <w:rPr>
                <w:rFonts w:hint="eastAsia" w:ascii="Times New Roman" w:hAnsi="Times New Roman" w:eastAsia="宋体" w:cs="Times New Roman"/>
                <w:sz w:val="21"/>
                <w:szCs w:val="21"/>
                <w:highlight w:val="none"/>
                <w:u w:val="none"/>
                <w:lang w:val="en-US" w:eastAsia="zh-CN"/>
              </w:rPr>
              <w:t>，用于冷冻助剂粉剂冷却</w:t>
            </w:r>
            <w:r>
              <w:rPr>
                <w:rFonts w:hint="eastAsia" w:eastAsia="宋体" w:cs="Times New Roman"/>
                <w:sz w:val="21"/>
                <w:szCs w:val="21"/>
                <w:highlight w:val="none"/>
                <w:u w:val="none"/>
                <w:lang w:val="en-US" w:eastAsia="zh-CN"/>
              </w:rPr>
              <w:t>凝固后</w:t>
            </w:r>
            <w:r>
              <w:rPr>
                <w:rFonts w:hint="eastAsia" w:ascii="Times New Roman" w:hAnsi="Times New Roman" w:eastAsia="宋体" w:cs="Times New Roman"/>
                <w:sz w:val="21"/>
                <w:szCs w:val="21"/>
                <w:highlight w:val="none"/>
                <w:u w:val="none"/>
                <w:lang w:val="en-US" w:eastAsia="zh-CN"/>
              </w:rPr>
              <w:t>的物料</w:t>
            </w:r>
          </w:p>
        </w:tc>
      </w:tr>
      <w:tr w14:paraId="5BCC0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10701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5CA33A94">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冷库2（打粉间）</w:t>
            </w:r>
          </w:p>
        </w:tc>
        <w:tc>
          <w:tcPr>
            <w:tcW w:w="2979" w:type="pct"/>
            <w:tcBorders>
              <w:tl2br w:val="nil"/>
              <w:tr2bl w:val="nil"/>
            </w:tcBorders>
            <w:vAlign w:val="center"/>
          </w:tcPr>
          <w:p w14:paraId="05AD7DD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占地面积</w:t>
            </w:r>
            <w:r>
              <w:rPr>
                <w:rFonts w:hint="default" w:ascii="Times New Roman" w:hAnsi="Times New Roman" w:eastAsia="宋体" w:cs="Times New Roman"/>
                <w:sz w:val="21"/>
                <w:szCs w:val="21"/>
                <w:highlight w:val="none"/>
                <w:u w:val="none"/>
                <w:lang w:val="en-US" w:eastAsia="zh-CN"/>
              </w:rPr>
              <w:t>44m</w:t>
            </w:r>
            <w:r>
              <w:rPr>
                <w:rFonts w:hint="default" w:ascii="Times New Roman" w:hAnsi="Times New Roman" w:eastAsia="宋体" w:cs="Times New Roman"/>
                <w:sz w:val="21"/>
                <w:szCs w:val="21"/>
                <w:highlight w:val="none"/>
                <w:u w:val="none"/>
                <w:vertAlign w:val="superscript"/>
                <w:lang w:val="en-US" w:eastAsia="zh-CN"/>
              </w:rPr>
              <w:t>2</w:t>
            </w:r>
            <w:r>
              <w:rPr>
                <w:rFonts w:hint="eastAsia" w:ascii="Times New Roman" w:hAnsi="Times New Roman" w:eastAsia="宋体" w:cs="Times New Roman"/>
                <w:sz w:val="21"/>
                <w:szCs w:val="21"/>
                <w:highlight w:val="none"/>
                <w:u w:val="none"/>
                <w:lang w:val="en-US" w:eastAsia="zh-CN"/>
              </w:rPr>
              <w:t>，对冷冻好的助剂粉剂半成品进行粉碎</w:t>
            </w:r>
          </w:p>
        </w:tc>
      </w:tr>
      <w:tr w14:paraId="43903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30B127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0513B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highlight w:val="none"/>
                <w:u w:val="none"/>
                <w:lang w:val="en-US" w:eastAsia="zh-CN"/>
              </w:rPr>
            </w:pPr>
            <w:r>
              <w:rPr>
                <w:rFonts w:hint="default" w:ascii="Times New Roman" w:hAnsi="Times New Roman" w:eastAsia="宋体" w:cs="Times New Roman"/>
                <w:bCs/>
                <w:sz w:val="21"/>
                <w:szCs w:val="21"/>
                <w:highlight w:val="none"/>
                <w:u w:val="none"/>
                <w:lang w:val="en-US" w:eastAsia="zh-CN"/>
              </w:rPr>
              <w:t>热</w:t>
            </w:r>
            <w:r>
              <w:rPr>
                <w:rFonts w:hint="eastAsia" w:ascii="Times New Roman" w:hAnsi="Times New Roman" w:eastAsia="宋体" w:cs="Times New Roman"/>
                <w:bCs/>
                <w:sz w:val="21"/>
                <w:szCs w:val="21"/>
                <w:highlight w:val="none"/>
                <w:u w:val="none"/>
                <w:lang w:val="en-US" w:eastAsia="zh-CN"/>
              </w:rPr>
              <w:t>料</w:t>
            </w:r>
            <w:r>
              <w:rPr>
                <w:rFonts w:hint="default" w:ascii="Times New Roman" w:hAnsi="Times New Roman" w:eastAsia="宋体" w:cs="Times New Roman"/>
                <w:bCs/>
                <w:sz w:val="21"/>
                <w:szCs w:val="21"/>
                <w:highlight w:val="none"/>
                <w:u w:val="none"/>
                <w:lang w:val="en-US" w:eastAsia="zh-CN"/>
              </w:rPr>
              <w:t>盘存放区</w:t>
            </w:r>
          </w:p>
        </w:tc>
        <w:tc>
          <w:tcPr>
            <w:tcW w:w="2979" w:type="pct"/>
            <w:tcBorders>
              <w:tl2br w:val="nil"/>
              <w:tr2bl w:val="nil"/>
            </w:tcBorders>
            <w:vAlign w:val="center"/>
          </w:tcPr>
          <w:p w14:paraId="1784DD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占地面积100 m</w:t>
            </w:r>
            <w:r>
              <w:rPr>
                <w:rFonts w:hint="default" w:ascii="Times New Roman" w:hAnsi="Times New Roman" w:eastAsia="宋体" w:cs="Times New Roman"/>
                <w:sz w:val="21"/>
                <w:szCs w:val="21"/>
                <w:highlight w:val="none"/>
                <w:u w:val="none"/>
                <w:vertAlign w:val="superscript"/>
              </w:rPr>
              <w:t>2</w:t>
            </w:r>
            <w:r>
              <w:rPr>
                <w:rFonts w:hint="eastAsia" w:ascii="Times New Roman" w:hAnsi="Times New Roman" w:eastAsia="宋体" w:cs="Times New Roman"/>
                <w:sz w:val="21"/>
                <w:szCs w:val="21"/>
                <w:highlight w:val="none"/>
                <w:u w:val="none"/>
                <w:vertAlign w:val="baseline"/>
                <w:lang w:eastAsia="zh-CN"/>
              </w:rPr>
              <w:t>，</w:t>
            </w:r>
            <w:r>
              <w:rPr>
                <w:rFonts w:hint="eastAsia" w:ascii="Times New Roman" w:hAnsi="Times New Roman" w:eastAsia="宋体" w:cs="Times New Roman"/>
                <w:sz w:val="21"/>
                <w:szCs w:val="21"/>
                <w:highlight w:val="none"/>
                <w:u w:val="none"/>
                <w:vertAlign w:val="baseline"/>
                <w:lang w:val="en-US" w:eastAsia="zh-CN"/>
              </w:rPr>
              <w:t>用于存放热料盘</w:t>
            </w:r>
          </w:p>
        </w:tc>
      </w:tr>
      <w:tr w14:paraId="164B3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5D206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22878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highlight w:val="none"/>
                <w:u w:val="none"/>
                <w:lang w:eastAsia="zh-CN"/>
              </w:rPr>
            </w:pPr>
            <w:r>
              <w:rPr>
                <w:rFonts w:hint="default" w:ascii="Times New Roman" w:hAnsi="Times New Roman" w:eastAsia="宋体" w:cs="Times New Roman"/>
                <w:bCs/>
                <w:sz w:val="21"/>
                <w:szCs w:val="21"/>
                <w:highlight w:val="none"/>
                <w:u w:val="none"/>
              </w:rPr>
              <w:t>原料</w:t>
            </w:r>
            <w:r>
              <w:rPr>
                <w:rFonts w:hint="default" w:ascii="Times New Roman" w:hAnsi="Times New Roman" w:eastAsia="宋体" w:cs="Times New Roman"/>
                <w:bCs/>
                <w:sz w:val="21"/>
                <w:szCs w:val="21"/>
                <w:highlight w:val="none"/>
                <w:u w:val="none"/>
                <w:lang w:val="en-US" w:eastAsia="zh-CN"/>
              </w:rPr>
              <w:t>存放区</w:t>
            </w:r>
          </w:p>
        </w:tc>
        <w:tc>
          <w:tcPr>
            <w:tcW w:w="2979" w:type="pct"/>
            <w:tcBorders>
              <w:tl2br w:val="nil"/>
              <w:tr2bl w:val="nil"/>
            </w:tcBorders>
            <w:vAlign w:val="center"/>
          </w:tcPr>
          <w:p w14:paraId="324BB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eastAsia="zh-CN"/>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敞开式存放</w:t>
            </w:r>
            <w:r>
              <w:rPr>
                <w:rFonts w:hint="default" w:ascii="Times New Roman" w:hAnsi="Times New Roman" w:eastAsia="宋体" w:cs="Times New Roman"/>
                <w:sz w:val="21"/>
                <w:szCs w:val="21"/>
                <w:highlight w:val="none"/>
                <w:u w:val="none"/>
                <w:lang w:eastAsia="zh-CN"/>
              </w:rPr>
              <w:t>，</w:t>
            </w:r>
            <w:r>
              <w:rPr>
                <w:rFonts w:hint="default" w:ascii="Times New Roman" w:hAnsi="Times New Roman" w:eastAsia="宋体" w:cs="Times New Roman"/>
                <w:sz w:val="21"/>
                <w:szCs w:val="21"/>
                <w:highlight w:val="none"/>
                <w:u w:val="none"/>
              </w:rPr>
              <w:t xml:space="preserve">占地面积900 </w:t>
            </w:r>
            <w:r>
              <w:rPr>
                <w:rFonts w:hint="default" w:ascii="Times New Roman" w:hAnsi="Times New Roman" w:eastAsia="宋体" w:cs="Times New Roman"/>
                <w:color w:val="000000"/>
                <w:kern w:val="0"/>
                <w:sz w:val="21"/>
                <w:szCs w:val="21"/>
                <w:highlight w:val="none"/>
                <w:u w:val="none"/>
                <w:lang w:bidi="ar"/>
              </w:rPr>
              <w:t>m</w:t>
            </w:r>
            <w:r>
              <w:rPr>
                <w:rFonts w:hint="default" w:ascii="Times New Roman" w:hAnsi="Times New Roman" w:eastAsia="宋体" w:cs="Times New Roman"/>
                <w:color w:val="000000"/>
                <w:kern w:val="0"/>
                <w:sz w:val="21"/>
                <w:szCs w:val="21"/>
                <w:highlight w:val="none"/>
                <w:u w:val="none"/>
                <w:vertAlign w:val="superscript"/>
                <w:lang w:bidi="ar"/>
              </w:rPr>
              <w:t>2</w:t>
            </w:r>
            <w:r>
              <w:rPr>
                <w:rFonts w:hint="default" w:ascii="Times New Roman" w:hAnsi="Times New Roman" w:eastAsia="宋体" w:cs="Times New Roman"/>
                <w:color w:val="000000"/>
                <w:kern w:val="0"/>
                <w:sz w:val="21"/>
                <w:szCs w:val="21"/>
                <w:highlight w:val="none"/>
                <w:u w:val="none"/>
                <w:vertAlign w:val="baseline"/>
                <w:lang w:eastAsia="zh-CN" w:bidi="ar"/>
              </w:rPr>
              <w:t>，</w:t>
            </w:r>
            <w:r>
              <w:rPr>
                <w:rFonts w:hint="default" w:ascii="Times New Roman" w:hAnsi="Times New Roman" w:eastAsia="宋体" w:cs="Times New Roman"/>
                <w:color w:val="auto"/>
                <w:sz w:val="21"/>
                <w:szCs w:val="21"/>
                <w:highlight w:val="none"/>
                <w:u w:val="none"/>
              </w:rPr>
              <w:t>主要储存项目购买的原辅材料</w:t>
            </w:r>
          </w:p>
        </w:tc>
      </w:tr>
      <w:tr w14:paraId="2739E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704068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47CB42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highlight w:val="none"/>
                <w:u w:val="none"/>
              </w:rPr>
            </w:pPr>
            <w:r>
              <w:rPr>
                <w:rFonts w:hint="default" w:ascii="Times New Roman" w:hAnsi="Times New Roman" w:eastAsia="宋体" w:cs="Times New Roman"/>
                <w:bCs/>
                <w:sz w:val="21"/>
                <w:szCs w:val="21"/>
                <w:highlight w:val="none"/>
                <w:u w:val="none"/>
              </w:rPr>
              <w:t>成品</w:t>
            </w:r>
            <w:r>
              <w:rPr>
                <w:rFonts w:hint="default" w:ascii="Times New Roman" w:hAnsi="Times New Roman" w:eastAsia="宋体" w:cs="Times New Roman"/>
                <w:bCs/>
                <w:sz w:val="21"/>
                <w:szCs w:val="21"/>
                <w:highlight w:val="none"/>
                <w:u w:val="none"/>
                <w:lang w:val="en-US" w:eastAsia="zh-CN"/>
              </w:rPr>
              <w:t>存放区</w:t>
            </w:r>
          </w:p>
        </w:tc>
        <w:tc>
          <w:tcPr>
            <w:tcW w:w="2979" w:type="pct"/>
            <w:tcBorders>
              <w:tl2br w:val="nil"/>
              <w:tr2bl w:val="nil"/>
            </w:tcBorders>
            <w:vAlign w:val="center"/>
          </w:tcPr>
          <w:p w14:paraId="3B78F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eastAsia="zh-CN"/>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敞开式存放</w:t>
            </w:r>
            <w:r>
              <w:rPr>
                <w:rFonts w:hint="default" w:ascii="Times New Roman" w:hAnsi="Times New Roman" w:eastAsia="宋体" w:cs="Times New Roman"/>
                <w:sz w:val="21"/>
                <w:szCs w:val="21"/>
                <w:highlight w:val="none"/>
                <w:u w:val="none"/>
                <w:lang w:eastAsia="zh-CN"/>
              </w:rPr>
              <w:t>，</w:t>
            </w:r>
            <w:r>
              <w:rPr>
                <w:rFonts w:hint="default" w:ascii="Times New Roman" w:hAnsi="Times New Roman" w:eastAsia="宋体" w:cs="Times New Roman"/>
                <w:sz w:val="21"/>
                <w:szCs w:val="21"/>
                <w:highlight w:val="none"/>
                <w:u w:val="none"/>
              </w:rPr>
              <w:t>占地面积</w:t>
            </w:r>
            <w:r>
              <w:rPr>
                <w:rFonts w:hint="default" w:ascii="Times New Roman" w:hAnsi="Times New Roman" w:eastAsia="宋体" w:cs="Times New Roman"/>
                <w:sz w:val="21"/>
                <w:szCs w:val="21"/>
                <w:highlight w:val="none"/>
                <w:u w:val="none"/>
                <w:lang w:eastAsia="zh-CN"/>
              </w:rPr>
              <w:t>400 m</w:t>
            </w:r>
            <w:r>
              <w:rPr>
                <w:rFonts w:hint="default" w:ascii="Times New Roman" w:hAnsi="Times New Roman" w:eastAsia="宋体" w:cs="Times New Roman"/>
                <w:sz w:val="21"/>
                <w:szCs w:val="21"/>
                <w:highlight w:val="none"/>
                <w:u w:val="none"/>
                <w:vertAlign w:val="superscript"/>
                <w:lang w:eastAsia="zh-CN"/>
              </w:rPr>
              <w:t>2</w:t>
            </w:r>
            <w:r>
              <w:rPr>
                <w:rFonts w:hint="default" w:ascii="Times New Roman" w:hAnsi="Times New Roman" w:eastAsia="宋体" w:cs="Times New Roman"/>
                <w:sz w:val="21"/>
                <w:szCs w:val="21"/>
                <w:highlight w:val="none"/>
                <w:u w:val="none"/>
                <w:vertAlign w:val="baseline"/>
                <w:lang w:eastAsia="zh-CN"/>
              </w:rPr>
              <w:t>，</w:t>
            </w:r>
            <w:r>
              <w:rPr>
                <w:rFonts w:hint="default" w:ascii="Times New Roman" w:hAnsi="Times New Roman" w:eastAsia="宋体" w:cs="Times New Roman"/>
                <w:color w:val="auto"/>
                <w:sz w:val="21"/>
                <w:szCs w:val="21"/>
                <w:highlight w:val="none"/>
                <w:u w:val="none"/>
              </w:rPr>
              <w:t>主要储存本项目生产成品</w:t>
            </w:r>
          </w:p>
        </w:tc>
      </w:tr>
      <w:tr w14:paraId="53881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3D313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54DCAD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highlight w:val="none"/>
                <w:u w:val="none"/>
              </w:rPr>
            </w:pPr>
            <w:r>
              <w:rPr>
                <w:rFonts w:hint="default" w:ascii="Times New Roman" w:hAnsi="Times New Roman" w:eastAsia="宋体" w:cs="Times New Roman"/>
                <w:bCs/>
                <w:sz w:val="21"/>
                <w:szCs w:val="21"/>
                <w:highlight w:val="none"/>
                <w:u w:val="none"/>
              </w:rPr>
              <w:t>运输</w:t>
            </w:r>
          </w:p>
        </w:tc>
        <w:tc>
          <w:tcPr>
            <w:tcW w:w="2979" w:type="pct"/>
            <w:tcBorders>
              <w:tl2br w:val="nil"/>
              <w:tr2bl w:val="nil"/>
            </w:tcBorders>
            <w:vAlign w:val="center"/>
          </w:tcPr>
          <w:p w14:paraId="5FEEA1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采购的原辅材料均采用公路运输。</w:t>
            </w:r>
          </w:p>
        </w:tc>
      </w:tr>
      <w:tr w14:paraId="52E8F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restart"/>
            <w:tcBorders>
              <w:tl2br w:val="nil"/>
              <w:tr2bl w:val="nil"/>
            </w:tcBorders>
            <w:vAlign w:val="center"/>
          </w:tcPr>
          <w:p w14:paraId="610CB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r>
              <w:rPr>
                <w:rFonts w:hint="default" w:ascii="Times New Roman" w:hAnsi="Times New Roman" w:eastAsia="宋体" w:cs="Times New Roman"/>
                <w:b/>
                <w:bCs/>
                <w:sz w:val="21"/>
                <w:szCs w:val="21"/>
                <w:highlight w:val="none"/>
                <w:u w:val="none"/>
              </w:rPr>
              <w:t>辅助工程</w:t>
            </w:r>
          </w:p>
        </w:tc>
        <w:tc>
          <w:tcPr>
            <w:tcW w:w="1331" w:type="pct"/>
            <w:gridSpan w:val="2"/>
            <w:tcBorders>
              <w:tl2br w:val="nil"/>
              <w:tr2bl w:val="nil"/>
            </w:tcBorders>
            <w:vAlign w:val="center"/>
          </w:tcPr>
          <w:p w14:paraId="7D87AE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highlight w:val="none"/>
                <w:u w:val="none"/>
              </w:rPr>
            </w:pPr>
            <w:r>
              <w:rPr>
                <w:rFonts w:hint="default" w:ascii="Times New Roman" w:hAnsi="Times New Roman" w:eastAsia="宋体" w:cs="Times New Roman"/>
                <w:bCs/>
                <w:sz w:val="21"/>
                <w:szCs w:val="21"/>
                <w:highlight w:val="none"/>
                <w:u w:val="none"/>
              </w:rPr>
              <w:t>办公室</w:t>
            </w:r>
          </w:p>
        </w:tc>
        <w:tc>
          <w:tcPr>
            <w:tcW w:w="2979" w:type="pct"/>
            <w:tcBorders>
              <w:tl2br w:val="nil"/>
              <w:tr2bl w:val="nil"/>
            </w:tcBorders>
            <w:vAlign w:val="center"/>
          </w:tcPr>
          <w:p w14:paraId="1F3193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占地面积160</w:t>
            </w:r>
            <w:r>
              <w:rPr>
                <w:rFonts w:hint="default" w:ascii="Times New Roman" w:hAnsi="Times New Roman" w:eastAsia="宋体" w:cs="Times New Roman"/>
                <w:sz w:val="21"/>
                <w:szCs w:val="21"/>
                <w:highlight w:val="none"/>
                <w:u w:val="none"/>
                <w:lang w:eastAsia="zh-CN"/>
              </w:rPr>
              <w:t>m</w:t>
            </w:r>
            <w:r>
              <w:rPr>
                <w:rFonts w:hint="default" w:ascii="Times New Roman" w:hAnsi="Times New Roman" w:eastAsia="宋体" w:cs="Times New Roman"/>
                <w:sz w:val="21"/>
                <w:szCs w:val="21"/>
                <w:highlight w:val="none"/>
                <w:u w:val="none"/>
                <w:vertAlign w:val="superscript"/>
                <w:lang w:eastAsia="zh-CN"/>
              </w:rPr>
              <w:t>2</w:t>
            </w:r>
          </w:p>
        </w:tc>
      </w:tr>
      <w:tr w14:paraId="7B9F1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6BF944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6DDE1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highlight w:val="none"/>
                <w:u w:val="none"/>
                <w:lang w:eastAsia="zh-CN"/>
              </w:rPr>
            </w:pPr>
            <w:r>
              <w:rPr>
                <w:rFonts w:hint="default" w:ascii="Times New Roman" w:hAnsi="Times New Roman" w:eastAsia="宋体" w:cs="Times New Roman"/>
                <w:bCs/>
                <w:sz w:val="21"/>
                <w:szCs w:val="21"/>
                <w:highlight w:val="none"/>
                <w:u w:val="none"/>
                <w:lang w:val="en-US" w:eastAsia="zh-CN"/>
              </w:rPr>
              <w:t>厨房</w:t>
            </w:r>
          </w:p>
        </w:tc>
        <w:tc>
          <w:tcPr>
            <w:tcW w:w="2979" w:type="pct"/>
            <w:tcBorders>
              <w:tl2br w:val="nil"/>
              <w:tr2bl w:val="nil"/>
            </w:tcBorders>
            <w:vAlign w:val="center"/>
          </w:tcPr>
          <w:p w14:paraId="70CD56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eastAsia" w:eastAsia="宋体" w:cs="Times New Roman"/>
                <w:color w:val="000000"/>
                <w:kern w:val="0"/>
                <w:sz w:val="21"/>
                <w:szCs w:val="21"/>
                <w:highlight w:val="none"/>
                <w:u w:val="none"/>
                <w:lang w:val="en-US" w:eastAsia="zh-CN"/>
              </w:rPr>
              <w:t>位于1层，</w:t>
            </w:r>
            <w:r>
              <w:rPr>
                <w:rFonts w:hint="default" w:ascii="Times New Roman" w:hAnsi="Times New Roman" w:eastAsia="宋体" w:cs="Times New Roman"/>
                <w:sz w:val="21"/>
                <w:szCs w:val="21"/>
                <w:highlight w:val="none"/>
                <w:u w:val="none"/>
              </w:rPr>
              <w:t>占地面积26</w:t>
            </w:r>
            <w:r>
              <w:rPr>
                <w:rFonts w:hint="default" w:ascii="Times New Roman" w:hAnsi="Times New Roman" w:eastAsia="宋体" w:cs="Times New Roman"/>
                <w:sz w:val="21"/>
                <w:szCs w:val="21"/>
                <w:highlight w:val="none"/>
                <w:u w:val="none"/>
                <w:lang w:eastAsia="zh-CN"/>
              </w:rPr>
              <w:t>m</w:t>
            </w:r>
            <w:r>
              <w:rPr>
                <w:rFonts w:hint="default" w:ascii="Times New Roman" w:hAnsi="Times New Roman" w:eastAsia="宋体" w:cs="Times New Roman"/>
                <w:sz w:val="21"/>
                <w:szCs w:val="21"/>
                <w:highlight w:val="none"/>
                <w:u w:val="none"/>
                <w:vertAlign w:val="superscript"/>
                <w:lang w:eastAsia="zh-CN"/>
              </w:rPr>
              <w:t>2</w:t>
            </w:r>
          </w:p>
        </w:tc>
      </w:tr>
      <w:tr w14:paraId="6EB30E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09D0B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6E2169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sz w:val="21"/>
                <w:szCs w:val="21"/>
                <w:highlight w:val="none"/>
                <w:u w:val="none"/>
                <w:lang w:val="en-US" w:eastAsia="zh-CN"/>
              </w:rPr>
            </w:pPr>
            <w:r>
              <w:rPr>
                <w:rFonts w:hint="eastAsia" w:ascii="Times New Roman" w:hAnsi="Times New Roman" w:eastAsia="宋体" w:cs="Times New Roman"/>
                <w:sz w:val="21"/>
                <w:szCs w:val="21"/>
                <w:highlight w:val="none"/>
                <w:u w:val="none"/>
                <w:lang w:val="en-US" w:eastAsia="zh-CN"/>
              </w:rPr>
              <w:t>实验室</w:t>
            </w:r>
          </w:p>
        </w:tc>
        <w:tc>
          <w:tcPr>
            <w:tcW w:w="2979" w:type="pct"/>
            <w:tcBorders>
              <w:tl2br w:val="nil"/>
              <w:tr2bl w:val="nil"/>
            </w:tcBorders>
            <w:vAlign w:val="center"/>
          </w:tcPr>
          <w:p w14:paraId="189E3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000000"/>
                <w:kern w:val="0"/>
                <w:sz w:val="21"/>
                <w:szCs w:val="21"/>
                <w:highlight w:val="none"/>
                <w:u w:val="none"/>
                <w:lang w:val="en-US" w:eastAsia="zh-CN"/>
              </w:rPr>
            </w:pP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租赁</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园区创新创业基地C栋2层阁楼</w:t>
            </w:r>
          </w:p>
        </w:tc>
      </w:tr>
      <w:tr w14:paraId="336B6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restart"/>
            <w:tcBorders>
              <w:tl2br w:val="nil"/>
              <w:tr2bl w:val="nil"/>
            </w:tcBorders>
            <w:vAlign w:val="center"/>
          </w:tcPr>
          <w:p w14:paraId="40F41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r>
              <w:rPr>
                <w:rFonts w:hint="default" w:ascii="Times New Roman" w:hAnsi="Times New Roman" w:eastAsia="宋体" w:cs="Times New Roman"/>
                <w:b/>
                <w:bCs/>
                <w:sz w:val="21"/>
                <w:szCs w:val="21"/>
                <w:highlight w:val="none"/>
                <w:u w:val="none"/>
              </w:rPr>
              <w:t>公用工程</w:t>
            </w:r>
          </w:p>
        </w:tc>
        <w:tc>
          <w:tcPr>
            <w:tcW w:w="1331" w:type="pct"/>
            <w:gridSpan w:val="2"/>
            <w:tcBorders>
              <w:tl2br w:val="nil"/>
              <w:tr2bl w:val="nil"/>
            </w:tcBorders>
            <w:vAlign w:val="center"/>
          </w:tcPr>
          <w:p w14:paraId="4786E35E">
            <w:pPr>
              <w:keepNext w:val="0"/>
              <w:keepLines w:val="0"/>
              <w:pageBreakBefore w:val="0"/>
              <w:widowControl w:val="0"/>
              <w:tabs>
                <w:tab w:val="left" w:pos="99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供电</w:t>
            </w:r>
          </w:p>
        </w:tc>
        <w:tc>
          <w:tcPr>
            <w:tcW w:w="2979" w:type="pct"/>
            <w:tcBorders>
              <w:tl2br w:val="nil"/>
              <w:tr2bl w:val="nil"/>
            </w:tcBorders>
            <w:vAlign w:val="center"/>
          </w:tcPr>
          <w:p w14:paraId="68C6F35A">
            <w:pPr>
              <w:keepNext w:val="0"/>
              <w:keepLines w:val="0"/>
              <w:pageBreakBefore w:val="0"/>
              <w:widowControl w:val="0"/>
              <w:tabs>
                <w:tab w:val="left" w:pos="99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color w:val="auto"/>
                <w:sz w:val="21"/>
                <w:szCs w:val="21"/>
                <w:highlight w:val="none"/>
                <w:u w:val="none"/>
              </w:rPr>
              <w:t>依托</w:t>
            </w:r>
            <w:r>
              <w:rPr>
                <w:rFonts w:hint="default" w:ascii="Times New Roman" w:hAnsi="Times New Roman" w:eastAsia="宋体" w:cs="Times New Roman"/>
                <w:color w:val="auto"/>
                <w:kern w:val="0"/>
                <w:sz w:val="21"/>
                <w:szCs w:val="21"/>
                <w:highlight w:val="none"/>
                <w:u w:val="none"/>
              </w:rPr>
              <w:t>岳阳高新技术产业园</w:t>
            </w:r>
            <w:r>
              <w:rPr>
                <w:rFonts w:hint="default" w:ascii="Times New Roman" w:hAnsi="Times New Roman" w:eastAsia="宋体" w:cs="Times New Roman"/>
                <w:color w:val="auto"/>
                <w:sz w:val="21"/>
                <w:szCs w:val="21"/>
                <w:highlight w:val="none"/>
                <w:u w:val="none"/>
              </w:rPr>
              <w:t>供电系统，厂区建有配电室。</w:t>
            </w:r>
          </w:p>
        </w:tc>
      </w:tr>
      <w:tr w14:paraId="11087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2C6CA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1F41D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供水</w:t>
            </w:r>
          </w:p>
        </w:tc>
        <w:tc>
          <w:tcPr>
            <w:tcW w:w="2979" w:type="pct"/>
            <w:tcBorders>
              <w:tl2br w:val="nil"/>
              <w:tr2bl w:val="nil"/>
            </w:tcBorders>
            <w:vAlign w:val="center"/>
          </w:tcPr>
          <w:p w14:paraId="3AA9B2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color w:val="auto"/>
                <w:sz w:val="21"/>
                <w:szCs w:val="21"/>
                <w:highlight w:val="none"/>
                <w:u w:val="none"/>
              </w:rPr>
              <w:t>用水由市政给水管网供给。</w:t>
            </w:r>
          </w:p>
        </w:tc>
      </w:tr>
      <w:tr w14:paraId="083F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2DC01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7B3187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排水</w:t>
            </w:r>
          </w:p>
        </w:tc>
        <w:tc>
          <w:tcPr>
            <w:tcW w:w="2979" w:type="pct"/>
            <w:tcBorders>
              <w:tl2br w:val="nil"/>
              <w:tr2bl w:val="nil"/>
            </w:tcBorders>
            <w:vAlign w:val="center"/>
          </w:tcPr>
          <w:p w14:paraId="4FE3D006">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雨水经</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园区</w:t>
            </w:r>
            <w: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雨水管网收集排入</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最终</w:t>
            </w:r>
            <w: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排入新墙河。</w:t>
            </w:r>
          </w:p>
          <w:p w14:paraId="2895FE4C">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u w:val="none"/>
                <w:lang w:val="en-US" w:eastAsia="zh-CN"/>
              </w:rPr>
            </w:pPr>
            <w: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本项目生产</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用水全部用于产品中不外排。地面清洁废水通过沉淀池沉淀后与纯水制备浓水一并进入园区污水管网，</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生活</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废水</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依托园区</w:t>
            </w:r>
            <w:r>
              <w:rPr>
                <w:rFonts w:hint="eastAsia" w:ascii="Times New Roman" w:hAnsi="Times New Roman" w:eastAsia="宋体" w:cs="Times New Roman"/>
                <w:color w:val="auto"/>
                <w:kern w:val="0"/>
                <w:sz w:val="21"/>
                <w:szCs w:val="21"/>
                <w:highlight w:val="none"/>
              </w:rPr>
              <w:t>创新创业基地</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隔油</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池与</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化粪池</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预</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处理进入园区污水管网。厂区各废水都最终通过厂区污水排口经园区污水管网进入岳阳高新技术产业园污水处理厂处理达标后排入新墙河</w:t>
            </w:r>
            <w: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w:t>
            </w:r>
          </w:p>
        </w:tc>
      </w:tr>
      <w:tr w14:paraId="63AE3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restart"/>
            <w:tcBorders>
              <w:tl2br w:val="nil"/>
              <w:tr2bl w:val="nil"/>
            </w:tcBorders>
            <w:vAlign w:val="center"/>
          </w:tcPr>
          <w:p w14:paraId="2D3E50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sz w:val="21"/>
                <w:szCs w:val="21"/>
                <w:highlight w:val="none"/>
                <w:u w:val="none"/>
                <w:lang w:val="en-US" w:eastAsia="zh-CN"/>
              </w:rPr>
            </w:pPr>
            <w:r>
              <w:rPr>
                <w:rFonts w:hint="eastAsia" w:ascii="Times New Roman" w:hAnsi="Times New Roman" w:eastAsia="宋体" w:cs="Times New Roman"/>
                <w:b/>
                <w:bCs/>
                <w:sz w:val="21"/>
                <w:szCs w:val="21"/>
                <w:highlight w:val="none"/>
                <w:u w:val="none"/>
                <w:lang w:val="en-US" w:eastAsia="zh-CN"/>
              </w:rPr>
              <w:t>环保工程</w:t>
            </w:r>
          </w:p>
        </w:tc>
        <w:tc>
          <w:tcPr>
            <w:tcW w:w="1331" w:type="pct"/>
            <w:gridSpan w:val="2"/>
            <w:tcBorders>
              <w:tl2br w:val="nil"/>
              <w:tr2bl w:val="nil"/>
            </w:tcBorders>
            <w:vAlign w:val="center"/>
          </w:tcPr>
          <w:p w14:paraId="78F737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废气治理措施</w:t>
            </w:r>
          </w:p>
        </w:tc>
        <w:tc>
          <w:tcPr>
            <w:tcW w:w="2979" w:type="pct"/>
            <w:tcBorders>
              <w:tl2br w:val="nil"/>
              <w:tr2bl w:val="nil"/>
            </w:tcBorders>
            <w:vAlign w:val="center"/>
          </w:tcPr>
          <w:p w14:paraId="705EBA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lang w:val="en-US" w:eastAsia="zh-CN"/>
              </w:rPr>
            </w:pPr>
            <w:r>
              <w:rPr>
                <w:rFonts w:hint="eastAsia" w:eastAsia="宋体" w:cs="Times New Roman"/>
                <w:sz w:val="21"/>
                <w:szCs w:val="21"/>
                <w:highlight w:val="none"/>
                <w:u w:val="none"/>
                <w:lang w:val="en-US" w:eastAsia="zh-CN"/>
              </w:rPr>
              <w:t>有机废气通过</w:t>
            </w:r>
            <w:r>
              <w:rPr>
                <w:rFonts w:hint="eastAsia" w:ascii="Times New Roman" w:hAnsi="Times New Roman" w:eastAsia="宋体" w:cs="Times New Roman"/>
                <w:color w:val="auto"/>
                <w:sz w:val="21"/>
                <w:szCs w:val="21"/>
                <w:highlight w:val="none"/>
                <w:u w:val="none" w:color="auto"/>
                <w:lang w:val="en-US" w:eastAsia="zh-CN"/>
              </w:rPr>
              <w:t>二级</w:t>
            </w:r>
            <w:r>
              <w:rPr>
                <w:rFonts w:hint="default" w:ascii="Times New Roman" w:hAnsi="Times New Roman" w:eastAsia="宋体" w:cs="Times New Roman"/>
                <w:color w:val="auto"/>
                <w:sz w:val="21"/>
                <w:szCs w:val="21"/>
                <w:highlight w:val="none"/>
                <w:u w:val="none" w:color="auto"/>
                <w:lang w:val="en-US" w:eastAsia="zh-CN"/>
              </w:rPr>
              <w:t>活性炭吸附箱</w:t>
            </w:r>
            <w:r>
              <w:rPr>
                <w:rFonts w:hint="eastAsia" w:ascii="Times New Roman" w:hAnsi="Times New Roman" w:eastAsia="宋体" w:cs="Times New Roman"/>
                <w:color w:val="auto"/>
                <w:sz w:val="21"/>
                <w:szCs w:val="21"/>
                <w:highlight w:val="none"/>
                <w:u w:val="none" w:color="auto"/>
                <w:lang w:val="en-US" w:eastAsia="zh-CN"/>
              </w:rPr>
              <w:t>处理后通过15m排气筒外排；粉尘通过布袋除尘器处理后无组织排放在车间内，定期打扫地面粉尘。</w:t>
            </w:r>
          </w:p>
        </w:tc>
      </w:tr>
      <w:tr w14:paraId="53659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8" w:type="pct"/>
            <w:vMerge w:val="continue"/>
            <w:tcBorders>
              <w:tl2br w:val="nil"/>
              <w:tr2bl w:val="nil"/>
            </w:tcBorders>
            <w:vAlign w:val="center"/>
          </w:tcPr>
          <w:p w14:paraId="15DEB2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34011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废水治理措施</w:t>
            </w:r>
          </w:p>
        </w:tc>
        <w:tc>
          <w:tcPr>
            <w:tcW w:w="2979" w:type="pct"/>
            <w:tcBorders>
              <w:tl2br w:val="nil"/>
              <w:tr2bl w:val="nil"/>
            </w:tcBorders>
            <w:vAlign w:val="center"/>
          </w:tcPr>
          <w:p w14:paraId="59CC3BAD">
            <w:pPr>
              <w:pStyle w:val="3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本项目生产</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用水全部用于产品中不外排。地面清洁废水通过沉淀池沉淀后与纯水制备浓水一并进入园区污水管网，</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生活</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废水</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依托园区</w:t>
            </w:r>
            <w:r>
              <w:rPr>
                <w:rFonts w:hint="eastAsia" w:ascii="Times New Roman" w:hAnsi="Times New Roman" w:eastAsia="宋体" w:cs="Times New Roman"/>
                <w:color w:val="auto"/>
                <w:kern w:val="0"/>
                <w:sz w:val="21"/>
                <w:szCs w:val="21"/>
                <w:highlight w:val="none"/>
              </w:rPr>
              <w:t>创新创业基地</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隔油</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池与</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化粪池</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预</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处理进入园区污水管网。厂区</w:t>
            </w:r>
            <w:r>
              <w:rPr>
                <w:rFonts w:hint="eastAsia" w:cs="Times New Roman" w:eastAsiaTheme="minorEastAsia"/>
                <w:color w:val="000000" w:themeColor="text1"/>
                <w:kern w:val="0"/>
                <w:sz w:val="21"/>
                <w:szCs w:val="21"/>
                <w:highlight w:val="none"/>
                <w:lang w:val="en-US" w:eastAsia="zh-CN" w:bidi="ar-SA"/>
                <w14:textFill>
                  <w14:solidFill>
                    <w14:schemeClr w14:val="tx1"/>
                  </w14:solidFill>
                </w14:textFill>
              </w:rPr>
              <w:t>外排</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废水都最终通过厂区污水排口经园区污水管网进入岳阳高新技术产业园污水处理厂处理达标后排入新墙河</w:t>
            </w:r>
            <w:r>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w:t>
            </w:r>
          </w:p>
        </w:tc>
      </w:tr>
      <w:tr w14:paraId="66716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21F90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570F9E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噪声治理措施</w:t>
            </w:r>
          </w:p>
        </w:tc>
        <w:tc>
          <w:tcPr>
            <w:tcW w:w="2979" w:type="pct"/>
            <w:tcBorders>
              <w:tl2br w:val="nil"/>
              <w:tr2bl w:val="nil"/>
            </w:tcBorders>
            <w:vAlign w:val="center"/>
          </w:tcPr>
          <w:p w14:paraId="086A5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对高噪设备采用吸声、隔声、减震等措施。</w:t>
            </w:r>
          </w:p>
        </w:tc>
      </w:tr>
      <w:tr w14:paraId="011AD4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8" w:type="pct"/>
            <w:vMerge w:val="continue"/>
            <w:tcBorders>
              <w:tl2br w:val="nil"/>
              <w:tr2bl w:val="nil"/>
            </w:tcBorders>
            <w:vAlign w:val="center"/>
          </w:tcPr>
          <w:p w14:paraId="560CD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highlight w:val="none"/>
                <w:u w:val="none"/>
              </w:rPr>
            </w:pPr>
          </w:p>
        </w:tc>
        <w:tc>
          <w:tcPr>
            <w:tcW w:w="1331" w:type="pct"/>
            <w:gridSpan w:val="2"/>
            <w:tcBorders>
              <w:tl2br w:val="nil"/>
              <w:tr2bl w:val="nil"/>
            </w:tcBorders>
            <w:vAlign w:val="center"/>
          </w:tcPr>
          <w:p w14:paraId="12D495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rPr>
              <w:t>固废治理措施</w:t>
            </w:r>
          </w:p>
        </w:tc>
        <w:tc>
          <w:tcPr>
            <w:tcW w:w="2979" w:type="pct"/>
            <w:tcBorders>
              <w:tl2br w:val="nil"/>
              <w:tr2bl w:val="nil"/>
            </w:tcBorders>
            <w:vAlign w:val="center"/>
          </w:tcPr>
          <w:p w14:paraId="189DAE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生活垃圾经收集后交由环卫部门进行处理；一般工业固体废物收集暂存于一般固废暂存间（29m</w:t>
            </w:r>
            <w:r>
              <w:rPr>
                <w:rFonts w:hint="eastAsia" w:ascii="Times New Roman" w:hAnsi="Times New Roman" w:cs="Times New Roman" w:eastAsiaTheme="minorEastAsia"/>
                <w:color w:val="000000" w:themeColor="text1"/>
                <w:kern w:val="0"/>
                <w:sz w:val="21"/>
                <w:szCs w:val="21"/>
                <w:highlight w:val="none"/>
                <w:vertAlign w:val="superscript"/>
                <w:lang w:val="en-US" w:eastAsia="zh-CN" w:bidi="ar-SA"/>
                <w14:textFill>
                  <w14:solidFill>
                    <w14:schemeClr w14:val="tx1"/>
                  </w14:solidFill>
                </w14:textFill>
              </w:rPr>
              <w:t>2</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），进行综合利用或合理处置；危险废物暂存于危废间（10m</w:t>
            </w:r>
            <w:r>
              <w:rPr>
                <w:rFonts w:hint="eastAsia" w:ascii="Times New Roman" w:hAnsi="Times New Roman" w:cs="Times New Roman" w:eastAsiaTheme="minorEastAsia"/>
                <w:color w:val="000000" w:themeColor="text1"/>
                <w:kern w:val="0"/>
                <w:sz w:val="21"/>
                <w:szCs w:val="21"/>
                <w:highlight w:val="none"/>
                <w:vertAlign w:val="superscript"/>
                <w:lang w:val="en-US" w:eastAsia="zh-CN" w:bidi="ar-SA"/>
                <w14:textFill>
                  <w14:solidFill>
                    <w14:schemeClr w14:val="tx1"/>
                  </w14:solidFill>
                </w14:textFill>
              </w:rPr>
              <w:t>2</w:t>
            </w:r>
            <w:r>
              <w:rPr>
                <w:rFonts w:hint="eastAsia" w:ascii="Times New Roman" w:hAnsi="Times New Roman" w:cs="Times New Roman" w:eastAsiaTheme="minorEastAsia"/>
                <w:color w:val="000000" w:themeColor="text1"/>
                <w:kern w:val="0"/>
                <w:sz w:val="21"/>
                <w:szCs w:val="21"/>
                <w:highlight w:val="none"/>
                <w:lang w:val="en-US" w:eastAsia="zh-CN" w:bidi="ar-SA"/>
                <w14:textFill>
                  <w14:solidFill>
                    <w14:schemeClr w14:val="tx1"/>
                  </w14:solidFill>
                </w14:textFill>
              </w:rPr>
              <w:t>）委托资质单位进行处置。</w:t>
            </w:r>
          </w:p>
        </w:tc>
      </w:tr>
    </w:tbl>
    <w:p w14:paraId="065D4554">
      <w:pPr>
        <w:pStyle w:val="6"/>
        <w:bidi w:val="0"/>
        <w:rPr>
          <w:highlight w:val="none"/>
        </w:rPr>
      </w:pPr>
      <w:bookmarkStart w:id="79" w:name="_Toc31264"/>
      <w:r>
        <w:rPr>
          <w:highlight w:val="none"/>
        </w:rPr>
        <w:t>3.</w:t>
      </w:r>
      <w:r>
        <w:rPr>
          <w:rFonts w:hint="eastAsia"/>
          <w:highlight w:val="none"/>
          <w:lang w:val="en-US" w:eastAsia="zh-CN"/>
        </w:rPr>
        <w:t>4</w:t>
      </w:r>
      <w:r>
        <w:rPr>
          <w:highlight w:val="none"/>
        </w:rPr>
        <w:t xml:space="preserve"> 建设项目主要生产设备</w:t>
      </w:r>
      <w:bookmarkEnd w:id="79"/>
    </w:p>
    <w:p w14:paraId="2A044764">
      <w:pPr>
        <w:ind w:firstLine="474" w:firstLineChars="200"/>
        <w:jc w:val="center"/>
        <w:rPr>
          <w:rFonts w:hint="eastAsia" w:ascii="Times New Roman" w:hAnsi="Times New Roman" w:eastAsia="宋体" w:cs="Times New Roman"/>
          <w:b/>
          <w:bCs/>
          <w:spacing w:val="-2"/>
          <w:kern w:val="0"/>
          <w:sz w:val="24"/>
          <w:szCs w:val="20"/>
          <w:highlight w:val="none"/>
          <w:lang w:val="en-US" w:eastAsia="zh-CN" w:bidi="ar-SA"/>
        </w:rPr>
      </w:pPr>
      <w:r>
        <w:rPr>
          <w:rFonts w:hint="eastAsia" w:ascii="Times New Roman" w:hAnsi="Times New Roman" w:eastAsia="宋体" w:cs="Times New Roman"/>
          <w:b/>
          <w:bCs/>
          <w:spacing w:val="-2"/>
          <w:kern w:val="0"/>
          <w:sz w:val="24"/>
          <w:szCs w:val="20"/>
          <w:highlight w:val="none"/>
          <w:lang w:val="en-US" w:eastAsia="zh-CN" w:bidi="ar-SA"/>
        </w:rPr>
        <w:t>表3.4-1 本项目主要生产设备清单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539"/>
        <w:gridCol w:w="817"/>
        <w:gridCol w:w="425"/>
        <w:gridCol w:w="455"/>
        <w:gridCol w:w="2352"/>
        <w:gridCol w:w="728"/>
        <w:gridCol w:w="1781"/>
      </w:tblGrid>
      <w:tr w14:paraId="51C9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624477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序号</w:t>
            </w:r>
          </w:p>
        </w:tc>
        <w:tc>
          <w:tcPr>
            <w:tcW w:w="903" w:type="pct"/>
            <w:tcBorders>
              <w:tl2br w:val="nil"/>
              <w:tr2bl w:val="nil"/>
            </w:tcBorders>
            <w:shd w:val="clear" w:color="auto" w:fill="auto"/>
            <w:noWrap/>
            <w:vAlign w:val="center"/>
          </w:tcPr>
          <w:p w14:paraId="135C4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主要生产设备名称</w:t>
            </w:r>
          </w:p>
        </w:tc>
        <w:tc>
          <w:tcPr>
            <w:tcW w:w="479" w:type="pct"/>
            <w:tcBorders>
              <w:tl2br w:val="nil"/>
              <w:tr2bl w:val="nil"/>
            </w:tcBorders>
            <w:shd w:val="clear" w:color="auto" w:fill="auto"/>
            <w:noWrap/>
            <w:vAlign w:val="center"/>
          </w:tcPr>
          <w:p w14:paraId="7A309A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型号</w:t>
            </w:r>
          </w:p>
        </w:tc>
        <w:tc>
          <w:tcPr>
            <w:tcW w:w="249" w:type="pct"/>
            <w:tcBorders>
              <w:tl2br w:val="nil"/>
              <w:tr2bl w:val="nil"/>
            </w:tcBorders>
            <w:shd w:val="clear" w:color="auto" w:fill="auto"/>
            <w:noWrap/>
            <w:vAlign w:val="center"/>
          </w:tcPr>
          <w:p w14:paraId="1F2B02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单位</w:t>
            </w:r>
          </w:p>
        </w:tc>
        <w:tc>
          <w:tcPr>
            <w:tcW w:w="267" w:type="pct"/>
            <w:tcBorders>
              <w:tl2br w:val="nil"/>
              <w:tr2bl w:val="nil"/>
            </w:tcBorders>
            <w:shd w:val="clear" w:color="auto" w:fill="auto"/>
            <w:noWrap/>
            <w:vAlign w:val="center"/>
          </w:tcPr>
          <w:p w14:paraId="72D9DA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数量</w:t>
            </w:r>
          </w:p>
        </w:tc>
        <w:tc>
          <w:tcPr>
            <w:tcW w:w="1381" w:type="pct"/>
            <w:tcBorders>
              <w:tl2br w:val="nil"/>
              <w:tr2bl w:val="nil"/>
            </w:tcBorders>
            <w:shd w:val="clear" w:color="auto" w:fill="auto"/>
            <w:noWrap/>
            <w:vAlign w:val="center"/>
          </w:tcPr>
          <w:p w14:paraId="09D0FE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用途</w:t>
            </w:r>
          </w:p>
        </w:tc>
        <w:tc>
          <w:tcPr>
            <w:tcW w:w="427" w:type="pct"/>
            <w:tcBorders>
              <w:tl2br w:val="nil"/>
              <w:tr2bl w:val="nil"/>
            </w:tcBorders>
            <w:shd w:val="clear" w:color="auto" w:fill="auto"/>
            <w:noWrap/>
            <w:vAlign w:val="center"/>
          </w:tcPr>
          <w:p w14:paraId="68DC7A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eastAsia" w:eastAsia="宋体" w:cs="Times New Roman"/>
                <w:b/>
                <w:bCs/>
                <w:color w:val="000000"/>
                <w:kern w:val="0"/>
                <w:sz w:val="21"/>
                <w:szCs w:val="21"/>
                <w:highlight w:val="none"/>
                <w:lang w:val="en-US" w:eastAsia="zh-CN"/>
              </w:rPr>
              <w:t>生产线序号</w:t>
            </w:r>
          </w:p>
        </w:tc>
        <w:tc>
          <w:tcPr>
            <w:tcW w:w="1045" w:type="pct"/>
            <w:tcBorders>
              <w:tl2br w:val="nil"/>
              <w:tr2bl w:val="nil"/>
            </w:tcBorders>
            <w:shd w:val="clear" w:color="auto" w:fill="auto"/>
            <w:noWrap/>
            <w:vAlign w:val="center"/>
          </w:tcPr>
          <w:p w14:paraId="73560C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rPr>
              <w:t>备注</w:t>
            </w:r>
          </w:p>
        </w:tc>
      </w:tr>
      <w:tr w14:paraId="3D5E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5E2F9B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903" w:type="pct"/>
            <w:tcBorders>
              <w:tl2br w:val="nil"/>
              <w:tr2bl w:val="nil"/>
            </w:tcBorders>
            <w:shd w:val="clear" w:color="auto" w:fill="auto"/>
            <w:noWrap/>
            <w:vAlign w:val="center"/>
          </w:tcPr>
          <w:p w14:paraId="1449A3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水剂搅拌</w:t>
            </w:r>
            <w:r>
              <w:rPr>
                <w:rFonts w:hint="default" w:ascii="Times New Roman" w:hAnsi="Times New Roman" w:eastAsia="宋体" w:cs="Times New Roman"/>
                <w:color w:val="000000"/>
                <w:kern w:val="0"/>
                <w:sz w:val="21"/>
                <w:szCs w:val="21"/>
                <w:highlight w:val="none"/>
                <w:lang w:val="en-US" w:eastAsia="zh-CN"/>
              </w:rPr>
              <w:t>釜</w:t>
            </w:r>
          </w:p>
        </w:tc>
        <w:tc>
          <w:tcPr>
            <w:tcW w:w="479" w:type="pct"/>
            <w:tcBorders>
              <w:tl2br w:val="nil"/>
              <w:tr2bl w:val="nil"/>
            </w:tcBorders>
            <w:shd w:val="clear" w:color="auto" w:fill="auto"/>
            <w:noWrap/>
            <w:vAlign w:val="center"/>
          </w:tcPr>
          <w:p w14:paraId="7EA056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2T</w:t>
            </w:r>
          </w:p>
        </w:tc>
        <w:tc>
          <w:tcPr>
            <w:tcW w:w="249" w:type="pct"/>
            <w:tcBorders>
              <w:tl2br w:val="nil"/>
              <w:tr2bl w:val="nil"/>
            </w:tcBorders>
            <w:shd w:val="clear" w:color="auto" w:fill="auto"/>
            <w:noWrap/>
            <w:vAlign w:val="center"/>
          </w:tcPr>
          <w:p w14:paraId="763248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67" w:type="pct"/>
            <w:tcBorders>
              <w:tl2br w:val="nil"/>
              <w:tr2bl w:val="nil"/>
            </w:tcBorders>
            <w:shd w:val="clear" w:color="auto" w:fill="auto"/>
            <w:noWrap/>
            <w:vAlign w:val="center"/>
          </w:tcPr>
          <w:p w14:paraId="0CBB11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1381" w:type="pct"/>
            <w:tcBorders>
              <w:tl2br w:val="nil"/>
              <w:tr2bl w:val="nil"/>
            </w:tcBorders>
            <w:shd w:val="clear" w:color="auto" w:fill="auto"/>
            <w:noWrap/>
            <w:vAlign w:val="center"/>
          </w:tcPr>
          <w:p w14:paraId="00A520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酶制剂水剂生产</w:t>
            </w:r>
          </w:p>
        </w:tc>
        <w:tc>
          <w:tcPr>
            <w:tcW w:w="427" w:type="pct"/>
            <w:tcBorders>
              <w:tl2br w:val="nil"/>
              <w:tr2bl w:val="nil"/>
            </w:tcBorders>
            <w:shd w:val="clear" w:color="auto" w:fill="auto"/>
            <w:noWrap/>
            <w:vAlign w:val="center"/>
          </w:tcPr>
          <w:p w14:paraId="7272F2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eastAsia" w:eastAsia="宋体" w:cs="Times New Roman"/>
                <w:b/>
                <w:bCs/>
                <w:color w:val="000000"/>
                <w:kern w:val="0"/>
                <w:sz w:val="21"/>
                <w:szCs w:val="21"/>
                <w:highlight w:val="none"/>
                <w:lang w:val="en-US" w:eastAsia="zh-CN"/>
              </w:rPr>
              <w:t>1#</w:t>
            </w:r>
          </w:p>
        </w:tc>
        <w:tc>
          <w:tcPr>
            <w:tcW w:w="1045" w:type="pct"/>
            <w:tcBorders>
              <w:tl2br w:val="nil"/>
              <w:tr2bl w:val="nil"/>
            </w:tcBorders>
            <w:shd w:val="clear" w:color="auto" w:fill="auto"/>
            <w:noWrap/>
            <w:vAlign w:val="center"/>
          </w:tcPr>
          <w:p w14:paraId="683852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位于液态产品复配车间</w:t>
            </w:r>
          </w:p>
        </w:tc>
      </w:tr>
      <w:tr w14:paraId="7C0E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245" w:type="pct"/>
            <w:tcBorders>
              <w:tl2br w:val="nil"/>
              <w:tr2bl w:val="nil"/>
            </w:tcBorders>
            <w:shd w:val="clear" w:color="auto" w:fill="auto"/>
            <w:noWrap/>
            <w:vAlign w:val="center"/>
          </w:tcPr>
          <w:p w14:paraId="56D593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903" w:type="pct"/>
            <w:tcBorders>
              <w:tl2br w:val="nil"/>
              <w:tr2bl w:val="nil"/>
            </w:tcBorders>
            <w:shd w:val="clear" w:color="auto" w:fill="auto"/>
            <w:noWrap/>
            <w:vAlign w:val="center"/>
          </w:tcPr>
          <w:p w14:paraId="096B84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粉剂搅拌罐</w:t>
            </w:r>
          </w:p>
        </w:tc>
        <w:tc>
          <w:tcPr>
            <w:tcW w:w="479" w:type="pct"/>
            <w:tcBorders>
              <w:tl2br w:val="nil"/>
              <w:tr2bl w:val="nil"/>
            </w:tcBorders>
            <w:shd w:val="clear" w:color="auto" w:fill="auto"/>
            <w:noWrap/>
            <w:vAlign w:val="center"/>
          </w:tcPr>
          <w:p w14:paraId="57E4B6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1</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5</w:t>
            </w:r>
            <w:r>
              <w:rPr>
                <w:rFonts w:hint="default" w:ascii="Times New Roman" w:hAnsi="Times New Roman" w:eastAsia="宋体" w:cs="Times New Roman"/>
                <w:color w:val="000000"/>
                <w:kern w:val="0"/>
                <w:sz w:val="21"/>
                <w:szCs w:val="21"/>
                <w:highlight w:val="none"/>
              </w:rPr>
              <w:t>T</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2T</w:t>
            </w:r>
          </w:p>
        </w:tc>
        <w:tc>
          <w:tcPr>
            <w:tcW w:w="249" w:type="pct"/>
            <w:tcBorders>
              <w:tl2br w:val="nil"/>
              <w:tr2bl w:val="nil"/>
            </w:tcBorders>
            <w:shd w:val="clear" w:color="auto" w:fill="auto"/>
            <w:noWrap/>
            <w:vAlign w:val="center"/>
          </w:tcPr>
          <w:p w14:paraId="3A49D6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67" w:type="pct"/>
            <w:tcBorders>
              <w:tl2br w:val="nil"/>
              <w:tr2bl w:val="nil"/>
            </w:tcBorders>
            <w:shd w:val="clear" w:color="auto" w:fill="auto"/>
            <w:noWrap/>
            <w:vAlign w:val="center"/>
          </w:tcPr>
          <w:p w14:paraId="6103A3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2</w:t>
            </w:r>
          </w:p>
        </w:tc>
        <w:tc>
          <w:tcPr>
            <w:tcW w:w="1381" w:type="pct"/>
            <w:tcBorders>
              <w:tl2br w:val="nil"/>
              <w:tr2bl w:val="nil"/>
            </w:tcBorders>
            <w:shd w:val="clear" w:color="auto" w:fill="auto"/>
            <w:noWrap/>
            <w:vAlign w:val="center"/>
          </w:tcPr>
          <w:p w14:paraId="600287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酶制剂粉剂</w:t>
            </w:r>
            <w:r>
              <w:rPr>
                <w:rFonts w:hint="eastAsia" w:eastAsia="宋体" w:cs="Times New Roman"/>
                <w:color w:val="000000"/>
                <w:kern w:val="0"/>
                <w:sz w:val="21"/>
                <w:szCs w:val="21"/>
                <w:highlight w:val="none"/>
                <w:lang w:val="en-US" w:eastAsia="zh-CN"/>
              </w:rPr>
              <w:t>及助剂粉剂生产（产品为酶制剂粉剂和防染粉2#）</w:t>
            </w:r>
          </w:p>
        </w:tc>
        <w:tc>
          <w:tcPr>
            <w:tcW w:w="427" w:type="pct"/>
            <w:tcBorders>
              <w:tl2br w:val="nil"/>
              <w:tr2bl w:val="nil"/>
            </w:tcBorders>
            <w:shd w:val="clear" w:color="auto" w:fill="auto"/>
            <w:noWrap/>
            <w:vAlign w:val="center"/>
          </w:tcPr>
          <w:p w14:paraId="026C28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eastAsia" w:eastAsia="宋体" w:cs="Times New Roman"/>
                <w:b/>
                <w:bCs/>
                <w:color w:val="000000"/>
                <w:kern w:val="0"/>
                <w:sz w:val="21"/>
                <w:szCs w:val="21"/>
                <w:highlight w:val="none"/>
                <w:lang w:val="en-US" w:eastAsia="zh-CN"/>
              </w:rPr>
              <w:t>3#</w:t>
            </w:r>
          </w:p>
        </w:tc>
        <w:tc>
          <w:tcPr>
            <w:tcW w:w="1045" w:type="pct"/>
            <w:tcBorders>
              <w:tl2br w:val="nil"/>
              <w:tr2bl w:val="nil"/>
            </w:tcBorders>
            <w:shd w:val="clear" w:color="auto" w:fill="auto"/>
            <w:noWrap/>
            <w:vAlign w:val="center"/>
          </w:tcPr>
          <w:p w14:paraId="559ACD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2T预留备用，</w:t>
            </w:r>
            <w:r>
              <w:rPr>
                <w:rFonts w:hint="eastAsia" w:eastAsia="宋体" w:cs="Times New Roman"/>
                <w:color w:val="000000"/>
                <w:kern w:val="0"/>
                <w:sz w:val="21"/>
                <w:szCs w:val="21"/>
                <w:highlight w:val="none"/>
                <w:lang w:val="en-US" w:eastAsia="zh-CN"/>
              </w:rPr>
              <w:t>位于</w:t>
            </w:r>
            <w:r>
              <w:rPr>
                <w:rFonts w:hint="default" w:ascii="Times New Roman" w:hAnsi="Times New Roman" w:eastAsia="宋体" w:cs="Times New Roman"/>
                <w:color w:val="000000"/>
                <w:kern w:val="0"/>
                <w:sz w:val="21"/>
                <w:szCs w:val="21"/>
                <w:highlight w:val="none"/>
              </w:rPr>
              <w:t>粉剂</w:t>
            </w:r>
            <w:r>
              <w:rPr>
                <w:rFonts w:hint="eastAsia" w:eastAsia="宋体" w:cs="Times New Roman"/>
                <w:color w:val="000000"/>
                <w:kern w:val="0"/>
                <w:sz w:val="21"/>
                <w:szCs w:val="21"/>
                <w:highlight w:val="none"/>
                <w:lang w:val="en-US" w:eastAsia="zh-CN"/>
              </w:rPr>
              <w:t>复配</w:t>
            </w:r>
            <w:r>
              <w:rPr>
                <w:rFonts w:hint="default" w:ascii="Times New Roman" w:hAnsi="Times New Roman" w:eastAsia="宋体" w:cs="Times New Roman"/>
                <w:color w:val="000000"/>
                <w:kern w:val="0"/>
                <w:sz w:val="21"/>
                <w:szCs w:val="21"/>
                <w:highlight w:val="none"/>
              </w:rPr>
              <w:t>车间</w:t>
            </w:r>
          </w:p>
        </w:tc>
      </w:tr>
      <w:tr w14:paraId="0553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09AD6C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w:t>
            </w:r>
          </w:p>
        </w:tc>
        <w:tc>
          <w:tcPr>
            <w:tcW w:w="903" w:type="pct"/>
            <w:tcBorders>
              <w:tl2br w:val="nil"/>
              <w:tr2bl w:val="nil"/>
            </w:tcBorders>
            <w:shd w:val="clear" w:color="auto" w:fill="auto"/>
            <w:noWrap/>
            <w:vAlign w:val="center"/>
          </w:tcPr>
          <w:p w14:paraId="2ED0D4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多功能混合搅拌罐</w:t>
            </w:r>
            <w:r>
              <w:rPr>
                <w:rFonts w:hint="eastAsia" w:eastAsia="宋体" w:cs="Times New Roman"/>
                <w:color w:val="000000"/>
                <w:kern w:val="0"/>
                <w:sz w:val="21"/>
                <w:szCs w:val="21"/>
                <w:highlight w:val="none"/>
                <w:lang w:eastAsia="zh-CN"/>
              </w:rPr>
              <w:t>（</w:t>
            </w:r>
            <w:r>
              <w:rPr>
                <w:rFonts w:hint="eastAsia" w:eastAsia="宋体" w:cs="Times New Roman"/>
                <w:color w:val="000000"/>
                <w:kern w:val="0"/>
                <w:sz w:val="21"/>
                <w:szCs w:val="21"/>
                <w:highlight w:val="none"/>
                <w:lang w:val="en-US" w:eastAsia="zh-CN"/>
              </w:rPr>
              <w:t>电加热</w:t>
            </w:r>
            <w:r>
              <w:rPr>
                <w:rFonts w:hint="eastAsia" w:eastAsia="宋体" w:cs="Times New Roman"/>
                <w:color w:val="000000"/>
                <w:kern w:val="0"/>
                <w:sz w:val="21"/>
                <w:szCs w:val="21"/>
                <w:highlight w:val="none"/>
                <w:lang w:eastAsia="zh-CN"/>
              </w:rPr>
              <w:t>）</w:t>
            </w:r>
          </w:p>
        </w:tc>
        <w:tc>
          <w:tcPr>
            <w:tcW w:w="479" w:type="pct"/>
            <w:tcBorders>
              <w:tl2br w:val="nil"/>
              <w:tr2bl w:val="nil"/>
            </w:tcBorders>
            <w:shd w:val="clear" w:color="auto" w:fill="auto"/>
            <w:noWrap/>
            <w:vAlign w:val="center"/>
          </w:tcPr>
          <w:p w14:paraId="46000C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3T</w:t>
            </w:r>
          </w:p>
        </w:tc>
        <w:tc>
          <w:tcPr>
            <w:tcW w:w="249" w:type="pct"/>
            <w:tcBorders>
              <w:tl2br w:val="nil"/>
              <w:tr2bl w:val="nil"/>
            </w:tcBorders>
            <w:shd w:val="clear" w:color="auto" w:fill="auto"/>
            <w:noWrap/>
            <w:vAlign w:val="center"/>
          </w:tcPr>
          <w:p w14:paraId="3E4A64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67" w:type="pct"/>
            <w:tcBorders>
              <w:tl2br w:val="nil"/>
              <w:tr2bl w:val="nil"/>
            </w:tcBorders>
            <w:shd w:val="clear" w:color="auto" w:fill="auto"/>
            <w:noWrap/>
            <w:vAlign w:val="center"/>
          </w:tcPr>
          <w:p w14:paraId="4EF74E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eastAsia" w:eastAsia="宋体" w:cs="Times New Roman"/>
                <w:color w:val="000000"/>
                <w:kern w:val="0"/>
                <w:sz w:val="21"/>
                <w:szCs w:val="21"/>
                <w:highlight w:val="none"/>
                <w:lang w:val="en-US" w:eastAsia="zh-CN"/>
              </w:rPr>
              <w:t>3</w:t>
            </w:r>
          </w:p>
        </w:tc>
        <w:tc>
          <w:tcPr>
            <w:tcW w:w="1381" w:type="pct"/>
            <w:tcBorders>
              <w:tl2br w:val="nil"/>
              <w:tr2bl w:val="nil"/>
            </w:tcBorders>
            <w:shd w:val="clear" w:color="auto" w:fill="auto"/>
            <w:noWrap/>
            <w:vAlign w:val="center"/>
          </w:tcPr>
          <w:p w14:paraId="6556D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助剂粉剂生产</w:t>
            </w:r>
            <w:r>
              <w:rPr>
                <w:rFonts w:hint="eastAsia" w:eastAsia="宋体" w:cs="Times New Roman"/>
                <w:color w:val="000000"/>
                <w:kern w:val="0"/>
                <w:sz w:val="21"/>
                <w:szCs w:val="21"/>
                <w:highlight w:val="none"/>
                <w:lang w:eastAsia="zh-CN"/>
              </w:rPr>
              <w:t>（</w:t>
            </w:r>
            <w:r>
              <w:rPr>
                <w:rFonts w:hint="eastAsia" w:eastAsia="宋体" w:cs="Times New Roman"/>
                <w:color w:val="000000"/>
                <w:kern w:val="0"/>
                <w:sz w:val="21"/>
                <w:szCs w:val="21"/>
                <w:highlight w:val="none"/>
                <w:lang w:val="en-US" w:eastAsia="zh-CN"/>
              </w:rPr>
              <w:t>产品为防染粉1#</w:t>
            </w:r>
            <w:r>
              <w:rPr>
                <w:rFonts w:hint="eastAsia" w:eastAsia="宋体" w:cs="Times New Roman"/>
                <w:color w:val="000000"/>
                <w:kern w:val="0"/>
                <w:sz w:val="21"/>
                <w:szCs w:val="21"/>
                <w:highlight w:val="none"/>
                <w:lang w:eastAsia="zh-CN"/>
              </w:rPr>
              <w:t>）</w:t>
            </w:r>
          </w:p>
        </w:tc>
        <w:tc>
          <w:tcPr>
            <w:tcW w:w="427" w:type="pct"/>
            <w:tcBorders>
              <w:tl2br w:val="nil"/>
              <w:tr2bl w:val="nil"/>
            </w:tcBorders>
            <w:shd w:val="clear" w:color="auto" w:fill="auto"/>
            <w:noWrap/>
            <w:vAlign w:val="center"/>
          </w:tcPr>
          <w:p w14:paraId="71C25D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eastAsia" w:eastAsia="宋体" w:cs="Times New Roman"/>
                <w:b/>
                <w:bCs/>
                <w:color w:val="000000"/>
                <w:kern w:val="0"/>
                <w:sz w:val="21"/>
                <w:szCs w:val="21"/>
                <w:highlight w:val="none"/>
                <w:lang w:val="en-US" w:eastAsia="zh-CN"/>
              </w:rPr>
              <w:t>4#</w:t>
            </w:r>
          </w:p>
        </w:tc>
        <w:tc>
          <w:tcPr>
            <w:tcW w:w="1045" w:type="pct"/>
            <w:tcBorders>
              <w:tl2br w:val="nil"/>
              <w:tr2bl w:val="nil"/>
            </w:tcBorders>
            <w:shd w:val="clear" w:color="auto" w:fill="auto"/>
            <w:noWrap/>
            <w:vAlign w:val="center"/>
          </w:tcPr>
          <w:p w14:paraId="2004FD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eastAsia="宋体" w:cs="Times New Roman"/>
                <w:color w:val="000000"/>
                <w:kern w:val="0"/>
                <w:sz w:val="21"/>
                <w:szCs w:val="21"/>
                <w:highlight w:val="none"/>
                <w:lang w:val="en-US" w:eastAsia="zh-CN"/>
              </w:rPr>
              <w:t>2</w:t>
            </w:r>
            <w:r>
              <w:rPr>
                <w:rFonts w:hint="default" w:ascii="Times New Roman" w:hAnsi="Times New Roman" w:eastAsia="宋体" w:cs="Times New Roman"/>
                <w:color w:val="000000"/>
                <w:kern w:val="0"/>
                <w:sz w:val="21"/>
                <w:szCs w:val="21"/>
                <w:highlight w:val="none"/>
                <w:lang w:val="en-US" w:eastAsia="zh-CN"/>
              </w:rPr>
              <w:t>用</w:t>
            </w:r>
            <w:r>
              <w:rPr>
                <w:rFonts w:hint="eastAsia" w:eastAsia="宋体" w:cs="Times New Roman"/>
                <w:color w:val="000000"/>
                <w:kern w:val="0"/>
                <w:sz w:val="21"/>
                <w:szCs w:val="21"/>
                <w:highlight w:val="none"/>
                <w:lang w:val="en-US" w:eastAsia="zh-CN"/>
              </w:rPr>
              <w:t>1</w:t>
            </w:r>
            <w:r>
              <w:rPr>
                <w:rFonts w:hint="default" w:ascii="Times New Roman" w:hAnsi="Times New Roman" w:eastAsia="宋体" w:cs="Times New Roman"/>
                <w:color w:val="000000"/>
                <w:kern w:val="0"/>
                <w:sz w:val="21"/>
                <w:szCs w:val="21"/>
                <w:highlight w:val="none"/>
                <w:lang w:val="en-US" w:eastAsia="zh-CN"/>
              </w:rPr>
              <w:t>备，</w:t>
            </w:r>
            <w:r>
              <w:rPr>
                <w:rFonts w:hint="eastAsia" w:eastAsia="宋体" w:cs="Times New Roman"/>
                <w:color w:val="000000"/>
                <w:kern w:val="0"/>
                <w:sz w:val="21"/>
                <w:szCs w:val="21"/>
                <w:highlight w:val="none"/>
                <w:lang w:val="en-US" w:eastAsia="zh-CN"/>
              </w:rPr>
              <w:t>位于</w:t>
            </w:r>
            <w:r>
              <w:rPr>
                <w:rFonts w:hint="default" w:ascii="Times New Roman" w:hAnsi="Times New Roman" w:eastAsia="宋体" w:cs="Times New Roman"/>
                <w:color w:val="000000"/>
                <w:kern w:val="0"/>
                <w:sz w:val="21"/>
                <w:szCs w:val="21"/>
                <w:highlight w:val="none"/>
                <w:lang w:val="en-US" w:eastAsia="zh-CN"/>
              </w:rPr>
              <w:t>固体助剂车间</w:t>
            </w:r>
          </w:p>
        </w:tc>
      </w:tr>
      <w:tr w14:paraId="26E9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65863E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4</w:t>
            </w:r>
          </w:p>
        </w:tc>
        <w:tc>
          <w:tcPr>
            <w:tcW w:w="903" w:type="pct"/>
            <w:tcBorders>
              <w:tl2br w:val="nil"/>
              <w:tr2bl w:val="nil"/>
            </w:tcBorders>
            <w:shd w:val="clear" w:color="auto" w:fill="auto"/>
            <w:noWrap/>
            <w:vAlign w:val="center"/>
          </w:tcPr>
          <w:p w14:paraId="48860A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电加热搅拌釜</w:t>
            </w:r>
          </w:p>
        </w:tc>
        <w:tc>
          <w:tcPr>
            <w:tcW w:w="479" w:type="pct"/>
            <w:tcBorders>
              <w:tl2br w:val="nil"/>
              <w:tr2bl w:val="nil"/>
            </w:tcBorders>
            <w:shd w:val="clear" w:color="auto" w:fill="auto"/>
            <w:noWrap/>
            <w:vAlign w:val="center"/>
          </w:tcPr>
          <w:p w14:paraId="657900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3T</w:t>
            </w:r>
          </w:p>
        </w:tc>
        <w:tc>
          <w:tcPr>
            <w:tcW w:w="249" w:type="pct"/>
            <w:tcBorders>
              <w:tl2br w:val="nil"/>
              <w:tr2bl w:val="nil"/>
            </w:tcBorders>
            <w:shd w:val="clear" w:color="auto" w:fill="auto"/>
            <w:noWrap/>
            <w:vAlign w:val="center"/>
          </w:tcPr>
          <w:p w14:paraId="5DB6E8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67" w:type="pct"/>
            <w:tcBorders>
              <w:tl2br w:val="nil"/>
              <w:tr2bl w:val="nil"/>
            </w:tcBorders>
            <w:shd w:val="clear" w:color="auto" w:fill="auto"/>
            <w:noWrap/>
            <w:vAlign w:val="center"/>
          </w:tcPr>
          <w:p w14:paraId="78B049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381" w:type="pct"/>
            <w:tcBorders>
              <w:tl2br w:val="nil"/>
              <w:tr2bl w:val="nil"/>
            </w:tcBorders>
            <w:shd w:val="clear" w:color="auto" w:fill="auto"/>
            <w:noWrap/>
            <w:vAlign w:val="center"/>
          </w:tcPr>
          <w:p w14:paraId="4B7CB5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助剂水剂生产</w:t>
            </w:r>
            <w:r>
              <w:rPr>
                <w:rFonts w:hint="eastAsia" w:eastAsia="宋体" w:cs="Times New Roman"/>
                <w:color w:val="000000"/>
                <w:kern w:val="0"/>
                <w:sz w:val="21"/>
                <w:szCs w:val="21"/>
                <w:highlight w:val="none"/>
                <w:lang w:val="en-US" w:eastAsia="zh-CN"/>
              </w:rPr>
              <w:t>（产品为防染剂）</w:t>
            </w:r>
          </w:p>
        </w:tc>
        <w:tc>
          <w:tcPr>
            <w:tcW w:w="427" w:type="pct"/>
            <w:tcBorders>
              <w:tl2br w:val="nil"/>
              <w:tr2bl w:val="nil"/>
            </w:tcBorders>
            <w:shd w:val="clear" w:color="auto" w:fill="auto"/>
            <w:noWrap/>
            <w:vAlign w:val="center"/>
          </w:tcPr>
          <w:p w14:paraId="196C46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eastAsia" w:eastAsia="宋体" w:cs="Times New Roman"/>
                <w:b/>
                <w:bCs/>
                <w:color w:val="000000"/>
                <w:kern w:val="0"/>
                <w:sz w:val="21"/>
                <w:szCs w:val="21"/>
                <w:highlight w:val="none"/>
                <w:lang w:val="en-US" w:eastAsia="zh-CN"/>
              </w:rPr>
              <w:t>5#</w:t>
            </w:r>
          </w:p>
        </w:tc>
        <w:tc>
          <w:tcPr>
            <w:tcW w:w="1045" w:type="pct"/>
            <w:tcBorders>
              <w:tl2br w:val="nil"/>
              <w:tr2bl w:val="nil"/>
            </w:tcBorders>
            <w:shd w:val="clear" w:color="auto" w:fill="auto"/>
            <w:noWrap/>
            <w:vAlign w:val="center"/>
          </w:tcPr>
          <w:p w14:paraId="235D55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位于固体助剂车间</w:t>
            </w:r>
          </w:p>
        </w:tc>
      </w:tr>
      <w:tr w14:paraId="0371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5ADA8A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5</w:t>
            </w:r>
          </w:p>
        </w:tc>
        <w:tc>
          <w:tcPr>
            <w:tcW w:w="903" w:type="pct"/>
            <w:tcBorders>
              <w:tl2br w:val="nil"/>
              <w:tr2bl w:val="nil"/>
            </w:tcBorders>
            <w:shd w:val="clear" w:color="auto" w:fill="auto"/>
            <w:noWrap/>
            <w:vAlign w:val="center"/>
          </w:tcPr>
          <w:p w14:paraId="2AABE2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简易</w:t>
            </w:r>
            <w:r>
              <w:rPr>
                <w:rFonts w:hint="default" w:ascii="Times New Roman" w:hAnsi="Times New Roman" w:eastAsia="宋体" w:cs="Times New Roman"/>
                <w:color w:val="000000"/>
                <w:kern w:val="0"/>
                <w:sz w:val="21"/>
                <w:szCs w:val="21"/>
                <w:highlight w:val="none"/>
                <w:lang w:val="en-US" w:eastAsia="zh-CN"/>
              </w:rPr>
              <w:t>电加热</w:t>
            </w:r>
            <w:r>
              <w:rPr>
                <w:rFonts w:hint="default" w:ascii="Times New Roman" w:hAnsi="Times New Roman" w:eastAsia="宋体" w:cs="Times New Roman"/>
                <w:color w:val="000000"/>
                <w:kern w:val="0"/>
                <w:sz w:val="21"/>
                <w:szCs w:val="21"/>
                <w:highlight w:val="none"/>
              </w:rPr>
              <w:t>混合搅拌</w:t>
            </w:r>
            <w:r>
              <w:rPr>
                <w:rFonts w:hint="default" w:ascii="Times New Roman" w:hAnsi="Times New Roman" w:eastAsia="宋体" w:cs="Times New Roman"/>
                <w:color w:val="000000"/>
                <w:kern w:val="0"/>
                <w:sz w:val="21"/>
                <w:szCs w:val="21"/>
                <w:highlight w:val="none"/>
                <w:lang w:val="en-US" w:eastAsia="zh-CN"/>
              </w:rPr>
              <w:t>釜</w:t>
            </w:r>
          </w:p>
        </w:tc>
        <w:tc>
          <w:tcPr>
            <w:tcW w:w="479" w:type="pct"/>
            <w:tcBorders>
              <w:tl2br w:val="nil"/>
              <w:tr2bl w:val="nil"/>
            </w:tcBorders>
            <w:shd w:val="clear" w:color="auto" w:fill="auto"/>
            <w:noWrap/>
            <w:vAlign w:val="center"/>
          </w:tcPr>
          <w:p w14:paraId="0FA784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2T</w:t>
            </w:r>
          </w:p>
        </w:tc>
        <w:tc>
          <w:tcPr>
            <w:tcW w:w="249" w:type="pct"/>
            <w:tcBorders>
              <w:tl2br w:val="nil"/>
              <w:tr2bl w:val="nil"/>
            </w:tcBorders>
            <w:shd w:val="clear" w:color="auto" w:fill="auto"/>
            <w:noWrap/>
            <w:vAlign w:val="center"/>
          </w:tcPr>
          <w:p w14:paraId="606A6D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67" w:type="pct"/>
            <w:tcBorders>
              <w:tl2br w:val="nil"/>
              <w:tr2bl w:val="nil"/>
            </w:tcBorders>
            <w:shd w:val="clear" w:color="auto" w:fill="auto"/>
            <w:noWrap/>
            <w:vAlign w:val="center"/>
          </w:tcPr>
          <w:p w14:paraId="6B6037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2</w:t>
            </w:r>
          </w:p>
        </w:tc>
        <w:tc>
          <w:tcPr>
            <w:tcW w:w="1381" w:type="pct"/>
            <w:tcBorders>
              <w:tl2br w:val="nil"/>
              <w:tr2bl w:val="nil"/>
            </w:tcBorders>
            <w:shd w:val="clear" w:color="auto" w:fill="auto"/>
            <w:noWrap/>
            <w:vAlign w:val="center"/>
          </w:tcPr>
          <w:p w14:paraId="27E23C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助剂水剂生产</w:t>
            </w:r>
            <w:r>
              <w:rPr>
                <w:rFonts w:hint="eastAsia" w:eastAsia="宋体" w:cs="Times New Roman"/>
                <w:color w:val="000000"/>
                <w:kern w:val="0"/>
                <w:sz w:val="21"/>
                <w:szCs w:val="21"/>
                <w:highlight w:val="none"/>
                <w:lang w:val="en-US" w:eastAsia="zh-CN"/>
              </w:rPr>
              <w:t>（产品为硅油）</w:t>
            </w:r>
          </w:p>
        </w:tc>
        <w:tc>
          <w:tcPr>
            <w:tcW w:w="427" w:type="pct"/>
            <w:tcBorders>
              <w:tl2br w:val="nil"/>
              <w:tr2bl w:val="nil"/>
            </w:tcBorders>
            <w:shd w:val="clear" w:color="auto" w:fill="auto"/>
            <w:noWrap/>
            <w:vAlign w:val="center"/>
          </w:tcPr>
          <w:p w14:paraId="17B214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eastAsia" w:eastAsia="宋体" w:cs="Times New Roman"/>
                <w:b/>
                <w:bCs/>
                <w:color w:val="000000"/>
                <w:kern w:val="0"/>
                <w:sz w:val="21"/>
                <w:szCs w:val="21"/>
                <w:highlight w:val="none"/>
                <w:lang w:val="en-US" w:eastAsia="zh-CN"/>
              </w:rPr>
              <w:t>2#</w:t>
            </w:r>
          </w:p>
        </w:tc>
        <w:tc>
          <w:tcPr>
            <w:tcW w:w="1045" w:type="pct"/>
            <w:tcBorders>
              <w:tl2br w:val="nil"/>
              <w:tr2bl w:val="nil"/>
            </w:tcBorders>
            <w:shd w:val="clear" w:color="auto" w:fill="auto"/>
            <w:noWrap/>
            <w:vAlign w:val="center"/>
          </w:tcPr>
          <w:p w14:paraId="33AE35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位于液态产品复配车间</w:t>
            </w:r>
          </w:p>
        </w:tc>
      </w:tr>
      <w:tr w14:paraId="69A50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0EBD6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6</w:t>
            </w:r>
          </w:p>
        </w:tc>
        <w:tc>
          <w:tcPr>
            <w:tcW w:w="903" w:type="pct"/>
            <w:tcBorders>
              <w:tl2br w:val="nil"/>
              <w:tr2bl w:val="nil"/>
            </w:tcBorders>
            <w:shd w:val="clear" w:color="auto" w:fill="auto"/>
            <w:noWrap/>
            <w:vAlign w:val="center"/>
          </w:tcPr>
          <w:p w14:paraId="69358D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打粉机</w:t>
            </w:r>
          </w:p>
        </w:tc>
        <w:tc>
          <w:tcPr>
            <w:tcW w:w="479" w:type="pct"/>
            <w:tcBorders>
              <w:tl2br w:val="nil"/>
              <w:tr2bl w:val="nil"/>
            </w:tcBorders>
            <w:shd w:val="clear" w:color="auto" w:fill="auto"/>
            <w:noWrap/>
            <w:vAlign w:val="center"/>
          </w:tcPr>
          <w:p w14:paraId="1B190E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　</w:t>
            </w:r>
            <w:r>
              <w:rPr>
                <w:rFonts w:hint="default" w:ascii="Times New Roman" w:hAnsi="Times New Roman" w:eastAsia="宋体" w:cs="Times New Roman"/>
                <w:color w:val="000000"/>
                <w:kern w:val="0"/>
                <w:sz w:val="21"/>
                <w:szCs w:val="21"/>
                <w:highlight w:val="none"/>
                <w:lang w:val="en-US" w:eastAsia="zh-CN"/>
              </w:rPr>
              <w:t>/</w:t>
            </w:r>
          </w:p>
        </w:tc>
        <w:tc>
          <w:tcPr>
            <w:tcW w:w="249" w:type="pct"/>
            <w:tcBorders>
              <w:tl2br w:val="nil"/>
              <w:tr2bl w:val="nil"/>
            </w:tcBorders>
            <w:shd w:val="clear" w:color="auto" w:fill="auto"/>
            <w:noWrap/>
            <w:vAlign w:val="center"/>
          </w:tcPr>
          <w:p w14:paraId="111995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台</w:t>
            </w:r>
          </w:p>
        </w:tc>
        <w:tc>
          <w:tcPr>
            <w:tcW w:w="267" w:type="pct"/>
            <w:tcBorders>
              <w:tl2br w:val="nil"/>
              <w:tr2bl w:val="nil"/>
            </w:tcBorders>
            <w:shd w:val="clear" w:color="auto" w:fill="auto"/>
            <w:noWrap/>
            <w:vAlign w:val="center"/>
          </w:tcPr>
          <w:p w14:paraId="6BB032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1381" w:type="pct"/>
            <w:tcBorders>
              <w:tl2br w:val="nil"/>
              <w:tr2bl w:val="nil"/>
            </w:tcBorders>
            <w:shd w:val="clear" w:color="auto" w:fill="auto"/>
            <w:noWrap/>
            <w:vAlign w:val="center"/>
          </w:tcPr>
          <w:p w14:paraId="38ACBB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　</w:t>
            </w:r>
          </w:p>
        </w:tc>
        <w:tc>
          <w:tcPr>
            <w:tcW w:w="427" w:type="pct"/>
            <w:tcBorders>
              <w:tl2br w:val="nil"/>
              <w:tr2bl w:val="nil"/>
            </w:tcBorders>
            <w:shd w:val="clear" w:color="auto" w:fill="auto"/>
            <w:noWrap/>
            <w:vAlign w:val="center"/>
          </w:tcPr>
          <w:p w14:paraId="64904E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045" w:type="pct"/>
            <w:tcBorders>
              <w:tl2br w:val="nil"/>
              <w:tr2bl w:val="nil"/>
            </w:tcBorders>
            <w:shd w:val="clear" w:color="auto" w:fill="auto"/>
            <w:noWrap/>
            <w:vAlign w:val="center"/>
          </w:tcPr>
          <w:p w14:paraId="2A200D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p>
        </w:tc>
      </w:tr>
      <w:tr w14:paraId="43D8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15AC8D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7</w:t>
            </w:r>
          </w:p>
        </w:tc>
        <w:tc>
          <w:tcPr>
            <w:tcW w:w="903" w:type="pct"/>
            <w:tcBorders>
              <w:tl2br w:val="nil"/>
              <w:tr2bl w:val="nil"/>
            </w:tcBorders>
            <w:shd w:val="clear" w:color="auto" w:fill="auto"/>
            <w:noWrap/>
            <w:vAlign w:val="center"/>
          </w:tcPr>
          <w:p w14:paraId="38168D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循环冷却</w:t>
            </w:r>
            <w:r>
              <w:rPr>
                <w:rFonts w:hint="default" w:ascii="Times New Roman" w:hAnsi="Times New Roman" w:eastAsia="宋体" w:cs="Times New Roman"/>
                <w:color w:val="000000"/>
                <w:kern w:val="0"/>
                <w:sz w:val="21"/>
                <w:szCs w:val="21"/>
                <w:highlight w:val="none"/>
                <w:lang w:val="en-US" w:eastAsia="zh-CN"/>
              </w:rPr>
              <w:t>水箱</w:t>
            </w:r>
          </w:p>
        </w:tc>
        <w:tc>
          <w:tcPr>
            <w:tcW w:w="479" w:type="pct"/>
            <w:tcBorders>
              <w:tl2br w:val="nil"/>
              <w:tr2bl w:val="nil"/>
            </w:tcBorders>
            <w:shd w:val="clear" w:color="auto" w:fill="auto"/>
            <w:noWrap/>
            <w:vAlign w:val="center"/>
          </w:tcPr>
          <w:p w14:paraId="6890AA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25m³</w:t>
            </w:r>
          </w:p>
        </w:tc>
        <w:tc>
          <w:tcPr>
            <w:tcW w:w="249" w:type="pct"/>
            <w:tcBorders>
              <w:tl2br w:val="nil"/>
              <w:tr2bl w:val="nil"/>
            </w:tcBorders>
            <w:shd w:val="clear" w:color="auto" w:fill="auto"/>
            <w:noWrap/>
            <w:vAlign w:val="center"/>
          </w:tcPr>
          <w:p w14:paraId="7350F9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p>
        </w:tc>
        <w:tc>
          <w:tcPr>
            <w:tcW w:w="267" w:type="pct"/>
            <w:tcBorders>
              <w:tl2br w:val="nil"/>
              <w:tr2bl w:val="nil"/>
            </w:tcBorders>
            <w:shd w:val="clear" w:color="auto" w:fill="auto"/>
            <w:noWrap/>
            <w:vAlign w:val="center"/>
          </w:tcPr>
          <w:p w14:paraId="0098EC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1381" w:type="pct"/>
            <w:tcBorders>
              <w:tl2br w:val="nil"/>
              <w:tr2bl w:val="nil"/>
            </w:tcBorders>
            <w:shd w:val="clear" w:color="auto" w:fill="auto"/>
            <w:noWrap/>
            <w:vAlign w:val="center"/>
          </w:tcPr>
          <w:p w14:paraId="0E9614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427" w:type="pct"/>
            <w:tcBorders>
              <w:tl2br w:val="nil"/>
              <w:tr2bl w:val="nil"/>
            </w:tcBorders>
            <w:shd w:val="clear" w:color="auto" w:fill="auto"/>
            <w:noWrap/>
            <w:vAlign w:val="center"/>
          </w:tcPr>
          <w:p w14:paraId="767B86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045" w:type="pct"/>
            <w:tcBorders>
              <w:tl2br w:val="nil"/>
              <w:tr2bl w:val="nil"/>
            </w:tcBorders>
            <w:shd w:val="clear" w:color="auto" w:fill="auto"/>
            <w:noWrap/>
            <w:vAlign w:val="center"/>
          </w:tcPr>
          <w:p w14:paraId="46B7C6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658B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5" w:type="pct"/>
            <w:tcBorders>
              <w:tl2br w:val="nil"/>
              <w:tr2bl w:val="nil"/>
            </w:tcBorders>
            <w:shd w:val="clear" w:color="auto" w:fill="auto"/>
            <w:noWrap/>
            <w:vAlign w:val="center"/>
          </w:tcPr>
          <w:p w14:paraId="61BBF0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eastAsia="宋体" w:cs="Times New Roman"/>
                <w:color w:val="000000"/>
                <w:kern w:val="0"/>
                <w:sz w:val="21"/>
                <w:szCs w:val="21"/>
                <w:highlight w:val="none"/>
                <w:lang w:val="en-US" w:eastAsia="zh-CN"/>
              </w:rPr>
              <w:t>8</w:t>
            </w:r>
          </w:p>
        </w:tc>
        <w:tc>
          <w:tcPr>
            <w:tcW w:w="903" w:type="pct"/>
            <w:tcBorders>
              <w:tl2br w:val="nil"/>
              <w:tr2bl w:val="nil"/>
            </w:tcBorders>
            <w:shd w:val="clear" w:color="auto" w:fill="auto"/>
            <w:noWrap/>
            <w:vAlign w:val="center"/>
          </w:tcPr>
          <w:p w14:paraId="5A6F3F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反渗透制水设备</w:t>
            </w:r>
          </w:p>
        </w:tc>
        <w:tc>
          <w:tcPr>
            <w:tcW w:w="479" w:type="pct"/>
            <w:tcBorders>
              <w:tl2br w:val="nil"/>
              <w:tr2bl w:val="nil"/>
            </w:tcBorders>
            <w:shd w:val="clear" w:color="auto" w:fill="auto"/>
            <w:noWrap/>
            <w:vAlign w:val="center"/>
          </w:tcPr>
          <w:p w14:paraId="254D3B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c>
          <w:tcPr>
            <w:tcW w:w="249" w:type="pct"/>
            <w:tcBorders>
              <w:tl2br w:val="nil"/>
              <w:tr2bl w:val="nil"/>
            </w:tcBorders>
            <w:shd w:val="clear" w:color="auto" w:fill="auto"/>
            <w:noWrap/>
            <w:vAlign w:val="center"/>
          </w:tcPr>
          <w:p w14:paraId="780AE2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p>
        </w:tc>
        <w:tc>
          <w:tcPr>
            <w:tcW w:w="267" w:type="pct"/>
            <w:tcBorders>
              <w:tl2br w:val="nil"/>
              <w:tr2bl w:val="nil"/>
            </w:tcBorders>
            <w:shd w:val="clear" w:color="auto" w:fill="auto"/>
            <w:noWrap/>
            <w:vAlign w:val="center"/>
          </w:tcPr>
          <w:p w14:paraId="23F72F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381" w:type="pct"/>
            <w:tcBorders>
              <w:tl2br w:val="nil"/>
              <w:tr2bl w:val="nil"/>
            </w:tcBorders>
            <w:shd w:val="clear" w:color="auto" w:fill="auto"/>
            <w:noWrap/>
            <w:vAlign w:val="center"/>
          </w:tcPr>
          <w:p w14:paraId="35BB45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427" w:type="pct"/>
            <w:tcBorders>
              <w:tl2br w:val="nil"/>
              <w:tr2bl w:val="nil"/>
            </w:tcBorders>
            <w:shd w:val="clear" w:color="auto" w:fill="auto"/>
            <w:noWrap/>
            <w:vAlign w:val="center"/>
          </w:tcPr>
          <w:p w14:paraId="4491B2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p>
        </w:tc>
        <w:tc>
          <w:tcPr>
            <w:tcW w:w="1045" w:type="pct"/>
            <w:tcBorders>
              <w:tl2br w:val="nil"/>
              <w:tr2bl w:val="nil"/>
            </w:tcBorders>
            <w:shd w:val="clear" w:color="auto" w:fill="auto"/>
            <w:noWrap/>
            <w:vAlign w:val="center"/>
          </w:tcPr>
          <w:p w14:paraId="33D978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p>
        </w:tc>
      </w:tr>
    </w:tbl>
    <w:p w14:paraId="2437CCF5">
      <w:pPr>
        <w:pStyle w:val="6"/>
        <w:bidi w:val="0"/>
        <w:rPr>
          <w:highlight w:val="none"/>
        </w:rPr>
      </w:pPr>
      <w:bookmarkStart w:id="80" w:name="_Toc1622"/>
      <w:r>
        <w:rPr>
          <w:highlight w:val="none"/>
        </w:rPr>
        <w:t>3.</w:t>
      </w:r>
      <w:r>
        <w:rPr>
          <w:rFonts w:hint="eastAsia"/>
          <w:highlight w:val="none"/>
          <w:lang w:val="en-US" w:eastAsia="zh-CN"/>
        </w:rPr>
        <w:t xml:space="preserve">5 </w:t>
      </w:r>
      <w:r>
        <w:rPr>
          <w:highlight w:val="none"/>
        </w:rPr>
        <w:t>建设项目原料及能源消耗情况</w:t>
      </w:r>
      <w:bookmarkEnd w:id="80"/>
    </w:p>
    <w:p w14:paraId="6DA2C3B1">
      <w:pPr>
        <w:ind w:firstLine="472" w:firstLineChars="200"/>
        <w:rPr>
          <w:rFonts w:hint="eastAsia" w:ascii="Times New Roman" w:hAnsi="Times New Roman" w:eastAsia="宋体" w:cs="Times New Roman"/>
          <w:spacing w:val="-2"/>
          <w:kern w:val="0"/>
          <w:sz w:val="24"/>
          <w:szCs w:val="20"/>
          <w:highlight w:val="none"/>
          <w:lang w:val="en-US" w:eastAsia="zh-CN" w:bidi="ar-SA"/>
        </w:rPr>
      </w:pPr>
      <w:r>
        <w:rPr>
          <w:rFonts w:ascii="Times New Roman" w:hAnsi="Times New Roman" w:eastAsia="宋体" w:cs="Times New Roman"/>
          <w:spacing w:val="-2"/>
          <w:kern w:val="0"/>
          <w:sz w:val="24"/>
          <w:szCs w:val="20"/>
          <w:highlight w:val="none"/>
          <w:lang w:val="en-US" w:eastAsia="zh-CN" w:bidi="ar-SA"/>
        </w:rPr>
        <w:t>本项目原辅材料及能源消耗见表3.</w:t>
      </w:r>
      <w:r>
        <w:rPr>
          <w:rFonts w:hint="eastAsia" w:ascii="Times New Roman" w:hAnsi="Times New Roman" w:eastAsia="宋体" w:cs="Times New Roman"/>
          <w:spacing w:val="-2"/>
          <w:kern w:val="0"/>
          <w:sz w:val="24"/>
          <w:szCs w:val="20"/>
          <w:highlight w:val="none"/>
          <w:lang w:val="en-US" w:eastAsia="zh-CN" w:bidi="ar-SA"/>
        </w:rPr>
        <w:t>5</w:t>
      </w:r>
      <w:r>
        <w:rPr>
          <w:rFonts w:ascii="Times New Roman" w:hAnsi="Times New Roman" w:eastAsia="宋体" w:cs="Times New Roman"/>
          <w:spacing w:val="-2"/>
          <w:kern w:val="0"/>
          <w:sz w:val="24"/>
          <w:szCs w:val="20"/>
          <w:highlight w:val="none"/>
          <w:lang w:val="en-US" w:eastAsia="zh-CN" w:bidi="ar-SA"/>
        </w:rPr>
        <w:t>-1。</w:t>
      </w:r>
    </w:p>
    <w:p w14:paraId="5E6D509C">
      <w:pPr>
        <w:jc w:val="center"/>
        <w:rPr>
          <w:rFonts w:hint="eastAsia" w:ascii="Times New Roman" w:hAnsi="Times New Roman" w:eastAsia="宋体" w:cs="Times New Roman"/>
          <w:b/>
          <w:bCs/>
          <w:spacing w:val="-2"/>
          <w:kern w:val="0"/>
          <w:sz w:val="24"/>
          <w:szCs w:val="20"/>
          <w:highlight w:val="none"/>
          <w:lang w:val="en-US" w:eastAsia="zh-CN" w:bidi="ar-SA"/>
        </w:rPr>
      </w:pPr>
      <w:r>
        <w:rPr>
          <w:rFonts w:ascii="Times New Roman" w:hAnsi="Times New Roman" w:eastAsia="宋体" w:cs="Times New Roman"/>
          <w:b/>
          <w:bCs/>
          <w:spacing w:val="-2"/>
          <w:kern w:val="0"/>
          <w:sz w:val="24"/>
          <w:szCs w:val="20"/>
          <w:highlight w:val="none"/>
          <w:lang w:val="en-US" w:eastAsia="zh-CN" w:bidi="ar-SA"/>
        </w:rPr>
        <w:t>表3.</w:t>
      </w:r>
      <w:r>
        <w:rPr>
          <w:rFonts w:hint="eastAsia" w:ascii="Times New Roman" w:hAnsi="Times New Roman" w:eastAsia="宋体" w:cs="Times New Roman"/>
          <w:b/>
          <w:bCs/>
          <w:spacing w:val="-2"/>
          <w:kern w:val="0"/>
          <w:sz w:val="24"/>
          <w:szCs w:val="20"/>
          <w:highlight w:val="none"/>
          <w:lang w:val="en-US" w:eastAsia="zh-CN" w:bidi="ar-SA"/>
        </w:rPr>
        <w:t>5</w:t>
      </w:r>
      <w:r>
        <w:rPr>
          <w:rFonts w:ascii="Times New Roman" w:hAnsi="Times New Roman" w:eastAsia="宋体" w:cs="Times New Roman"/>
          <w:b/>
          <w:bCs/>
          <w:spacing w:val="-2"/>
          <w:kern w:val="0"/>
          <w:sz w:val="24"/>
          <w:szCs w:val="20"/>
          <w:highlight w:val="none"/>
          <w:lang w:val="en-US" w:eastAsia="zh-CN" w:bidi="ar-SA"/>
        </w:rPr>
        <w:t>-1  原辅材料及能源消耗  单位：</w:t>
      </w:r>
      <w:r>
        <w:rPr>
          <w:rFonts w:hint="eastAsia" w:ascii="Times New Roman" w:hAnsi="Times New Roman" w:eastAsia="宋体" w:cs="Times New Roman"/>
          <w:b/>
          <w:bCs/>
          <w:spacing w:val="-2"/>
          <w:kern w:val="0"/>
          <w:sz w:val="24"/>
          <w:szCs w:val="20"/>
          <w:highlight w:val="none"/>
          <w:lang w:val="en-US" w:eastAsia="zh-CN" w:bidi="ar-SA"/>
        </w:rPr>
        <w:t>t</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130"/>
        <w:gridCol w:w="1105"/>
        <w:gridCol w:w="1475"/>
        <w:gridCol w:w="1475"/>
        <w:gridCol w:w="1617"/>
      </w:tblGrid>
      <w:tr w14:paraId="7299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jc w:val="center"/>
        </w:trPr>
        <w:tc>
          <w:tcPr>
            <w:tcW w:w="417" w:type="pct"/>
            <w:vAlign w:val="center"/>
          </w:tcPr>
          <w:p w14:paraId="2779A2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序号</w:t>
            </w:r>
          </w:p>
        </w:tc>
        <w:tc>
          <w:tcPr>
            <w:tcW w:w="1251" w:type="pct"/>
            <w:vAlign w:val="center"/>
          </w:tcPr>
          <w:p w14:paraId="207A25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名称</w:t>
            </w:r>
          </w:p>
        </w:tc>
        <w:tc>
          <w:tcPr>
            <w:tcW w:w="649" w:type="pct"/>
            <w:vAlign w:val="center"/>
          </w:tcPr>
          <w:p w14:paraId="68CDB5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状态</w:t>
            </w:r>
          </w:p>
        </w:tc>
        <w:tc>
          <w:tcPr>
            <w:tcW w:w="866" w:type="pct"/>
            <w:vAlign w:val="center"/>
          </w:tcPr>
          <w:p w14:paraId="0832C2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年用量（t/a）</w:t>
            </w:r>
          </w:p>
        </w:tc>
        <w:tc>
          <w:tcPr>
            <w:tcW w:w="866" w:type="pct"/>
            <w:vAlign w:val="center"/>
          </w:tcPr>
          <w:p w14:paraId="2153DE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最大储存量（t）</w:t>
            </w:r>
          </w:p>
        </w:tc>
        <w:tc>
          <w:tcPr>
            <w:tcW w:w="949" w:type="pct"/>
            <w:vAlign w:val="center"/>
          </w:tcPr>
          <w:p w14:paraId="4484D0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储存</w:t>
            </w:r>
          </w:p>
          <w:p w14:paraId="68C4FA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方式</w:t>
            </w:r>
          </w:p>
        </w:tc>
      </w:tr>
      <w:tr w14:paraId="319C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exact"/>
          <w:jc w:val="center"/>
        </w:trPr>
        <w:tc>
          <w:tcPr>
            <w:tcW w:w="417" w:type="pct"/>
            <w:vAlign w:val="center"/>
          </w:tcPr>
          <w:p w14:paraId="55B034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1</w:t>
            </w:r>
          </w:p>
        </w:tc>
        <w:tc>
          <w:tcPr>
            <w:tcW w:w="1251" w:type="pct"/>
            <w:vAlign w:val="center"/>
          </w:tcPr>
          <w:p w14:paraId="28E9F2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eastAsia" w:eastAsia="宋体" w:cs="Times New Roman"/>
                <w:kern w:val="0"/>
                <w:sz w:val="21"/>
                <w:szCs w:val="21"/>
                <w:highlight w:val="none"/>
                <w:lang w:val="en-US" w:eastAsia="zh-CN"/>
              </w:rPr>
              <w:t>固态</w:t>
            </w:r>
            <w:r>
              <w:rPr>
                <w:rFonts w:hint="default" w:ascii="Times New Roman" w:hAnsi="Times New Roman" w:eastAsia="宋体" w:cs="Times New Roman"/>
                <w:kern w:val="0"/>
                <w:sz w:val="21"/>
                <w:szCs w:val="21"/>
                <w:highlight w:val="none"/>
              </w:rPr>
              <w:t>纤维素酶</w:t>
            </w:r>
          </w:p>
        </w:tc>
        <w:tc>
          <w:tcPr>
            <w:tcW w:w="649" w:type="pct"/>
            <w:vAlign w:val="center"/>
          </w:tcPr>
          <w:p w14:paraId="4483A5F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固</w:t>
            </w:r>
          </w:p>
        </w:tc>
        <w:tc>
          <w:tcPr>
            <w:tcW w:w="866" w:type="pct"/>
            <w:vAlign w:val="center"/>
          </w:tcPr>
          <w:p w14:paraId="0E8903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500</w:t>
            </w:r>
          </w:p>
        </w:tc>
        <w:tc>
          <w:tcPr>
            <w:tcW w:w="866" w:type="pct"/>
            <w:vAlign w:val="center"/>
          </w:tcPr>
          <w:p w14:paraId="7A47D2B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sz w:val="21"/>
                <w:szCs w:val="21"/>
                <w:highlight w:val="none"/>
              </w:rPr>
              <w:t>8</w:t>
            </w:r>
          </w:p>
        </w:tc>
        <w:tc>
          <w:tcPr>
            <w:tcW w:w="949" w:type="pct"/>
            <w:vAlign w:val="center"/>
          </w:tcPr>
          <w:p w14:paraId="0E3140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袋装托盘</w:t>
            </w:r>
          </w:p>
        </w:tc>
      </w:tr>
      <w:tr w14:paraId="755B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jc w:val="center"/>
        </w:trPr>
        <w:tc>
          <w:tcPr>
            <w:tcW w:w="417" w:type="pct"/>
            <w:vAlign w:val="center"/>
          </w:tcPr>
          <w:p w14:paraId="06315C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2</w:t>
            </w:r>
          </w:p>
        </w:tc>
        <w:tc>
          <w:tcPr>
            <w:tcW w:w="1251" w:type="pct"/>
            <w:vAlign w:val="center"/>
          </w:tcPr>
          <w:p w14:paraId="39F7B73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元明粉</w:t>
            </w:r>
          </w:p>
        </w:tc>
        <w:tc>
          <w:tcPr>
            <w:tcW w:w="649" w:type="pct"/>
            <w:vAlign w:val="center"/>
          </w:tcPr>
          <w:p w14:paraId="46DA74C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固</w:t>
            </w:r>
          </w:p>
        </w:tc>
        <w:tc>
          <w:tcPr>
            <w:tcW w:w="866" w:type="pct"/>
            <w:vAlign w:val="center"/>
          </w:tcPr>
          <w:p w14:paraId="114449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800</w:t>
            </w:r>
          </w:p>
        </w:tc>
        <w:tc>
          <w:tcPr>
            <w:tcW w:w="866" w:type="pct"/>
            <w:vAlign w:val="center"/>
          </w:tcPr>
          <w:p w14:paraId="2BD781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10</w:t>
            </w:r>
          </w:p>
        </w:tc>
        <w:tc>
          <w:tcPr>
            <w:tcW w:w="949" w:type="pct"/>
            <w:vAlign w:val="center"/>
          </w:tcPr>
          <w:p w14:paraId="69C84F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袋装托盘</w:t>
            </w:r>
          </w:p>
        </w:tc>
      </w:tr>
      <w:tr w14:paraId="299F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exact"/>
          <w:jc w:val="center"/>
        </w:trPr>
        <w:tc>
          <w:tcPr>
            <w:tcW w:w="417" w:type="pct"/>
            <w:vAlign w:val="center"/>
          </w:tcPr>
          <w:p w14:paraId="453A52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3</w:t>
            </w:r>
          </w:p>
        </w:tc>
        <w:tc>
          <w:tcPr>
            <w:tcW w:w="1251" w:type="pct"/>
            <w:vAlign w:val="center"/>
          </w:tcPr>
          <w:p w14:paraId="54EA23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三聚磷酸钠</w:t>
            </w:r>
          </w:p>
          <w:p w14:paraId="261C716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p>
        </w:tc>
        <w:tc>
          <w:tcPr>
            <w:tcW w:w="649" w:type="pct"/>
            <w:vAlign w:val="center"/>
          </w:tcPr>
          <w:p w14:paraId="5C460E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w:t>
            </w:r>
          </w:p>
        </w:tc>
        <w:tc>
          <w:tcPr>
            <w:tcW w:w="866" w:type="pct"/>
            <w:vAlign w:val="center"/>
          </w:tcPr>
          <w:p w14:paraId="295303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200</w:t>
            </w:r>
          </w:p>
        </w:tc>
        <w:tc>
          <w:tcPr>
            <w:tcW w:w="866" w:type="pct"/>
            <w:vAlign w:val="center"/>
          </w:tcPr>
          <w:p w14:paraId="58D3586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5</w:t>
            </w:r>
          </w:p>
        </w:tc>
        <w:tc>
          <w:tcPr>
            <w:tcW w:w="949" w:type="pct"/>
            <w:vAlign w:val="center"/>
          </w:tcPr>
          <w:p w14:paraId="58062D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袋装托盘</w:t>
            </w:r>
          </w:p>
        </w:tc>
      </w:tr>
      <w:tr w14:paraId="5643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17" w:type="pct"/>
            <w:vAlign w:val="center"/>
          </w:tcPr>
          <w:p w14:paraId="2FC00F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4</w:t>
            </w:r>
          </w:p>
        </w:tc>
        <w:tc>
          <w:tcPr>
            <w:tcW w:w="1251" w:type="pct"/>
            <w:vAlign w:val="center"/>
          </w:tcPr>
          <w:p w14:paraId="6C78F4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eastAsia" w:eastAsia="宋体" w:cs="Times New Roman"/>
                <w:kern w:val="0"/>
                <w:sz w:val="21"/>
                <w:szCs w:val="21"/>
                <w:highlight w:val="none"/>
                <w:lang w:val="en-US" w:eastAsia="zh-CN"/>
              </w:rPr>
              <w:t>液态</w:t>
            </w:r>
            <w:r>
              <w:rPr>
                <w:rFonts w:hint="default" w:ascii="Times New Roman" w:hAnsi="Times New Roman" w:eastAsia="宋体" w:cs="Times New Roman"/>
                <w:kern w:val="0"/>
                <w:sz w:val="21"/>
                <w:szCs w:val="21"/>
                <w:highlight w:val="none"/>
              </w:rPr>
              <w:t>纤维素酶</w:t>
            </w:r>
          </w:p>
        </w:tc>
        <w:tc>
          <w:tcPr>
            <w:tcW w:w="649" w:type="pct"/>
            <w:vAlign w:val="center"/>
          </w:tcPr>
          <w:p w14:paraId="7FB6560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液</w:t>
            </w:r>
          </w:p>
        </w:tc>
        <w:tc>
          <w:tcPr>
            <w:tcW w:w="866" w:type="pct"/>
            <w:vAlign w:val="center"/>
          </w:tcPr>
          <w:p w14:paraId="0AFD1E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600</w:t>
            </w:r>
          </w:p>
        </w:tc>
        <w:tc>
          <w:tcPr>
            <w:tcW w:w="866" w:type="pct"/>
            <w:vAlign w:val="center"/>
          </w:tcPr>
          <w:p w14:paraId="32C5219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8</w:t>
            </w:r>
          </w:p>
        </w:tc>
        <w:tc>
          <w:tcPr>
            <w:tcW w:w="949" w:type="pct"/>
            <w:vAlign w:val="center"/>
          </w:tcPr>
          <w:p w14:paraId="2B0CBE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rPr>
              <w:t>塑料桶</w:t>
            </w:r>
            <w:r>
              <w:rPr>
                <w:rFonts w:hint="eastAsia" w:eastAsia="宋体" w:cs="Times New Roman"/>
                <w:kern w:val="0"/>
                <w:sz w:val="21"/>
                <w:szCs w:val="21"/>
                <w:highlight w:val="none"/>
                <w:lang w:val="en-US" w:eastAsia="zh-CN"/>
              </w:rPr>
              <w:t>+托盘</w:t>
            </w:r>
          </w:p>
        </w:tc>
      </w:tr>
      <w:tr w14:paraId="6BB2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17" w:type="pct"/>
            <w:vAlign w:val="center"/>
          </w:tcPr>
          <w:p w14:paraId="255880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5</w:t>
            </w:r>
          </w:p>
        </w:tc>
        <w:tc>
          <w:tcPr>
            <w:tcW w:w="1251" w:type="pct"/>
            <w:vAlign w:val="center"/>
          </w:tcPr>
          <w:p w14:paraId="745366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山梨醇</w:t>
            </w:r>
          </w:p>
        </w:tc>
        <w:tc>
          <w:tcPr>
            <w:tcW w:w="649" w:type="pct"/>
            <w:vAlign w:val="center"/>
          </w:tcPr>
          <w:p w14:paraId="7650834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液</w:t>
            </w:r>
          </w:p>
        </w:tc>
        <w:tc>
          <w:tcPr>
            <w:tcW w:w="866" w:type="pct"/>
            <w:vAlign w:val="center"/>
          </w:tcPr>
          <w:p w14:paraId="79156B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100</w:t>
            </w:r>
          </w:p>
        </w:tc>
        <w:tc>
          <w:tcPr>
            <w:tcW w:w="866" w:type="pct"/>
            <w:vAlign w:val="center"/>
          </w:tcPr>
          <w:p w14:paraId="06F9773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2</w:t>
            </w:r>
          </w:p>
        </w:tc>
        <w:tc>
          <w:tcPr>
            <w:tcW w:w="949" w:type="pct"/>
            <w:vAlign w:val="center"/>
          </w:tcPr>
          <w:p w14:paraId="22A9F8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塑料桶</w:t>
            </w:r>
            <w:r>
              <w:rPr>
                <w:rFonts w:hint="eastAsia" w:eastAsia="宋体" w:cs="Times New Roman"/>
                <w:kern w:val="0"/>
                <w:sz w:val="21"/>
                <w:szCs w:val="21"/>
                <w:highlight w:val="none"/>
                <w:lang w:val="en-US" w:eastAsia="zh-CN"/>
              </w:rPr>
              <w:t>+托盘</w:t>
            </w:r>
          </w:p>
        </w:tc>
      </w:tr>
      <w:tr w14:paraId="308C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17" w:type="pct"/>
            <w:vAlign w:val="center"/>
          </w:tcPr>
          <w:p w14:paraId="410588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highlight w:val="none"/>
                <w:lang w:eastAsia="zh-CN"/>
              </w:rPr>
            </w:pPr>
            <w:r>
              <w:rPr>
                <w:rFonts w:hint="eastAsia" w:eastAsia="宋体" w:cs="Times New Roman"/>
                <w:kern w:val="0"/>
                <w:sz w:val="21"/>
                <w:szCs w:val="21"/>
                <w:highlight w:val="none"/>
                <w:lang w:val="en-US" w:eastAsia="zh-CN"/>
              </w:rPr>
              <w:t>6</w:t>
            </w:r>
          </w:p>
        </w:tc>
        <w:tc>
          <w:tcPr>
            <w:tcW w:w="1251" w:type="pct"/>
            <w:vAlign w:val="center"/>
          </w:tcPr>
          <w:p w14:paraId="34749B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eastAsia" w:eastAsia="宋体" w:cs="Times New Roman"/>
                <w:kern w:val="0"/>
                <w:sz w:val="21"/>
                <w:szCs w:val="21"/>
                <w:highlight w:val="none"/>
                <w:lang w:val="en-US" w:eastAsia="zh-CN"/>
              </w:rPr>
              <w:t>盐</w:t>
            </w:r>
          </w:p>
        </w:tc>
        <w:tc>
          <w:tcPr>
            <w:tcW w:w="649" w:type="pct"/>
            <w:vAlign w:val="center"/>
          </w:tcPr>
          <w:p w14:paraId="1EB1A13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eastAsia" w:eastAsia="宋体" w:cs="Times New Roman"/>
                <w:color w:val="000000"/>
                <w:sz w:val="21"/>
                <w:szCs w:val="21"/>
                <w:highlight w:val="none"/>
                <w:lang w:val="en-US" w:eastAsia="zh-CN"/>
              </w:rPr>
              <w:t>固</w:t>
            </w:r>
          </w:p>
        </w:tc>
        <w:tc>
          <w:tcPr>
            <w:tcW w:w="866" w:type="pct"/>
            <w:vAlign w:val="center"/>
          </w:tcPr>
          <w:p w14:paraId="589319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eastAsia" w:eastAsia="宋体" w:cs="Times New Roman"/>
                <w:kern w:val="0"/>
                <w:sz w:val="21"/>
                <w:szCs w:val="21"/>
                <w:highlight w:val="none"/>
                <w:lang w:val="en-US" w:eastAsia="zh-CN"/>
              </w:rPr>
              <w:t>100</w:t>
            </w:r>
          </w:p>
        </w:tc>
        <w:tc>
          <w:tcPr>
            <w:tcW w:w="866" w:type="pct"/>
            <w:vAlign w:val="center"/>
          </w:tcPr>
          <w:p w14:paraId="5F7C875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eastAsia" w:eastAsia="宋体" w:cs="Times New Roman"/>
                <w:color w:val="000000"/>
                <w:sz w:val="21"/>
                <w:szCs w:val="21"/>
                <w:highlight w:val="none"/>
                <w:lang w:val="en-US" w:eastAsia="zh-CN"/>
              </w:rPr>
              <w:t>2</w:t>
            </w:r>
          </w:p>
        </w:tc>
        <w:tc>
          <w:tcPr>
            <w:tcW w:w="949" w:type="pct"/>
            <w:vAlign w:val="center"/>
          </w:tcPr>
          <w:p w14:paraId="4B93783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袋装</w:t>
            </w:r>
            <w:r>
              <w:rPr>
                <w:rFonts w:hint="default" w:ascii="Times New Roman" w:hAnsi="Times New Roman" w:eastAsia="宋体" w:cs="Times New Roman"/>
                <w:color w:val="000000"/>
                <w:sz w:val="21"/>
                <w:szCs w:val="21"/>
                <w:highlight w:val="none"/>
              </w:rPr>
              <w:t>托盘</w:t>
            </w:r>
          </w:p>
        </w:tc>
      </w:tr>
      <w:tr w14:paraId="57AB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17" w:type="pct"/>
            <w:vAlign w:val="center"/>
          </w:tcPr>
          <w:p w14:paraId="0160BB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1"/>
                <w:szCs w:val="21"/>
                <w:highlight w:val="none"/>
                <w:lang w:eastAsia="zh-CN"/>
              </w:rPr>
            </w:pPr>
            <w:r>
              <w:rPr>
                <w:rFonts w:hint="eastAsia" w:eastAsia="宋体" w:cs="Times New Roman"/>
                <w:kern w:val="0"/>
                <w:sz w:val="21"/>
                <w:szCs w:val="21"/>
                <w:highlight w:val="none"/>
                <w:lang w:val="en-US" w:eastAsia="zh-CN"/>
              </w:rPr>
              <w:t>7</w:t>
            </w:r>
          </w:p>
        </w:tc>
        <w:tc>
          <w:tcPr>
            <w:tcW w:w="1251" w:type="pct"/>
            <w:vAlign w:val="center"/>
          </w:tcPr>
          <w:p w14:paraId="65896F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rPr>
              <w:t>聚乙二醇</w:t>
            </w:r>
            <w:r>
              <w:rPr>
                <w:rFonts w:hint="eastAsia" w:eastAsia="宋体" w:cs="Times New Roman"/>
                <w:kern w:val="0"/>
                <w:sz w:val="21"/>
                <w:szCs w:val="21"/>
                <w:highlight w:val="none"/>
                <w:lang w:val="en-US" w:eastAsia="zh-CN"/>
              </w:rPr>
              <w:t>4000</w:t>
            </w:r>
          </w:p>
        </w:tc>
        <w:tc>
          <w:tcPr>
            <w:tcW w:w="649" w:type="pct"/>
            <w:vAlign w:val="center"/>
          </w:tcPr>
          <w:p w14:paraId="12F400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w:t>
            </w:r>
          </w:p>
        </w:tc>
        <w:tc>
          <w:tcPr>
            <w:tcW w:w="866" w:type="pct"/>
            <w:vAlign w:val="center"/>
          </w:tcPr>
          <w:p w14:paraId="2B6D32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500</w:t>
            </w:r>
          </w:p>
        </w:tc>
        <w:tc>
          <w:tcPr>
            <w:tcW w:w="866" w:type="pct"/>
            <w:vAlign w:val="center"/>
          </w:tcPr>
          <w:p w14:paraId="1F25384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25</w:t>
            </w:r>
          </w:p>
        </w:tc>
        <w:tc>
          <w:tcPr>
            <w:tcW w:w="949" w:type="pct"/>
            <w:vAlign w:val="center"/>
          </w:tcPr>
          <w:p w14:paraId="21B6E3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袋装托盘</w:t>
            </w:r>
          </w:p>
        </w:tc>
      </w:tr>
      <w:tr w14:paraId="66B2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17" w:type="pct"/>
            <w:vAlign w:val="center"/>
          </w:tcPr>
          <w:p w14:paraId="34CC60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8</w:t>
            </w:r>
          </w:p>
        </w:tc>
        <w:tc>
          <w:tcPr>
            <w:tcW w:w="1251" w:type="pct"/>
            <w:vAlign w:val="center"/>
          </w:tcPr>
          <w:p w14:paraId="0D9AFB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平平加</w:t>
            </w:r>
          </w:p>
        </w:tc>
        <w:tc>
          <w:tcPr>
            <w:tcW w:w="649" w:type="pct"/>
            <w:vAlign w:val="center"/>
          </w:tcPr>
          <w:p w14:paraId="23CF09A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w:t>
            </w:r>
          </w:p>
        </w:tc>
        <w:tc>
          <w:tcPr>
            <w:tcW w:w="866" w:type="pct"/>
            <w:vAlign w:val="center"/>
          </w:tcPr>
          <w:p w14:paraId="7D0012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140</w:t>
            </w:r>
          </w:p>
        </w:tc>
        <w:tc>
          <w:tcPr>
            <w:tcW w:w="866" w:type="pct"/>
            <w:vAlign w:val="center"/>
          </w:tcPr>
          <w:p w14:paraId="3C8E45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5</w:t>
            </w:r>
          </w:p>
        </w:tc>
        <w:tc>
          <w:tcPr>
            <w:tcW w:w="949" w:type="pct"/>
            <w:vAlign w:val="center"/>
          </w:tcPr>
          <w:p w14:paraId="48F73CD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000000"/>
                <w:sz w:val="21"/>
                <w:szCs w:val="21"/>
                <w:highlight w:val="none"/>
              </w:rPr>
              <w:t>袋装托盘</w:t>
            </w:r>
          </w:p>
        </w:tc>
      </w:tr>
      <w:tr w14:paraId="2378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17" w:type="pct"/>
            <w:vAlign w:val="center"/>
          </w:tcPr>
          <w:p w14:paraId="35B806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9</w:t>
            </w:r>
          </w:p>
        </w:tc>
        <w:tc>
          <w:tcPr>
            <w:tcW w:w="1251" w:type="pct"/>
            <w:vAlign w:val="center"/>
          </w:tcPr>
          <w:p w14:paraId="7AAAA8D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硅油</w:t>
            </w:r>
          </w:p>
        </w:tc>
        <w:tc>
          <w:tcPr>
            <w:tcW w:w="649" w:type="pct"/>
            <w:vAlign w:val="center"/>
          </w:tcPr>
          <w:p w14:paraId="4AE695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液</w:t>
            </w:r>
          </w:p>
        </w:tc>
        <w:tc>
          <w:tcPr>
            <w:tcW w:w="866" w:type="pct"/>
            <w:vAlign w:val="center"/>
          </w:tcPr>
          <w:p w14:paraId="7D8B0B2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300</w:t>
            </w:r>
          </w:p>
        </w:tc>
        <w:tc>
          <w:tcPr>
            <w:tcW w:w="866" w:type="pct"/>
            <w:vAlign w:val="center"/>
          </w:tcPr>
          <w:p w14:paraId="67C97A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5</w:t>
            </w:r>
          </w:p>
        </w:tc>
        <w:tc>
          <w:tcPr>
            <w:tcW w:w="949" w:type="pct"/>
            <w:vAlign w:val="center"/>
          </w:tcPr>
          <w:p w14:paraId="643A16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kern w:val="0"/>
                <w:sz w:val="21"/>
                <w:szCs w:val="21"/>
                <w:highlight w:val="none"/>
              </w:rPr>
              <w:t>塑料桶</w:t>
            </w:r>
            <w:r>
              <w:rPr>
                <w:rFonts w:hint="eastAsia" w:eastAsia="宋体" w:cs="Times New Roman"/>
                <w:kern w:val="0"/>
                <w:sz w:val="21"/>
                <w:szCs w:val="21"/>
                <w:highlight w:val="none"/>
                <w:lang w:val="en-US" w:eastAsia="zh-CN"/>
              </w:rPr>
              <w:t>+托盘</w:t>
            </w:r>
          </w:p>
        </w:tc>
      </w:tr>
      <w:tr w14:paraId="161F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exact"/>
          <w:jc w:val="center"/>
        </w:trPr>
        <w:tc>
          <w:tcPr>
            <w:tcW w:w="417" w:type="pct"/>
            <w:vAlign w:val="center"/>
          </w:tcPr>
          <w:p w14:paraId="20A443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10</w:t>
            </w:r>
          </w:p>
        </w:tc>
        <w:tc>
          <w:tcPr>
            <w:tcW w:w="1251" w:type="pct"/>
            <w:vAlign w:val="center"/>
          </w:tcPr>
          <w:p w14:paraId="5806E4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聚酯切片</w:t>
            </w:r>
          </w:p>
        </w:tc>
        <w:tc>
          <w:tcPr>
            <w:tcW w:w="649" w:type="pct"/>
            <w:vAlign w:val="center"/>
          </w:tcPr>
          <w:p w14:paraId="6FD163E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eastAsia" w:eastAsia="宋体" w:cs="Times New Roman"/>
                <w:color w:val="000000"/>
                <w:sz w:val="21"/>
                <w:szCs w:val="21"/>
                <w:highlight w:val="none"/>
                <w:lang w:val="en-US" w:eastAsia="zh-CN"/>
              </w:rPr>
              <w:t>固</w:t>
            </w:r>
          </w:p>
        </w:tc>
        <w:tc>
          <w:tcPr>
            <w:tcW w:w="866" w:type="pct"/>
            <w:vAlign w:val="center"/>
          </w:tcPr>
          <w:p w14:paraId="04892B0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lang w:val="en-US" w:eastAsia="zh-CN"/>
              </w:rPr>
            </w:pPr>
            <w:r>
              <w:rPr>
                <w:rFonts w:hint="eastAsia" w:eastAsia="宋体" w:cs="Times New Roman"/>
                <w:kern w:val="0"/>
                <w:sz w:val="21"/>
                <w:szCs w:val="21"/>
                <w:highlight w:val="none"/>
                <w:lang w:val="en-US" w:eastAsia="zh-CN"/>
              </w:rPr>
              <w:t>75</w:t>
            </w:r>
          </w:p>
        </w:tc>
        <w:tc>
          <w:tcPr>
            <w:tcW w:w="866" w:type="pct"/>
            <w:vAlign w:val="center"/>
          </w:tcPr>
          <w:p w14:paraId="622D708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2</w:t>
            </w:r>
          </w:p>
        </w:tc>
        <w:tc>
          <w:tcPr>
            <w:tcW w:w="949" w:type="pct"/>
            <w:vAlign w:val="center"/>
          </w:tcPr>
          <w:p w14:paraId="0FCD59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highlight w:val="none"/>
              </w:rPr>
            </w:pPr>
            <w:r>
              <w:rPr>
                <w:rFonts w:hint="eastAsia" w:eastAsia="宋体" w:cs="Times New Roman"/>
                <w:color w:val="000000"/>
                <w:sz w:val="21"/>
                <w:szCs w:val="21"/>
                <w:highlight w:val="none"/>
                <w:lang w:val="en-US" w:eastAsia="zh-CN"/>
              </w:rPr>
              <w:t>袋装</w:t>
            </w:r>
            <w:r>
              <w:rPr>
                <w:rFonts w:hint="default" w:ascii="Times New Roman" w:hAnsi="Times New Roman" w:eastAsia="宋体" w:cs="Times New Roman"/>
                <w:color w:val="000000"/>
                <w:sz w:val="21"/>
                <w:szCs w:val="21"/>
                <w:highlight w:val="none"/>
              </w:rPr>
              <w:t>托盘</w:t>
            </w:r>
          </w:p>
        </w:tc>
      </w:tr>
    </w:tbl>
    <w:p w14:paraId="16B7B266">
      <w:pPr>
        <w:jc w:val="center"/>
        <w:rPr>
          <w:rFonts w:hint="default" w:ascii="Times New Roman" w:hAnsi="Times New Roman" w:eastAsia="宋体" w:cs="Times New Roman"/>
          <w:b/>
          <w:bCs/>
          <w:spacing w:val="-2"/>
          <w:kern w:val="0"/>
          <w:sz w:val="24"/>
          <w:szCs w:val="20"/>
          <w:highlight w:val="none"/>
          <w:lang w:val="en-US" w:eastAsia="zh-CN" w:bidi="ar-SA"/>
        </w:rPr>
      </w:pPr>
      <w:r>
        <w:rPr>
          <w:rFonts w:hint="eastAsia" w:eastAsia="宋体" w:cs="Times New Roman"/>
          <w:b/>
          <w:bCs/>
          <w:spacing w:val="-2"/>
          <w:kern w:val="0"/>
          <w:sz w:val="24"/>
          <w:szCs w:val="20"/>
          <w:highlight w:val="none"/>
          <w:lang w:val="en-US" w:eastAsia="zh-CN" w:bidi="ar-SA"/>
        </w:rPr>
        <w:t xml:space="preserve">表3.5-2 能源及化学品使用量  </w:t>
      </w:r>
      <w:r>
        <w:rPr>
          <w:rFonts w:ascii="Times New Roman" w:hAnsi="Times New Roman" w:eastAsia="宋体" w:cs="Times New Roman"/>
          <w:b/>
          <w:bCs/>
          <w:spacing w:val="-2"/>
          <w:kern w:val="0"/>
          <w:sz w:val="24"/>
          <w:szCs w:val="20"/>
          <w:highlight w:val="none"/>
          <w:lang w:val="en-US" w:eastAsia="zh-CN" w:bidi="ar-SA"/>
        </w:rPr>
        <w:t>单位：</w:t>
      </w:r>
      <w:r>
        <w:rPr>
          <w:rFonts w:hint="eastAsia" w:ascii="Times New Roman" w:hAnsi="Times New Roman" w:eastAsia="宋体" w:cs="Times New Roman"/>
          <w:b/>
          <w:bCs/>
          <w:spacing w:val="-2"/>
          <w:kern w:val="0"/>
          <w:sz w:val="24"/>
          <w:szCs w:val="20"/>
          <w:highlight w:val="none"/>
          <w:lang w:val="en-US" w:eastAsia="zh-CN" w:bidi="ar-SA"/>
        </w:rPr>
        <w:t>t/a</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2411"/>
        <w:gridCol w:w="4257"/>
      </w:tblGrid>
      <w:tr w14:paraId="037A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72B39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eastAsia" w:ascii="Times New Roman" w:hAnsi="Times New Roman" w:eastAsia="宋体" w:cs="Times New Roman"/>
                <w:b w:val="0"/>
                <w:bCs w:val="0"/>
                <w:spacing w:val="-2"/>
                <w:kern w:val="0"/>
                <w:sz w:val="21"/>
                <w:szCs w:val="21"/>
                <w:highlight w:val="none"/>
                <w:u w:val="none"/>
                <w:vertAlign w:val="baseline"/>
                <w:lang w:val="en-US" w:eastAsia="zh-CN" w:bidi="ar-SA"/>
              </w:rPr>
              <w:t>名称</w:t>
            </w:r>
          </w:p>
        </w:tc>
        <w:tc>
          <w:tcPr>
            <w:tcW w:w="2500" w:type="pct"/>
            <w:vAlign w:val="center"/>
          </w:tcPr>
          <w:p w14:paraId="042D5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rPr>
              <w:t>年耗量</w:t>
            </w:r>
          </w:p>
        </w:tc>
      </w:tr>
      <w:tr w14:paraId="1600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64B6B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spacing w:val="-2"/>
                <w:kern w:val="0"/>
                <w:sz w:val="21"/>
                <w:szCs w:val="21"/>
                <w:highlight w:val="none"/>
                <w:u w:val="none"/>
                <w:vertAlign w:val="baseline"/>
                <w:lang w:val="en-US" w:eastAsia="zh-CN" w:bidi="ar-SA"/>
              </w:rPr>
              <w:t>新鲜用水</w:t>
            </w:r>
          </w:p>
        </w:tc>
        <w:tc>
          <w:tcPr>
            <w:tcW w:w="2500" w:type="pct"/>
            <w:vAlign w:val="center"/>
          </w:tcPr>
          <w:p w14:paraId="6F734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eastAsia" w:eastAsia="宋体" w:cs="Times New Roman"/>
                <w:b w:val="0"/>
                <w:bCs w:val="0"/>
                <w:spacing w:val="-2"/>
                <w:kern w:val="0"/>
                <w:sz w:val="21"/>
                <w:szCs w:val="21"/>
                <w:highlight w:val="none"/>
                <w:u w:val="none"/>
                <w:vertAlign w:val="baseline"/>
                <w:lang w:val="en-US" w:eastAsia="zh-CN" w:bidi="ar-SA"/>
              </w:rPr>
              <w:t>2589.4713</w:t>
            </w:r>
          </w:p>
        </w:tc>
      </w:tr>
      <w:tr w14:paraId="2EB8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vAlign w:val="center"/>
          </w:tcPr>
          <w:p w14:paraId="7E3453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spacing w:val="-2"/>
                <w:kern w:val="0"/>
                <w:sz w:val="21"/>
                <w:szCs w:val="21"/>
                <w:highlight w:val="none"/>
                <w:u w:val="none"/>
                <w:vertAlign w:val="baseline"/>
                <w:lang w:val="en-US" w:eastAsia="zh-CN" w:bidi="ar-SA"/>
              </w:rPr>
              <w:t>电</w:t>
            </w:r>
          </w:p>
        </w:tc>
        <w:tc>
          <w:tcPr>
            <w:tcW w:w="2500" w:type="pct"/>
            <w:vAlign w:val="center"/>
          </w:tcPr>
          <w:p w14:paraId="711D8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lang w:val="en-US" w:eastAsia="zh-CN"/>
              </w:rPr>
              <w:t>36万</w:t>
            </w:r>
            <w:r>
              <w:rPr>
                <w:rFonts w:hint="default" w:ascii="Times New Roman" w:hAnsi="Times New Roman" w:eastAsia="宋体" w:cs="Times New Roman"/>
                <w:b w:val="0"/>
                <w:bCs w:val="0"/>
                <w:color w:val="auto"/>
                <w:kern w:val="0"/>
                <w:sz w:val="21"/>
                <w:szCs w:val="21"/>
                <w:highlight w:val="none"/>
                <w:u w:val="none"/>
              </w:rPr>
              <w:t>度</w:t>
            </w:r>
          </w:p>
        </w:tc>
      </w:tr>
      <w:tr w14:paraId="6E87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pct"/>
            <w:vMerge w:val="restart"/>
            <w:vAlign w:val="center"/>
          </w:tcPr>
          <w:p w14:paraId="1C716D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eastAsia" w:eastAsia="宋体" w:cs="Times New Roman"/>
                <w:b w:val="0"/>
                <w:bCs w:val="0"/>
                <w:spacing w:val="-2"/>
                <w:kern w:val="0"/>
                <w:sz w:val="21"/>
                <w:szCs w:val="21"/>
                <w:highlight w:val="none"/>
                <w:u w:val="none"/>
                <w:vertAlign w:val="baseline"/>
                <w:lang w:val="en-US" w:eastAsia="zh-CN" w:bidi="ar-SA"/>
              </w:rPr>
              <w:t>实验室检验</w:t>
            </w:r>
            <w:r>
              <w:rPr>
                <w:rFonts w:hint="default" w:ascii="Times New Roman" w:hAnsi="Times New Roman" w:eastAsia="宋体" w:cs="Times New Roman"/>
                <w:b w:val="0"/>
                <w:bCs w:val="0"/>
                <w:spacing w:val="-2"/>
                <w:kern w:val="0"/>
                <w:sz w:val="21"/>
                <w:szCs w:val="21"/>
                <w:highlight w:val="none"/>
                <w:u w:val="none"/>
                <w:vertAlign w:val="baseline"/>
                <w:lang w:val="en-US" w:eastAsia="zh-CN" w:bidi="ar-SA"/>
              </w:rPr>
              <w:t>化学</w:t>
            </w:r>
            <w:r>
              <w:rPr>
                <w:rFonts w:hint="eastAsia" w:eastAsia="宋体" w:cs="Times New Roman"/>
                <w:b w:val="0"/>
                <w:bCs w:val="0"/>
                <w:spacing w:val="-2"/>
                <w:kern w:val="0"/>
                <w:sz w:val="21"/>
                <w:szCs w:val="21"/>
                <w:highlight w:val="none"/>
                <w:u w:val="none"/>
                <w:vertAlign w:val="baseline"/>
                <w:lang w:val="en-US" w:eastAsia="zh-CN" w:bidi="ar-SA"/>
              </w:rPr>
              <w:t>试剂</w:t>
            </w:r>
          </w:p>
        </w:tc>
        <w:tc>
          <w:tcPr>
            <w:tcW w:w="1416" w:type="pct"/>
            <w:vAlign w:val="center"/>
          </w:tcPr>
          <w:p w14:paraId="0A727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i w:val="0"/>
                <w:iCs w:val="0"/>
                <w:caps w:val="0"/>
                <w:spacing w:val="0"/>
                <w:sz w:val="21"/>
                <w:szCs w:val="21"/>
                <w:highlight w:val="none"/>
                <w:u w:val="none"/>
                <w:shd w:val="clear" w:fill="FFFFFF"/>
              </w:rPr>
              <w:t>一水柠檬酸</w:t>
            </w:r>
          </w:p>
        </w:tc>
        <w:tc>
          <w:tcPr>
            <w:tcW w:w="2500" w:type="pct"/>
            <w:vAlign w:val="center"/>
          </w:tcPr>
          <w:p w14:paraId="0BB39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spacing w:val="-2"/>
                <w:kern w:val="0"/>
                <w:sz w:val="21"/>
                <w:szCs w:val="21"/>
                <w:highlight w:val="none"/>
                <w:u w:val="none"/>
                <w:vertAlign w:val="baseline"/>
                <w:lang w:val="en-US" w:eastAsia="zh-CN" w:bidi="ar-SA"/>
              </w:rPr>
              <w:t>0.025</w:t>
            </w:r>
          </w:p>
        </w:tc>
      </w:tr>
      <w:tr w14:paraId="4C6B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pct"/>
            <w:vMerge w:val="continue"/>
            <w:vAlign w:val="center"/>
          </w:tcPr>
          <w:p w14:paraId="7B9C2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p>
        </w:tc>
        <w:tc>
          <w:tcPr>
            <w:tcW w:w="1416" w:type="pct"/>
            <w:vAlign w:val="center"/>
          </w:tcPr>
          <w:p w14:paraId="12D6BA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i w:val="0"/>
                <w:iCs w:val="0"/>
                <w:caps w:val="0"/>
                <w:color w:val="000000"/>
                <w:spacing w:val="0"/>
                <w:sz w:val="21"/>
                <w:szCs w:val="21"/>
                <w:highlight w:val="none"/>
                <w:u w:val="none"/>
                <w:shd w:val="clear" w:fill="FFFFFF"/>
              </w:rPr>
              <w:t>磷酸二氢钠</w:t>
            </w:r>
          </w:p>
        </w:tc>
        <w:tc>
          <w:tcPr>
            <w:tcW w:w="2500" w:type="pct"/>
            <w:vAlign w:val="center"/>
          </w:tcPr>
          <w:p w14:paraId="49D8C6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2"/>
                <w:kern w:val="0"/>
                <w:sz w:val="21"/>
                <w:szCs w:val="21"/>
                <w:highlight w:val="none"/>
                <w:u w:val="none"/>
                <w:vertAlign w:val="baseline"/>
                <w:lang w:val="en-US" w:eastAsia="zh-CN" w:bidi="ar-SA"/>
              </w:rPr>
            </w:pPr>
            <w:r>
              <w:rPr>
                <w:rFonts w:hint="default" w:ascii="Times New Roman" w:hAnsi="Times New Roman" w:eastAsia="宋体" w:cs="Times New Roman"/>
                <w:b w:val="0"/>
                <w:bCs w:val="0"/>
                <w:spacing w:val="-2"/>
                <w:kern w:val="0"/>
                <w:sz w:val="21"/>
                <w:szCs w:val="21"/>
                <w:highlight w:val="none"/>
                <w:u w:val="none"/>
                <w:vertAlign w:val="baseline"/>
                <w:lang w:val="en-US" w:eastAsia="zh-CN" w:bidi="ar-SA"/>
              </w:rPr>
              <w:t>0.025</w:t>
            </w:r>
          </w:p>
        </w:tc>
      </w:tr>
    </w:tbl>
    <w:p w14:paraId="752EB000">
      <w:pPr>
        <w:pStyle w:val="6"/>
        <w:bidi w:val="0"/>
        <w:rPr>
          <w:rFonts w:hint="eastAsia" w:eastAsia="宋体" w:cs="Times New Roman"/>
          <w:b/>
          <w:bCs/>
          <w:spacing w:val="-2"/>
          <w:kern w:val="0"/>
          <w:sz w:val="24"/>
          <w:szCs w:val="20"/>
          <w:highlight w:val="none"/>
          <w:lang w:val="en-US" w:eastAsia="zh-CN" w:bidi="ar-SA"/>
        </w:rPr>
      </w:pPr>
      <w:bookmarkStart w:id="81" w:name="_Toc17446"/>
      <w:r>
        <w:rPr>
          <w:highlight w:val="none"/>
        </w:rPr>
        <w:t>3.</w:t>
      </w:r>
      <w:r>
        <w:rPr>
          <w:rFonts w:hint="eastAsia"/>
          <w:highlight w:val="none"/>
        </w:rPr>
        <w:t>6</w:t>
      </w:r>
      <w:r>
        <w:rPr>
          <w:rFonts w:hint="eastAsia"/>
          <w:highlight w:val="none"/>
          <w:lang w:val="en-US" w:eastAsia="zh-CN"/>
        </w:rPr>
        <w:t xml:space="preserve"> </w:t>
      </w:r>
      <w:r>
        <w:rPr>
          <w:highlight w:val="none"/>
        </w:rPr>
        <w:t>原辅材料理化性质</w:t>
      </w:r>
      <w:bookmarkEnd w:id="81"/>
    </w:p>
    <w:p w14:paraId="55B51850">
      <w:pPr>
        <w:jc w:val="center"/>
        <w:rPr>
          <w:rFonts w:hint="eastAsia" w:eastAsia="宋体" w:cs="Times New Roman"/>
          <w:b/>
          <w:bCs/>
          <w:spacing w:val="-2"/>
          <w:kern w:val="0"/>
          <w:sz w:val="24"/>
          <w:szCs w:val="20"/>
          <w:highlight w:val="none"/>
          <w:lang w:val="en-US" w:eastAsia="zh-CN" w:bidi="ar-SA"/>
        </w:rPr>
      </w:pPr>
      <w:r>
        <w:rPr>
          <w:rFonts w:hint="eastAsia" w:eastAsia="宋体" w:cs="Times New Roman"/>
          <w:b/>
          <w:bCs/>
          <w:spacing w:val="-2"/>
          <w:kern w:val="0"/>
          <w:sz w:val="24"/>
          <w:szCs w:val="20"/>
          <w:highlight w:val="none"/>
          <w:lang w:val="en-US" w:eastAsia="zh-CN" w:bidi="ar-SA"/>
        </w:rPr>
        <w:t>表3.6-1  本项目主要原辅材料理化性质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1002"/>
        <w:gridCol w:w="2364"/>
        <w:gridCol w:w="2126"/>
        <w:gridCol w:w="2384"/>
      </w:tblGrid>
      <w:tr w14:paraId="30A9A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27B66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572" w:type="pct"/>
            <w:tcBorders>
              <w:tl2br w:val="nil"/>
              <w:tr2bl w:val="nil"/>
            </w:tcBorders>
            <w:noWrap w:val="0"/>
            <w:vAlign w:val="center"/>
          </w:tcPr>
          <w:p w14:paraId="77508A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分子式</w:t>
            </w:r>
          </w:p>
        </w:tc>
        <w:tc>
          <w:tcPr>
            <w:tcW w:w="1397" w:type="pct"/>
            <w:tcBorders>
              <w:tl2br w:val="nil"/>
              <w:tr2bl w:val="nil"/>
            </w:tcBorders>
            <w:noWrap w:val="0"/>
            <w:vAlign w:val="center"/>
          </w:tcPr>
          <w:p w14:paraId="78B1C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理化性质</w:t>
            </w:r>
          </w:p>
        </w:tc>
        <w:tc>
          <w:tcPr>
            <w:tcW w:w="1258" w:type="pct"/>
            <w:tcBorders>
              <w:tl2br w:val="nil"/>
              <w:tr2bl w:val="nil"/>
            </w:tcBorders>
            <w:noWrap w:val="0"/>
            <w:vAlign w:val="center"/>
          </w:tcPr>
          <w:p w14:paraId="6F5773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用途</w:t>
            </w:r>
          </w:p>
        </w:tc>
        <w:tc>
          <w:tcPr>
            <w:tcW w:w="1409" w:type="pct"/>
            <w:tcBorders>
              <w:tl2br w:val="nil"/>
              <w:tr2bl w:val="nil"/>
            </w:tcBorders>
            <w:noWrap w:val="0"/>
            <w:vAlign w:val="center"/>
          </w:tcPr>
          <w:p w14:paraId="685DF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危险性</w:t>
            </w:r>
          </w:p>
        </w:tc>
      </w:tr>
      <w:tr w14:paraId="2DDE7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68610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固态纤维素酶</w:t>
            </w:r>
          </w:p>
        </w:tc>
        <w:tc>
          <w:tcPr>
            <w:tcW w:w="572" w:type="pct"/>
            <w:tcBorders>
              <w:tl2br w:val="nil"/>
              <w:tr2bl w:val="nil"/>
            </w:tcBorders>
            <w:noWrap w:val="0"/>
            <w:vAlign w:val="center"/>
          </w:tcPr>
          <w:p w14:paraId="7E67A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w:t>
            </w:r>
          </w:p>
        </w:tc>
        <w:tc>
          <w:tcPr>
            <w:tcW w:w="1397" w:type="pct"/>
            <w:tcBorders>
              <w:tl2br w:val="nil"/>
              <w:tr2bl w:val="nil"/>
            </w:tcBorders>
            <w:noWrap w:val="0"/>
            <w:vAlign w:val="center"/>
          </w:tcPr>
          <w:p w14:paraId="72E125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理化性质:</w:t>
            </w:r>
            <w:r>
              <w:rPr>
                <w:rFonts w:hint="eastAsia" w:eastAsia="宋体" w:cs="Times New Roman"/>
                <w:color w:val="000000" w:themeColor="text1"/>
                <w:spacing w:val="8"/>
                <w:kern w:val="0"/>
                <w:sz w:val="21"/>
                <w:szCs w:val="21"/>
                <w:highlight w:val="none"/>
                <w:lang w:val="en-US" w:eastAsia="zh-CN"/>
                <w14:textFill>
                  <w14:solidFill>
                    <w14:schemeClr w14:val="tx1"/>
                  </w14:solidFill>
                </w14:textFill>
              </w:rPr>
              <w:t>土</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黄色粉末，带有轻微的发酵气味，水分&lt;8.0%。存储:产品受高温、强光影响将会引起活力降低，应存放于低温干燥处，避免阳光直射。通常在25℃，将保持活力至少三个月。</w:t>
            </w:r>
          </w:p>
        </w:tc>
        <w:tc>
          <w:tcPr>
            <w:tcW w:w="1258" w:type="pct"/>
            <w:tcBorders>
              <w:tl2br w:val="nil"/>
              <w:tr2bl w:val="nil"/>
            </w:tcBorders>
            <w:noWrap w:val="0"/>
            <w:vAlign w:val="center"/>
          </w:tcPr>
          <w:p w14:paraId="7DFBD1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在纺织、洗涤剂和污水处理等众多的工业领域有广泛的应用。</w:t>
            </w:r>
          </w:p>
        </w:tc>
        <w:tc>
          <w:tcPr>
            <w:tcW w:w="1409" w:type="pct"/>
            <w:tcBorders>
              <w:tl2br w:val="nil"/>
              <w:tr2bl w:val="nil"/>
            </w:tcBorders>
            <w:noWrap w:val="0"/>
            <w:vAlign w:val="center"/>
          </w:tcPr>
          <w:p w14:paraId="55030284">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Hans"/>
                <w14:textFill>
                  <w14:solidFill>
                    <w14:schemeClr w14:val="tx1"/>
                  </w14:solidFill>
                </w14:textFill>
              </w:rPr>
              <w:t>不易燃</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,皮肤接触可</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能造成皮肤过敏反应。</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可能会使易感人群产生眼睛刺激</w:t>
            </w:r>
          </w:p>
        </w:tc>
      </w:tr>
      <w:tr w14:paraId="4C8D5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0406BC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液态纤维素酶</w:t>
            </w:r>
          </w:p>
        </w:tc>
        <w:tc>
          <w:tcPr>
            <w:tcW w:w="572" w:type="pct"/>
            <w:tcBorders>
              <w:tl2br w:val="nil"/>
              <w:tr2bl w:val="nil"/>
            </w:tcBorders>
            <w:noWrap w:val="0"/>
            <w:vAlign w:val="center"/>
          </w:tcPr>
          <w:p w14:paraId="2E59DC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w:t>
            </w:r>
          </w:p>
        </w:tc>
        <w:tc>
          <w:tcPr>
            <w:tcW w:w="1397" w:type="pct"/>
            <w:tcBorders>
              <w:tl2br w:val="nil"/>
              <w:tr2bl w:val="nil"/>
            </w:tcBorders>
            <w:noWrap w:val="0"/>
            <w:vAlign w:val="center"/>
          </w:tcPr>
          <w:p w14:paraId="0C6CF3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理化性质:褐色液体，</w:t>
            </w:r>
            <w:r>
              <w:rPr>
                <w:rFonts w:hint="eastAsia" w:eastAsia="宋体" w:cs="Times New Roman"/>
                <w:color w:val="000000" w:themeColor="text1"/>
                <w:spacing w:val="8"/>
                <w:kern w:val="0"/>
                <w:sz w:val="21"/>
                <w:szCs w:val="21"/>
                <w:highlight w:val="none"/>
                <w:lang w:val="en-US" w:eastAsia="zh-CN"/>
                <w14:textFill>
                  <w14:solidFill>
                    <w14:schemeClr w14:val="tx1"/>
                  </w14:solidFill>
                </w14:textFill>
              </w:rPr>
              <w:t>特殊</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的发酵气味，完全溶于水。存储:产品受高温、强光影响将会引起活力降低，应存放于低温干处，避免阳光直射。通常在4-25℃条件下保存，六个月酶活保存率</w:t>
            </w:r>
          </w:p>
          <w:p w14:paraId="2CBDD5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&gt;95%。</w:t>
            </w:r>
          </w:p>
        </w:tc>
        <w:tc>
          <w:tcPr>
            <w:tcW w:w="1258" w:type="pct"/>
            <w:tcBorders>
              <w:tl2br w:val="nil"/>
              <w:tr2bl w:val="nil"/>
            </w:tcBorders>
            <w:noWrap w:val="0"/>
            <w:vAlign w:val="center"/>
          </w:tcPr>
          <w:p w14:paraId="3267D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在纺织、洗涤剂和污水处理等众多的工业领域有广泛的应用。</w:t>
            </w:r>
          </w:p>
        </w:tc>
        <w:tc>
          <w:tcPr>
            <w:tcW w:w="1409" w:type="pct"/>
            <w:tcBorders>
              <w:tl2br w:val="nil"/>
              <w:tr2bl w:val="nil"/>
            </w:tcBorders>
            <w:noWrap w:val="0"/>
            <w:vAlign w:val="center"/>
          </w:tcPr>
          <w:p w14:paraId="274FAA04">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pPr>
            <w:r>
              <w:rPr>
                <w:rFonts w:hint="eastAsia" w:eastAsia="宋体" w:cs="Times New Roman"/>
                <w:color w:val="000000" w:themeColor="text1"/>
                <w:spacing w:val="8"/>
                <w:sz w:val="21"/>
                <w:szCs w:val="21"/>
                <w:highlight w:val="none"/>
                <w:lang w:val="en-US" w:eastAsia="zh-CN"/>
                <w14:textFill>
                  <w14:solidFill>
                    <w14:schemeClr w14:val="tx1"/>
                  </w14:solidFill>
                </w14:textFill>
              </w:rPr>
              <w:t>不属于易燃易爆品，可</w:t>
            </w:r>
            <w:r>
              <w:rPr>
                <w:rFonts w:hint="default" w:ascii="Times New Roman" w:hAnsi="Times New Roman" w:eastAsia="宋体" w:cs="Times New Roman"/>
                <w:color w:val="000000" w:themeColor="text1"/>
                <w:spacing w:val="8"/>
                <w:sz w:val="21"/>
                <w:szCs w:val="21"/>
                <w:highlight w:val="none"/>
                <w:lang w:val="en-US" w:eastAsia="zh-CN"/>
                <w14:textFill>
                  <w14:solidFill>
                    <w14:schemeClr w14:val="tx1"/>
                  </w14:solidFill>
                </w14:textFill>
              </w:rPr>
              <w:t>造成严重眼刺激</w:t>
            </w:r>
          </w:p>
        </w:tc>
      </w:tr>
      <w:tr w14:paraId="34F8F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206BB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三聚磷酸钠</w:t>
            </w:r>
          </w:p>
        </w:tc>
        <w:tc>
          <w:tcPr>
            <w:tcW w:w="572" w:type="pct"/>
            <w:tcBorders>
              <w:tl2br w:val="nil"/>
              <w:tr2bl w:val="nil"/>
            </w:tcBorders>
            <w:noWrap w:val="0"/>
            <w:vAlign w:val="center"/>
          </w:tcPr>
          <w:p w14:paraId="1F8D0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Na</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P</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O</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10</w:t>
            </w:r>
          </w:p>
        </w:tc>
        <w:tc>
          <w:tcPr>
            <w:tcW w:w="1397" w:type="pct"/>
            <w:tcBorders>
              <w:tl2br w:val="nil"/>
              <w:tr2bl w:val="nil"/>
            </w:tcBorders>
            <w:noWrap w:val="0"/>
            <w:vAlign w:val="center"/>
          </w:tcPr>
          <w:p w14:paraId="0D7DDA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三聚磷酸钠，白色粉末状结晶，流动性较好，化学式为</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Na</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P</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O</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10</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。密度2.62g/cm</w:t>
            </w:r>
            <w:r>
              <w:rPr>
                <w:rFonts w:hint="default" w:ascii="Times New Roman" w:hAnsi="Times New Roman" w:eastAsia="宋体" w:cs="Times New Roman"/>
                <w:color w:val="000000" w:themeColor="text1"/>
                <w:spacing w:val="8"/>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。熔点622℃(1.013×105Pa)。溶于稀酸。易溶于水，其水溶液呈碱性。不溶于醇及丙酮。</w:t>
            </w:r>
          </w:p>
        </w:tc>
        <w:tc>
          <w:tcPr>
            <w:tcW w:w="1258" w:type="pct"/>
            <w:tcBorders>
              <w:tl2br w:val="nil"/>
              <w:tr2bl w:val="nil"/>
            </w:tcBorders>
            <w:noWrap w:val="0"/>
            <w:vAlign w:val="center"/>
          </w:tcPr>
          <w:p w14:paraId="735C5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用作洗涤品助剂，亦可用于石油、冶金、采矿、造纸、水处理等。主要用作合成洗涤剂的助剂，用于肥皂增效剂和防止条皂油脂析出和起霜。对润滑油和脂肪有强烈的乳化作用，可用于调节缓冲皂液的PH值。工业用水的软水剂，制革剂，染色助剂。</w:t>
            </w:r>
          </w:p>
        </w:tc>
        <w:tc>
          <w:tcPr>
            <w:tcW w:w="1409" w:type="pct"/>
            <w:tcBorders>
              <w:tl2br w:val="nil"/>
              <w:tr2bl w:val="nil"/>
            </w:tcBorders>
            <w:noWrap w:val="0"/>
            <w:vAlign w:val="center"/>
          </w:tcPr>
          <w:p w14:paraId="4278EE89">
            <w:pPr>
              <w:pStyle w:val="2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pacing w:val="8"/>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刺激眼睛、呼吸系统和皮肤</w:t>
            </w:r>
          </w:p>
        </w:tc>
      </w:tr>
      <w:tr w14:paraId="5BB87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0EB07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元明粉</w:t>
            </w:r>
          </w:p>
        </w:tc>
        <w:tc>
          <w:tcPr>
            <w:tcW w:w="572" w:type="pct"/>
            <w:tcBorders>
              <w:tl2br w:val="nil"/>
              <w:tr2bl w:val="nil"/>
            </w:tcBorders>
            <w:noWrap w:val="0"/>
            <w:vAlign w:val="center"/>
          </w:tcPr>
          <w:p w14:paraId="03D10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Na</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SO</w:t>
            </w:r>
            <w:r>
              <w:rPr>
                <w:rFonts w:hint="default" w:ascii="Times New Roman" w:hAnsi="Times New Roman" w:eastAsia="宋体" w:cs="Times New Roman"/>
                <w:color w:val="000000" w:themeColor="text1"/>
                <w:sz w:val="21"/>
                <w:szCs w:val="21"/>
                <w:highlight w:val="none"/>
                <w:shd w:val="clear" w:color="auto" w:fill="FFFFFF"/>
                <w:vertAlign w:val="subscript"/>
                <w14:textFill>
                  <w14:solidFill>
                    <w14:schemeClr w14:val="tx1"/>
                  </w14:solidFill>
                </w14:textFill>
              </w:rPr>
              <w:t>4</w:t>
            </w:r>
          </w:p>
        </w:tc>
        <w:tc>
          <w:tcPr>
            <w:tcW w:w="1397" w:type="pct"/>
            <w:tcBorders>
              <w:tl2br w:val="nil"/>
              <w:tr2bl w:val="nil"/>
            </w:tcBorders>
            <w:noWrap w:val="0"/>
            <w:vAlign w:val="center"/>
          </w:tcPr>
          <w:p w14:paraId="44A7B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水解过程吸热，因此有凉感；水解生成OH</w:t>
            </w:r>
            <w:r>
              <w:rPr>
                <w:rFonts w:hint="default" w:ascii="Times New Roman" w:hAnsi="Times New Roman" w:eastAsia="宋体" w:cs="Times New Roman"/>
                <w:color w:val="000000" w:themeColor="text1"/>
                <w:spacing w:val="8"/>
                <w:kern w:val="0"/>
                <w:sz w:val="21"/>
                <w:szCs w:val="21"/>
                <w:highlight w:val="none"/>
                <w:vertAlign w:val="superscript"/>
                <w14:textFill>
                  <w14:solidFill>
                    <w14:schemeClr w14:val="tx1"/>
                  </w14:solidFill>
                </w14:textFill>
              </w:rPr>
              <w:t>-</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因此溶液呈弱碱性并有苦涩味。单斜晶系，晶体短柱状，集合体呈致密块状或皮壳状等，无色透明，有时带浅黄或绿色，易溶于水。白色、无臭、有苦味的结晶或粉末，有吸湿性。外形为无色、透明、大的结晶或颗粒性小结晶。硫酸钠是含氧酸的强酸强碱盐。</w:t>
            </w:r>
          </w:p>
        </w:tc>
        <w:tc>
          <w:tcPr>
            <w:tcW w:w="1258" w:type="pct"/>
            <w:tcBorders>
              <w:tl2br w:val="nil"/>
              <w:tr2bl w:val="nil"/>
            </w:tcBorders>
            <w:noWrap w:val="0"/>
            <w:vAlign w:val="center"/>
          </w:tcPr>
          <w:p w14:paraId="7EFAC8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主要用于造纸工业、玻璃工业、化学工业、纺织工业及医药工业等。</w:t>
            </w:r>
          </w:p>
          <w:p w14:paraId="226CAB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用作分析试剂、用于化工、造纸和玻璃、染料、印染和医药工业,在合成纤维、制革、有色冶金、瓷釉等的制造中也有应用,还用于洗涤剂和肥皂中作添加剂、在硫酸盐镀锌中可用作缓冲剂以稳定镀液的p</w:t>
            </w:r>
            <w:r>
              <w:rPr>
                <w:rFonts w:hint="default"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H</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值。</w:t>
            </w:r>
          </w:p>
        </w:tc>
        <w:tc>
          <w:tcPr>
            <w:tcW w:w="1409" w:type="pct"/>
            <w:tcBorders>
              <w:tl2br w:val="nil"/>
              <w:tr2bl w:val="nil"/>
            </w:tcBorders>
            <w:noWrap w:val="0"/>
            <w:vAlign w:val="center"/>
          </w:tcPr>
          <w:p w14:paraId="28BC7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对眼睛和皮肤有刺激作用、低毒， </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小鼠经口：LD</w:t>
            </w:r>
            <w:r>
              <w:rPr>
                <w:rFonts w:hint="default" w:ascii="Times New Roman" w:hAnsi="Times New Roman" w:eastAsia="宋体" w:cs="Times New Roman"/>
                <w:color w:val="000000" w:themeColor="text1"/>
                <w:spacing w:val="8"/>
                <w:kern w:val="0"/>
                <w:sz w:val="21"/>
                <w:szCs w:val="21"/>
                <w:highlight w:val="none"/>
                <w:vertAlign w:val="subscript"/>
                <w14:textFill>
                  <w14:solidFill>
                    <w14:schemeClr w14:val="tx1"/>
                  </w14:solidFill>
                </w14:textFill>
              </w:rPr>
              <w:t>50</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 5989mg/kg</w:t>
            </w:r>
          </w:p>
        </w:tc>
      </w:tr>
      <w:tr w14:paraId="31C75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363" w:type="pct"/>
            <w:tcBorders>
              <w:tl2br w:val="nil"/>
              <w:tr2bl w:val="nil"/>
            </w:tcBorders>
            <w:noWrap w:val="0"/>
            <w:vAlign w:val="center"/>
          </w:tcPr>
          <w:p w14:paraId="558A3A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山梨醇</w:t>
            </w:r>
          </w:p>
        </w:tc>
        <w:tc>
          <w:tcPr>
            <w:tcW w:w="572" w:type="pct"/>
            <w:tcBorders>
              <w:tl2br w:val="nil"/>
              <w:tr2bl w:val="nil"/>
            </w:tcBorders>
            <w:noWrap w:val="0"/>
            <w:vAlign w:val="center"/>
          </w:tcPr>
          <w:p w14:paraId="3C66D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highlight w:val="none"/>
                <w:shd w:val="clear" w:color="auto" w:fill="FFFFFF"/>
                <w:vertAlign w:val="subscript"/>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highlight w:val="none"/>
                <w:shd w:val="clear" w:color="auto" w:fill="FFFFFF"/>
                <w:vertAlign w:val="subscript"/>
                <w:lang w:val="en-US" w:eastAsia="zh-CN"/>
                <w14:textFill>
                  <w14:solidFill>
                    <w14:schemeClr w14:val="tx1"/>
                  </w14:solidFill>
                </w14:textFill>
              </w:rPr>
              <w:t>14</w:t>
            </w:r>
            <w:r>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highlight w:val="none"/>
                <w:shd w:val="clear" w:color="auto" w:fill="FFFFFF"/>
                <w:vertAlign w:val="subscript"/>
                <w:lang w:val="en-US" w:eastAsia="zh-CN"/>
                <w14:textFill>
                  <w14:solidFill>
                    <w14:schemeClr w14:val="tx1"/>
                  </w14:solidFill>
                </w14:textFill>
              </w:rPr>
              <w:t>6</w:t>
            </w:r>
          </w:p>
        </w:tc>
        <w:tc>
          <w:tcPr>
            <w:tcW w:w="1397" w:type="pct"/>
            <w:tcBorders>
              <w:tl2br w:val="nil"/>
              <w:tr2bl w:val="nil"/>
            </w:tcBorders>
            <w:noWrap w:val="0"/>
            <w:vAlign w:val="center"/>
          </w:tcPr>
          <w:p w14:paraId="1FBAB2B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有甜味的无色，透明，粘稠的液体,甜味;不可燃,</w:t>
            </w: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易溶于水，微溶于乙醇和乙酸。熔点在88~102℃范围内变化</w:t>
            </w:r>
            <w:r>
              <w:rPr>
                <w:rFonts w:hint="default" w:ascii="Times New Roman" w:hAnsi="Times New Roman" w:eastAsia="宋体" w:cs="Times New Roman"/>
                <w:i w:val="0"/>
                <w:iCs w:val="0"/>
                <w:caps w:val="0"/>
                <w:color w:val="000000" w:themeColor="text1"/>
                <w:spacing w:val="0"/>
                <w:sz w:val="21"/>
                <w:szCs w:val="21"/>
                <w:highlight w:val="none"/>
                <w:shd w:val="clear" w:fill="FFFFFF"/>
                <w:lang w:eastAsia="zh-CN"/>
                <w14:textFill>
                  <w14:solidFill>
                    <w14:schemeClr w14:val="tx1"/>
                  </w14:solidFill>
                </w14:textFill>
              </w:rPr>
              <w:t>。</w:t>
            </w:r>
          </w:p>
        </w:tc>
        <w:tc>
          <w:tcPr>
            <w:tcW w:w="1258" w:type="pct"/>
            <w:tcBorders>
              <w:tl2br w:val="nil"/>
              <w:tr2bl w:val="nil"/>
            </w:tcBorders>
            <w:noWrap w:val="0"/>
            <w:vAlign w:val="center"/>
          </w:tcPr>
          <w:p w14:paraId="4FBF22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它被广泛应用于医药、食品、制造业等领域。</w:t>
            </w:r>
            <w:r>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在化工行业</w:t>
            </w: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还可以用于制备涂料、染料等化学品</w:t>
            </w:r>
            <w:r>
              <w:rPr>
                <w:rFonts w:hint="default" w:ascii="Times New Roman" w:hAnsi="Times New Roman" w:eastAsia="宋体" w:cs="Times New Roman"/>
                <w:i w:val="0"/>
                <w:iCs w:val="0"/>
                <w:caps w:val="0"/>
                <w:color w:val="000000" w:themeColor="text1"/>
                <w:spacing w:val="0"/>
                <w:sz w:val="21"/>
                <w:szCs w:val="21"/>
                <w:highlight w:val="none"/>
                <w:shd w:val="clear" w:fill="FFFFFF"/>
                <w:lang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表面活性剂</w:t>
            </w:r>
            <w:r>
              <w:rPr>
                <w:rFonts w:hint="default" w:ascii="Times New Roman" w:hAnsi="Times New Roman" w:eastAsia="宋体" w:cs="Times New Roman"/>
                <w:i w:val="0"/>
                <w:iCs w:val="0"/>
                <w:caps w:val="0"/>
                <w:color w:val="000000" w:themeColor="text1"/>
                <w:spacing w:val="0"/>
                <w:sz w:val="21"/>
                <w:szCs w:val="21"/>
                <w:highlight w:val="none"/>
                <w:shd w:val="clear" w:fill="FFFFFF"/>
                <w14:textFill>
                  <w14:solidFill>
                    <w14:schemeClr w14:val="tx1"/>
                  </w14:solidFill>
                </w14:textFill>
              </w:rPr>
              <w:t>。此外，还被用于制造口香糖、甜味剂、润滑剂、药剂、涂料等。</w:t>
            </w:r>
          </w:p>
        </w:tc>
        <w:tc>
          <w:tcPr>
            <w:tcW w:w="1409" w:type="pct"/>
            <w:tcBorders>
              <w:tl2br w:val="nil"/>
              <w:tr2bl w:val="nil"/>
            </w:tcBorders>
            <w:noWrap w:val="0"/>
            <w:vAlign w:val="center"/>
          </w:tcPr>
          <w:p w14:paraId="7DC06FD3">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left"/>
              <w:textAlignment w:val="auto"/>
              <w:rPr>
                <w:rFonts w:hint="default"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本身不属于危险品，</w:t>
            </w:r>
            <w:r>
              <w:rPr>
                <w:rFonts w:hint="eastAsia"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t xml:space="preserve"> 如有过量产品散入空气，会导致爆炸。</w:t>
            </w:r>
          </w:p>
        </w:tc>
      </w:tr>
      <w:tr w14:paraId="5B0C3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16A37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平平加</w:t>
            </w:r>
          </w:p>
        </w:tc>
        <w:tc>
          <w:tcPr>
            <w:tcW w:w="572" w:type="pct"/>
            <w:tcBorders>
              <w:tl2br w:val="nil"/>
              <w:tr2bl w:val="nil"/>
            </w:tcBorders>
            <w:noWrap w:val="0"/>
            <w:vAlign w:val="center"/>
          </w:tcPr>
          <w:p w14:paraId="75384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w:t>
            </w:r>
          </w:p>
        </w:tc>
        <w:tc>
          <w:tcPr>
            <w:tcW w:w="1397" w:type="pct"/>
            <w:tcBorders>
              <w:tl2br w:val="nil"/>
              <w:tr2bl w:val="nil"/>
            </w:tcBorders>
            <w:noWrap w:val="0"/>
            <w:vAlign w:val="center"/>
          </w:tcPr>
          <w:p w14:paraId="0AE33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仿宋" w:cs="Times New Roman"/>
                <w:color w:val="000000" w:themeColor="text1"/>
                <w:spacing w:val="8"/>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平平加是天然脂肪醇与环氧乙烷加成物</w:t>
            </w:r>
            <w:r>
              <w:rPr>
                <w:rFonts w:hint="default"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组分为</w:t>
            </w:r>
            <w:r>
              <w:rPr>
                <w:rFonts w:hint="eastAsia" w:ascii="Times New Roman" w:hAnsi="Times New Roman" w:eastAsia="宋体" w:cs="Times New Roman"/>
                <w:color w:val="000000" w:themeColor="text1"/>
                <w:spacing w:val="8"/>
                <w:kern w:val="0"/>
                <w:sz w:val="21"/>
                <w:szCs w:val="21"/>
                <w:highlight w:val="none"/>
                <w14:textFill>
                  <w14:solidFill>
                    <w14:schemeClr w14:val="tx1"/>
                  </w14:solidFill>
                </w14:textFill>
              </w:rPr>
              <w:t>脂肪醇聚氧乙烯醚</w:t>
            </w:r>
            <w:r>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8"/>
                <w:kern w:val="0"/>
                <w:sz w:val="21"/>
                <w:szCs w:val="21"/>
                <w:highlight w:val="none"/>
                <w14:textFill>
                  <w14:solidFill>
                    <w14:schemeClr w14:val="tx1"/>
                  </w14:solidFill>
                </w14:textFill>
              </w:rPr>
              <w:t>白色片状固体</w:t>
            </w:r>
            <w:r>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8"/>
                <w:kern w:val="0"/>
                <w:sz w:val="21"/>
                <w:szCs w:val="21"/>
                <w:highlight w:val="none"/>
                <w14:textFill>
                  <w14:solidFill>
                    <w14:schemeClr w14:val="tx1"/>
                  </w14:solidFill>
                </w14:textFill>
              </w:rPr>
              <w:t>pH值：5.5-7.0</w:t>
            </w:r>
            <w:r>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p>
        </w:tc>
        <w:tc>
          <w:tcPr>
            <w:tcW w:w="1258" w:type="pct"/>
            <w:tcBorders>
              <w:tl2br w:val="nil"/>
              <w:tr2bl w:val="nil"/>
            </w:tcBorders>
            <w:noWrap w:val="0"/>
            <w:vAlign w:val="center"/>
          </w:tcPr>
          <w:p w14:paraId="1FA33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广泛应用于纺织印染工业的各工序中，作扩散剂、 匀染剂、剥色助剂、半防染剂、防白助剂、增艳剂、 净洗剂、 静电防止剂、乳化剂。</w:t>
            </w:r>
          </w:p>
        </w:tc>
        <w:tc>
          <w:tcPr>
            <w:tcW w:w="1409" w:type="pct"/>
            <w:tcBorders>
              <w:tl2br w:val="nil"/>
              <w:tr2bl w:val="nil"/>
            </w:tcBorders>
            <w:noWrap w:val="0"/>
            <w:vAlign w:val="center"/>
          </w:tcPr>
          <w:p w14:paraId="74296C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耐酸、耐碱、耐硬水、耐热、耐重金属盐。对各种染料有强力的匀染性、缓染性、渗透性、扩散性，煮练时具助练性能，可与各类表面活性剂和染料同溶使用。</w:t>
            </w:r>
            <w:r>
              <w:rPr>
                <w:rFonts w:hint="eastAsia" w:ascii="Times New Roman" w:hAnsi="Times New Roman" w:eastAsia="宋体" w:cs="Times New Roman"/>
                <w:color w:val="000000" w:themeColor="text1"/>
                <w:spacing w:val="8"/>
                <w:kern w:val="0"/>
                <w:sz w:val="21"/>
                <w:szCs w:val="21"/>
                <w:highlight w:val="none"/>
                <w14:textFill>
                  <w14:solidFill>
                    <w14:schemeClr w14:val="tx1"/>
                  </w14:solidFill>
                </w14:textFill>
              </w:rPr>
              <w:t>眼部刺激性</w:t>
            </w:r>
            <w:r>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p>
        </w:tc>
      </w:tr>
      <w:tr w14:paraId="4153C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5E5172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聚乙二醇4000</w:t>
            </w:r>
          </w:p>
        </w:tc>
        <w:tc>
          <w:tcPr>
            <w:tcW w:w="572" w:type="pct"/>
            <w:tcBorders>
              <w:tl2br w:val="nil"/>
              <w:tr2bl w:val="nil"/>
            </w:tcBorders>
            <w:noWrap w:val="0"/>
            <w:vAlign w:val="center"/>
          </w:tcPr>
          <w:p w14:paraId="4720E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w:t>
            </w:r>
          </w:p>
        </w:tc>
        <w:tc>
          <w:tcPr>
            <w:tcW w:w="1397" w:type="pct"/>
            <w:tcBorders>
              <w:tl2br w:val="nil"/>
              <w:tr2bl w:val="nil"/>
            </w:tcBorders>
            <w:noWrap w:val="0"/>
            <w:vAlign w:val="center"/>
          </w:tcPr>
          <w:p w14:paraId="0CD35537">
            <w:pPr>
              <w:keepNext w:val="0"/>
              <w:keepLines w:val="0"/>
              <w:widowControl/>
              <w:suppressLineNumbers w:val="0"/>
              <w:ind w:left="0" w:leftChars="0" w:firstLine="0" w:firstLineChars="0"/>
              <w:jc w:val="left"/>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白色片状固体；</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平均分子量300，n=5~5.75，熔点-15~8℃，相对密度1.124~1.130。平均分子量600，n=12~13，熔点20~25℃，闪点246℃，相对密度1.13(20℃)。平均分子量4000</w:t>
            </w:r>
            <w:r>
              <w:rPr>
                <w:rFonts w:hint="eastAsia" w:eastAsia="宋体" w:cs="Times New Roman"/>
                <w:color w:val="000000" w:themeColor="text1"/>
                <w:spacing w:val="8"/>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n=70~85，熔点53~56℃。</w:t>
            </w:r>
          </w:p>
        </w:tc>
        <w:tc>
          <w:tcPr>
            <w:tcW w:w="1258" w:type="pct"/>
            <w:tcBorders>
              <w:tl2br w:val="nil"/>
              <w:tr2bl w:val="nil"/>
            </w:tcBorders>
            <w:noWrap w:val="0"/>
            <w:vAlign w:val="center"/>
          </w:tcPr>
          <w:p w14:paraId="44960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具有优良的润滑性、保湿性、</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instrText xml:space="preserve"> HYPERLINK "http://baike.sogou.com/lemma/ShowInnerLink.htm?lemmaId=58252608&amp;ss_c=ssc.citiao.link" \t "_blank" </w:instrTex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分散性</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、粘接剂、</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instrText xml:space="preserve"> HYPERLINK "http://baike.sogou.com/lemma/ShowInnerLink.htm?lemmaId=6386063&amp;ss_c=ssc.citiao.link" \t "_blank" </w:instrTex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抗静电剂</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及</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instrText xml:space="preserve"> HYPERLINK "http://baike.sogou.com/lemma/ShowInnerLink.htm?lemmaId=2427525&amp;ss_c=ssc.citiao.link" \t "_blank" </w:instrTex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柔软剂</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等，在化妆品、制药、化纤、橡胶、塑料、造纸、油漆、电镀、农药、</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instrText xml:space="preserve"> HYPERLINK "http://baike.sogou.com/lemma/ShowInnerLink.htm?lemmaId=148691579&amp;ss_c=ssc.citiao.link" \t "_blank" </w:instrTex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金属加工</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及食品加工等行业中均有着极为广泛的应用。</w:t>
            </w:r>
          </w:p>
        </w:tc>
        <w:tc>
          <w:tcPr>
            <w:tcW w:w="1409" w:type="pct"/>
            <w:tcBorders>
              <w:tl2br w:val="nil"/>
              <w:tr2bl w:val="nil"/>
            </w:tcBorders>
            <w:noWrap w:val="0"/>
            <w:vAlign w:val="center"/>
          </w:tcPr>
          <w:p w14:paraId="70FF25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由</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instrText xml:space="preserve"> HYPERLINK "http://baike.sogou.com/lemma/ShowInnerLink.htm?lemmaId=709538&amp;ss_c=ssc.citiao.link" \t "_blank" </w:instrTex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环氧乙烷</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与水或乙二醇逐步</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instrText xml:space="preserve"> HYPERLINK "http://baike.sogou.com/lemma/ShowInnerLink.htm?lemmaId=1167875&amp;ss_c=ssc.citiao.link" \t "_blank" </w:instrTex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加成聚合</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而成。系列产品无毒、无刺激性，具有良好的水溶性，并与许多有机物组份有良好的相溶性。</w:t>
            </w:r>
          </w:p>
        </w:tc>
      </w:tr>
      <w:tr w14:paraId="2B331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tcBorders>
              <w:tl2br w:val="nil"/>
              <w:tr2bl w:val="nil"/>
            </w:tcBorders>
            <w:noWrap w:val="0"/>
            <w:vAlign w:val="center"/>
          </w:tcPr>
          <w:p w14:paraId="2D6A25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硅油</w:t>
            </w:r>
          </w:p>
        </w:tc>
        <w:tc>
          <w:tcPr>
            <w:tcW w:w="572" w:type="pct"/>
            <w:tcBorders>
              <w:tl2br w:val="nil"/>
              <w:tr2bl w:val="nil"/>
            </w:tcBorders>
            <w:noWrap w:val="0"/>
            <w:vAlign w:val="center"/>
          </w:tcPr>
          <w:p w14:paraId="5F8EE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w:t>
            </w:r>
          </w:p>
        </w:tc>
        <w:tc>
          <w:tcPr>
            <w:tcW w:w="1397" w:type="pct"/>
            <w:tcBorders>
              <w:tl2br w:val="nil"/>
              <w:tr2bl w:val="nil"/>
            </w:tcBorders>
            <w:noWrap w:val="0"/>
            <w:vAlign w:val="center"/>
          </w:tcPr>
          <w:p w14:paraId="54CA6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组分为</w:t>
            </w:r>
            <w:r>
              <w:rPr>
                <w:rFonts w:hint="default"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季铵盐</w:t>
            </w:r>
            <w:r>
              <w:rPr>
                <w:rFonts w:hint="eastAsia"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二乙二醇单丁醚</w:t>
            </w:r>
            <w:r>
              <w:rPr>
                <w:rFonts w:hint="eastAsia"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8"/>
                <w:kern w:val="0"/>
                <w:sz w:val="21"/>
                <w:szCs w:val="21"/>
                <w:highlight w:val="none"/>
                <w:lang w:val="en-US" w:eastAsia="zh-Hans"/>
                <w14:textFill>
                  <w14:solidFill>
                    <w14:schemeClr w14:val="tx1"/>
                  </w14:solidFill>
                </w14:textFill>
              </w:rPr>
              <w:t>透明</w:t>
            </w:r>
            <w:r>
              <w:rPr>
                <w:rFonts w:hint="default"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黄色液体,轻微气味,pH :</w:t>
            </w:r>
            <w:r>
              <w:rPr>
                <w:rFonts w:hint="default"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7</w:t>
            </w:r>
            <w:r>
              <w:rPr>
                <w:rFonts w:hint="default" w:ascii="Times New Roman" w:hAnsi="Times New Roman" w:eastAsia="宋体" w:cs="Times New Roman"/>
                <w:color w:val="000000" w:themeColor="text1"/>
                <w:spacing w:val="8"/>
                <w:kern w:val="0"/>
                <w:sz w:val="21"/>
                <w:szCs w:val="21"/>
                <w:highlight w:val="none"/>
                <w:lang w:val="en-US" w:eastAsia="zh-Hans"/>
                <w14:textFill>
                  <w14:solidFill>
                    <w14:schemeClr w14:val="tx1"/>
                  </w14:solidFill>
                </w14:textFill>
              </w:rPr>
              <w:t>.</w:t>
            </w:r>
            <w:r>
              <w:rPr>
                <w:rFonts w:hint="default" w:ascii="Times New Roman" w:hAnsi="Times New Roman" w:eastAsia="宋体" w:cs="Times New Roman"/>
                <w:color w:val="000000" w:themeColor="text1"/>
                <w:spacing w:val="8"/>
                <w:kern w:val="0"/>
                <w:sz w:val="21"/>
                <w:szCs w:val="21"/>
                <w:highlight w:val="none"/>
                <w:lang w:eastAsia="zh-Hans"/>
                <w14:textFill>
                  <w14:solidFill>
                    <w14:schemeClr w14:val="tx1"/>
                  </w14:solidFill>
                </w14:textFill>
              </w:rPr>
              <w:t>0-9</w:t>
            </w:r>
            <w:r>
              <w:rPr>
                <w:rFonts w:hint="default" w:ascii="Times New Roman" w:hAnsi="Times New Roman" w:eastAsia="宋体" w:cs="Times New Roman"/>
                <w:color w:val="000000" w:themeColor="text1"/>
                <w:spacing w:val="8"/>
                <w:kern w:val="0"/>
                <w:sz w:val="21"/>
                <w:szCs w:val="21"/>
                <w:highlight w:val="none"/>
                <w:lang w:val="en-US" w:eastAsia="zh-Hans"/>
                <w14:textFill>
                  <w14:solidFill>
                    <w14:schemeClr w14:val="tx1"/>
                  </w14:solidFill>
                </w14:textFill>
              </w:rPr>
              <w:t>.</w:t>
            </w:r>
            <w:r>
              <w:rPr>
                <w:rFonts w:hint="default" w:ascii="Times New Roman" w:hAnsi="Times New Roman" w:eastAsia="宋体" w:cs="Times New Roman"/>
                <w:color w:val="000000" w:themeColor="text1"/>
                <w:spacing w:val="8"/>
                <w:kern w:val="0"/>
                <w:sz w:val="21"/>
                <w:szCs w:val="21"/>
                <w:highlight w:val="none"/>
                <w:lang w:eastAsia="zh-Hans"/>
                <w14:textFill>
                  <w14:solidFill>
                    <w14:schemeClr w14:val="tx1"/>
                  </w14:solidFill>
                </w14:textFill>
              </w:rPr>
              <w:t>0</w:t>
            </w:r>
            <w:r>
              <w:rPr>
                <w:rFonts w:hint="default"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;沸点</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&gt; 100℃</w:t>
            </w:r>
            <w:r>
              <w:rPr>
                <w:rFonts w:hint="default"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不溶于水；</w:t>
            </w:r>
          </w:p>
        </w:tc>
        <w:tc>
          <w:tcPr>
            <w:tcW w:w="1258" w:type="pct"/>
            <w:tcBorders>
              <w:tl2br w:val="nil"/>
              <w:tr2bl w:val="nil"/>
            </w:tcBorders>
            <w:noWrap w:val="0"/>
            <w:vAlign w:val="center"/>
          </w:tcPr>
          <w:p w14:paraId="0E61872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工业纺织助剂柔软剂，用于织物的柔软整理。</w:t>
            </w:r>
          </w:p>
        </w:tc>
        <w:tc>
          <w:tcPr>
            <w:tcW w:w="1409" w:type="pct"/>
            <w:tcBorders>
              <w:tl2br w:val="nil"/>
              <w:tr2bl w:val="nil"/>
            </w:tcBorders>
            <w:noWrap w:val="0"/>
            <w:vAlign w:val="center"/>
          </w:tcPr>
          <w:p w14:paraId="08C70444">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温（&gt;400℃）分解产物包括二氧化硅，少量甲醛，少量</w:t>
            </w:r>
            <w:r>
              <w:rPr>
                <w:rFonts w:hint="default" w:ascii="Times New Roman" w:hAnsi="Times New Roman" w:eastAsia="宋体" w:cs="Times New Roman"/>
                <w:color w:val="000000" w:themeColor="text1"/>
                <w:sz w:val="21"/>
                <w:szCs w:val="21"/>
                <w:highlight w:val="none"/>
                <w14:textFill>
                  <w14:solidFill>
                    <w14:schemeClr w14:val="tx1"/>
                  </w14:solidFill>
                </w14:textFill>
              </w:rPr>
              <w:t>甲酸，少量乙酸和微量硅聚合物。其中一些气体是易燃的，取决于环境条件，并可能导致树脂/聚合物燃烧。同时会形成硅胶皮。 接触皮肤会引起过敏。轻微的眼睛刺激。</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吸入有害</w:t>
            </w:r>
            <w:r>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口服急性毒性LD</w:t>
            </w:r>
            <w:r>
              <w:rPr>
                <w:rFonts w:hint="default" w:ascii="Times New Roman" w:hAnsi="Times New Roman" w:eastAsia="宋体" w:cs="Times New Roman"/>
                <w:color w:val="000000" w:themeColor="text1"/>
                <w:spacing w:val="8"/>
                <w:kern w:val="0"/>
                <w:sz w:val="21"/>
                <w:szCs w:val="21"/>
                <w:highlight w:val="none"/>
                <w:vertAlign w:val="subscript"/>
                <w14:textFill>
                  <w14:solidFill>
                    <w14:schemeClr w14:val="tx1"/>
                  </w14:solidFill>
                </w14:textFill>
              </w:rPr>
              <w:t>50</w:t>
            </w:r>
            <w:r>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t>&gt;2000mg/kg</w:t>
            </w:r>
            <w:r>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8"/>
                <w:kern w:val="0"/>
                <w:sz w:val="21"/>
                <w:szCs w:val="21"/>
                <w:highlight w:val="none"/>
                <w:lang w:val="en-US" w:eastAsia="zh-CN"/>
                <w14:textFill>
                  <w14:solidFill>
                    <w14:schemeClr w14:val="tx1"/>
                  </w14:solidFill>
                </w14:textFill>
              </w:rPr>
              <w:t>低毒</w:t>
            </w:r>
            <w:r>
              <w:rPr>
                <w:rFonts w:hint="eastAsia" w:ascii="Times New Roman" w:hAnsi="Times New Roman" w:eastAsia="宋体" w:cs="Times New Roman"/>
                <w:color w:val="000000" w:themeColor="text1"/>
                <w:spacing w:val="8"/>
                <w:kern w:val="0"/>
                <w:sz w:val="21"/>
                <w:szCs w:val="21"/>
                <w:highlight w:val="none"/>
                <w:lang w:eastAsia="zh-CN"/>
                <w14:textFill>
                  <w14:solidFill>
                    <w14:schemeClr w14:val="tx1"/>
                  </w14:solidFill>
                </w14:textFill>
              </w:rPr>
              <w:t>）。</w:t>
            </w:r>
          </w:p>
        </w:tc>
      </w:tr>
      <w:tr w14:paraId="477FA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65" w:hRule="atLeast"/>
          <w:jc w:val="center"/>
        </w:trPr>
        <w:tc>
          <w:tcPr>
            <w:tcW w:w="363" w:type="pct"/>
            <w:tcBorders>
              <w:tl2br w:val="nil"/>
              <w:tr2bl w:val="nil"/>
            </w:tcBorders>
            <w:noWrap w:val="0"/>
            <w:vAlign w:val="center"/>
          </w:tcPr>
          <w:p w14:paraId="73D66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聚酯切片</w:t>
            </w:r>
          </w:p>
        </w:tc>
        <w:tc>
          <w:tcPr>
            <w:tcW w:w="572" w:type="pct"/>
            <w:tcBorders>
              <w:tl2br w:val="nil"/>
              <w:tr2bl w:val="nil"/>
            </w:tcBorders>
            <w:noWrap w:val="0"/>
            <w:vAlign w:val="center"/>
          </w:tcPr>
          <w:p w14:paraId="3D3C6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lang w:val="en-US" w:eastAsia="zh-CN"/>
                <w14:textFill>
                  <w14:solidFill>
                    <w14:schemeClr w14:val="tx1"/>
                  </w14:solidFill>
                </w14:textFill>
              </w:rPr>
              <w:t>/</w:t>
            </w:r>
          </w:p>
        </w:tc>
        <w:tc>
          <w:tcPr>
            <w:tcW w:w="1397" w:type="pct"/>
            <w:tcBorders>
              <w:tl2br w:val="nil"/>
              <w:tr2bl w:val="nil"/>
            </w:tcBorders>
            <w:noWrap w:val="0"/>
            <w:vAlign w:val="center"/>
          </w:tcPr>
          <w:p w14:paraId="207CB545">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组分为聚对苯二甲酸乙二醇酯。乳白色或透明粒状固体，熔点(℃): 约 238～263，相对密度(水=1.0): 约 1.3；常温、常压下稳定。引燃温度(℃): 约 450</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1258" w:type="pct"/>
            <w:tcBorders>
              <w:tl2br w:val="nil"/>
              <w:tr2bl w:val="nil"/>
            </w:tcBorders>
            <w:noWrap w:val="0"/>
            <w:vAlign w:val="center"/>
          </w:tcPr>
          <w:p w14:paraId="0EBA12C2">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主要用于生产纤维、薄膜、包装瓶等</w:t>
            </w:r>
          </w:p>
        </w:tc>
        <w:tc>
          <w:tcPr>
            <w:tcW w:w="1409" w:type="pct"/>
            <w:tcBorders>
              <w:tl2br w:val="nil"/>
              <w:tr2bl w:val="nil"/>
            </w:tcBorders>
            <w:noWrap w:val="0"/>
            <w:vAlign w:val="center"/>
          </w:tcPr>
          <w:p w14:paraId="6F3CE340">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00" w:themeColor="text1"/>
                <w:spacing w:val="8"/>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该物质为无毒物质。但如果摄入量较多，可能对人体造成物理伤害，建议尽可能不摄入。遇明火可燃。粉末与空气混合可能形成爆炸性粉尘混合物。</w:t>
            </w:r>
          </w:p>
        </w:tc>
      </w:tr>
    </w:tbl>
    <w:p w14:paraId="0FED852E">
      <w:pPr>
        <w:jc w:val="center"/>
        <w:rPr>
          <w:rFonts w:hint="eastAsia" w:ascii="Times New Roman" w:hAnsi="Times New Roman" w:eastAsia="宋体" w:cs="Times New Roman"/>
          <w:b/>
          <w:bCs/>
          <w:spacing w:val="-2"/>
          <w:kern w:val="0"/>
          <w:sz w:val="24"/>
          <w:szCs w:val="20"/>
          <w:highlight w:val="none"/>
          <w:lang w:val="en-US" w:eastAsia="zh-CN" w:bidi="ar-SA"/>
        </w:rPr>
      </w:pPr>
      <w:r>
        <w:rPr>
          <w:rFonts w:hint="eastAsia" w:ascii="Times New Roman" w:hAnsi="Times New Roman" w:eastAsia="宋体" w:cs="Times New Roman"/>
          <w:b/>
          <w:bCs/>
          <w:spacing w:val="-2"/>
          <w:kern w:val="0"/>
          <w:sz w:val="24"/>
          <w:szCs w:val="20"/>
          <w:highlight w:val="none"/>
          <w:lang w:val="en-US" w:eastAsia="zh-CN" w:bidi="ar-SA"/>
        </w:rPr>
        <w:t>表3.6-2 化学品的理化性质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2852"/>
        <w:gridCol w:w="1567"/>
        <w:gridCol w:w="2951"/>
      </w:tblGrid>
      <w:tr w14:paraId="46A4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Align w:val="center"/>
          </w:tcPr>
          <w:p w14:paraId="335BDB9C">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名称</w:t>
            </w:r>
          </w:p>
        </w:tc>
        <w:tc>
          <w:tcPr>
            <w:tcW w:w="1674" w:type="pct"/>
            <w:vAlign w:val="center"/>
          </w:tcPr>
          <w:p w14:paraId="0DA801B2">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理化性质</w:t>
            </w:r>
          </w:p>
        </w:tc>
        <w:tc>
          <w:tcPr>
            <w:tcW w:w="920" w:type="pct"/>
            <w:vAlign w:val="center"/>
          </w:tcPr>
          <w:p w14:paraId="34400356">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燃烧爆炸性</w:t>
            </w:r>
          </w:p>
        </w:tc>
        <w:tc>
          <w:tcPr>
            <w:tcW w:w="1732" w:type="pct"/>
            <w:vAlign w:val="center"/>
          </w:tcPr>
          <w:p w14:paraId="3785B9BE">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毒理性质</w:t>
            </w:r>
          </w:p>
        </w:tc>
      </w:tr>
      <w:tr w14:paraId="4B25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Align w:val="center"/>
          </w:tcPr>
          <w:p w14:paraId="5F1F850E">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aps w:val="0"/>
                <w:spacing w:val="0"/>
                <w:sz w:val="21"/>
                <w:szCs w:val="21"/>
                <w:highlight w:val="none"/>
                <w:shd w:val="clear" w:fill="FFFFFF"/>
              </w:rPr>
              <w:t>一水柠檬酸</w:t>
            </w:r>
          </w:p>
        </w:tc>
        <w:tc>
          <w:tcPr>
            <w:tcW w:w="1674" w:type="pct"/>
            <w:vAlign w:val="center"/>
          </w:tcPr>
          <w:p w14:paraId="0605904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rPr>
            </w:pPr>
            <w:r>
              <w:rPr>
                <w:rFonts w:hint="eastAsia" w:eastAsia="宋体" w:cs="Times New Roman"/>
                <w:b w:val="0"/>
                <w:bCs w:val="0"/>
                <w:i w:val="0"/>
                <w:iCs w:val="0"/>
                <w:caps w:val="0"/>
                <w:color w:val="000000"/>
                <w:spacing w:val="0"/>
                <w:sz w:val="21"/>
                <w:szCs w:val="21"/>
                <w:highlight w:val="none"/>
                <w:shd w:val="clear" w:fill="FFFFFF"/>
                <w:lang w:val="en-US" w:eastAsia="zh-CN"/>
              </w:rPr>
              <w:t>化学式</w:t>
            </w:r>
            <w:r>
              <w:rPr>
                <w:rFonts w:hint="default" w:ascii="Times New Roman" w:hAnsi="Times New Roman" w:eastAsia="宋体" w:cs="Times New Roman"/>
                <w:b w:val="0"/>
                <w:bCs w:val="0"/>
                <w:i w:val="0"/>
                <w:iCs w:val="0"/>
                <w:caps w:val="0"/>
                <w:color w:val="000000"/>
                <w:spacing w:val="0"/>
                <w:sz w:val="21"/>
                <w:szCs w:val="21"/>
                <w:highlight w:val="none"/>
                <w:shd w:val="clear" w:fill="FFFFFF"/>
              </w:rPr>
              <w:t>为</w:t>
            </w:r>
            <w:r>
              <w:rPr>
                <w:rStyle w:val="26"/>
                <w:rFonts w:hint="default" w:ascii="Times New Roman" w:hAnsi="Times New Roman" w:eastAsia="宋体" w:cs="Times New Roman"/>
                <w:b w:val="0"/>
                <w:bCs w:val="0"/>
                <w:i w:val="0"/>
                <w:iCs w:val="0"/>
                <w:caps w:val="0"/>
                <w:color w:val="000000"/>
                <w:spacing w:val="0"/>
                <w:sz w:val="21"/>
                <w:szCs w:val="21"/>
                <w:highlight w:val="none"/>
                <w:shd w:val="clear" w:fill="FFFFFF"/>
              </w:rPr>
              <w:t>C₆H₈O₇·H₂O</w:t>
            </w:r>
            <w:r>
              <w:rPr>
                <w:rStyle w:val="26"/>
                <w:rFonts w:hint="default" w:ascii="Times New Roman" w:hAnsi="Times New Roman" w:eastAsia="宋体" w:cs="Times New Roman"/>
                <w:b w:val="0"/>
                <w:bCs w:val="0"/>
                <w:i w:val="0"/>
                <w:iCs w:val="0"/>
                <w:caps w:val="0"/>
                <w:color w:val="00000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color w:val="000000"/>
                <w:spacing w:val="0"/>
                <w:sz w:val="21"/>
                <w:szCs w:val="21"/>
                <w:highlight w:val="none"/>
                <w:shd w:val="clear" w:fill="FFFFFF"/>
              </w:rPr>
              <w:t>无色结晶或白色晶状粉末，无臭，味极酸。易溶于水</w:t>
            </w:r>
            <w:r>
              <w:rPr>
                <w:rFonts w:hint="default" w:ascii="Times New Roman" w:hAnsi="Times New Roman" w:eastAsia="宋体" w:cs="Times New Roman"/>
                <w:b w:val="0"/>
                <w:bCs w:val="0"/>
                <w:i w:val="0"/>
                <w:iCs w:val="0"/>
                <w:caps w:val="0"/>
                <w:color w:val="00000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color w:val="000000"/>
                <w:spacing w:val="0"/>
                <w:sz w:val="21"/>
                <w:szCs w:val="21"/>
                <w:highlight w:val="none"/>
                <w:shd w:val="clear" w:fill="FFFFFF"/>
              </w:rPr>
              <w:t>乙醇，微溶于乙醚，不溶于苯。水溶液呈酸性，pH 约 2.1-2.5，具缓冲作用。</w:t>
            </w:r>
          </w:p>
          <w:p w14:paraId="1C9928D5">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920" w:type="pct"/>
            <w:vAlign w:val="center"/>
          </w:tcPr>
          <w:p w14:paraId="3138E9E2">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aps w:val="0"/>
                <w:spacing w:val="0"/>
                <w:sz w:val="21"/>
                <w:szCs w:val="21"/>
                <w:highlight w:val="none"/>
                <w:shd w:val="clear" w:fill="FFFFFF"/>
              </w:rPr>
              <w:t>粉体与空气混合可能爆炸，需远离明火和氧化剂</w:t>
            </w:r>
            <w:r>
              <w:rPr>
                <w:rFonts w:hint="default" w:ascii="Times New Roman" w:hAnsi="Times New Roman" w:eastAsia="宋体" w:cs="Times New Roman"/>
                <w:b w:val="0"/>
                <w:bCs w:val="0"/>
                <w:i w:val="0"/>
                <w:iCs w:val="0"/>
                <w:caps w:val="0"/>
                <w:spacing w:val="0"/>
                <w:sz w:val="21"/>
                <w:szCs w:val="21"/>
                <w:highlight w:val="none"/>
                <w:shd w:val="clear" w:fill="FFFFFF"/>
                <w:lang w:eastAsia="zh-CN"/>
              </w:rPr>
              <w:t>。</w:t>
            </w:r>
          </w:p>
        </w:tc>
        <w:tc>
          <w:tcPr>
            <w:tcW w:w="1732" w:type="pct"/>
            <w:vAlign w:val="center"/>
          </w:tcPr>
          <w:p w14:paraId="3558A1CF">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aps w:val="0"/>
                <w:spacing w:val="0"/>
                <w:sz w:val="21"/>
                <w:szCs w:val="21"/>
                <w:highlight w:val="none"/>
                <w:shd w:val="clear" w:fill="FFFFFF"/>
              </w:rPr>
              <w:t>高浓度粉尘可能刺激呼吸道，接触皮肤或眼睛需用清水冲洗</w:t>
            </w:r>
            <w:r>
              <w:rPr>
                <w:rFonts w:hint="default" w:ascii="Times New Roman" w:hAnsi="Times New Roman" w:eastAsia="宋体" w:cs="Times New Roman"/>
                <w:b w:val="0"/>
                <w:bCs w:val="0"/>
                <w:i w:val="0"/>
                <w:iCs w:val="0"/>
                <w:caps w:val="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spacing w:val="0"/>
                <w:sz w:val="21"/>
                <w:szCs w:val="21"/>
                <w:highlight w:val="none"/>
                <w:shd w:val="clear" w:fill="FFFFFF"/>
              </w:rPr>
              <w:t>大鼠 LD₅₀：&gt;5000 mg/kg（低毒，根据《农药毒理学手册》标准）。小鼠 LD₅₀：约 3000 mg/kg（不同研究存在差异，仍属低毒）。</w:t>
            </w:r>
          </w:p>
        </w:tc>
      </w:tr>
      <w:tr w14:paraId="522D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pct"/>
            <w:vAlign w:val="center"/>
          </w:tcPr>
          <w:p w14:paraId="110A5E05">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aps w:val="0"/>
                <w:color w:val="000000"/>
                <w:spacing w:val="0"/>
                <w:sz w:val="21"/>
                <w:szCs w:val="21"/>
                <w:highlight w:val="none"/>
                <w:shd w:val="clear" w:fill="FFFFFF"/>
              </w:rPr>
              <w:t>磷酸二氢钠</w:t>
            </w:r>
          </w:p>
        </w:tc>
        <w:tc>
          <w:tcPr>
            <w:tcW w:w="1674" w:type="pct"/>
            <w:vAlign w:val="center"/>
          </w:tcPr>
          <w:p w14:paraId="28C7918D">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240" w:lineRule="auto"/>
              <w:ind w:leftChars="0"/>
              <w:jc w:val="both"/>
              <w:textAlignment w:val="auto"/>
              <w:rPr>
                <w:rFonts w:hint="default" w:ascii="Times New Roman" w:hAnsi="Times New Roman" w:eastAsia="宋体" w:cs="Times New Roman"/>
                <w:b w:val="0"/>
                <w:bCs w:val="0"/>
                <w:sz w:val="21"/>
                <w:szCs w:val="21"/>
                <w:highlight w:val="none"/>
              </w:rPr>
            </w:pPr>
            <w:r>
              <w:rPr>
                <w:rStyle w:val="26"/>
                <w:rFonts w:hint="default" w:ascii="Times New Roman" w:hAnsi="Times New Roman" w:eastAsia="宋体" w:cs="Times New Roman"/>
                <w:b w:val="0"/>
                <w:bCs w:val="0"/>
                <w:i w:val="0"/>
                <w:iCs w:val="0"/>
                <w:caps w:val="0"/>
                <w:color w:val="000000"/>
                <w:spacing w:val="0"/>
                <w:sz w:val="21"/>
                <w:szCs w:val="21"/>
                <w:highlight w:val="none"/>
                <w:shd w:val="clear" w:fill="FFFFFF"/>
              </w:rPr>
              <w:t>化学式</w:t>
            </w:r>
            <w:r>
              <w:rPr>
                <w:rFonts w:hint="default" w:ascii="Times New Roman" w:hAnsi="Times New Roman" w:eastAsia="宋体" w:cs="Times New Roman"/>
                <w:b w:val="0"/>
                <w:bCs w:val="0"/>
                <w:i w:val="0"/>
                <w:iCs w:val="0"/>
                <w:caps w:val="0"/>
                <w:color w:val="000000"/>
                <w:spacing w:val="0"/>
                <w:sz w:val="21"/>
                <w:szCs w:val="21"/>
                <w:highlight w:val="none"/>
                <w:shd w:val="clear" w:fill="FFFFFF"/>
              </w:rPr>
              <w:t>：NaH₂PO₄</w:t>
            </w:r>
            <w:r>
              <w:rPr>
                <w:rFonts w:hint="default" w:ascii="Times New Roman" w:hAnsi="Times New Roman" w:eastAsia="宋体" w:cs="Times New Roman"/>
                <w:b w:val="0"/>
                <w:bCs w:val="0"/>
                <w:i w:val="0"/>
                <w:iCs w:val="0"/>
                <w:caps w:val="0"/>
                <w:color w:val="00000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color w:val="000000"/>
                <w:spacing w:val="0"/>
                <w:sz w:val="21"/>
                <w:szCs w:val="21"/>
                <w:highlight w:val="none"/>
                <w:shd w:val="clear" w:fill="FFFFFF"/>
              </w:rPr>
              <w:t>白色结晶性粉末或颗粒</w:t>
            </w:r>
            <w:r>
              <w:rPr>
                <w:rFonts w:hint="default" w:ascii="Times New Roman" w:hAnsi="Times New Roman" w:eastAsia="宋体" w:cs="Times New Roman"/>
                <w:b w:val="0"/>
                <w:bCs w:val="0"/>
                <w:i w:val="0"/>
                <w:iCs w:val="0"/>
                <w:caps w:val="0"/>
                <w:color w:val="00000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color w:val="000000"/>
                <w:spacing w:val="0"/>
                <w:sz w:val="21"/>
                <w:szCs w:val="21"/>
                <w:highlight w:val="none"/>
                <w:shd w:val="clear" w:fill="FFFFFF"/>
              </w:rPr>
              <w:t>易溶于水</w:t>
            </w:r>
            <w:r>
              <w:rPr>
                <w:rFonts w:hint="default" w:ascii="Times New Roman" w:hAnsi="Times New Roman" w:eastAsia="宋体" w:cs="Times New Roman"/>
                <w:b w:val="0"/>
                <w:bCs w:val="0"/>
                <w:i w:val="0"/>
                <w:iCs w:val="0"/>
                <w:caps w:val="0"/>
                <w:color w:val="00000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color w:val="000000"/>
                <w:spacing w:val="0"/>
                <w:sz w:val="21"/>
                <w:szCs w:val="21"/>
                <w:highlight w:val="none"/>
                <w:shd w:val="clear" w:fill="FFFFFF"/>
              </w:rPr>
              <w:t>水溶液呈弱酸性（pH≈4.5-5.5）</w:t>
            </w:r>
            <w:r>
              <w:rPr>
                <w:rFonts w:hint="default" w:ascii="Times New Roman" w:hAnsi="Times New Roman" w:eastAsia="宋体" w:cs="Times New Roman"/>
                <w:b w:val="0"/>
                <w:bCs w:val="0"/>
                <w:i w:val="0"/>
                <w:iCs w:val="0"/>
                <w:caps w:val="0"/>
                <w:color w:val="00000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color w:val="000000"/>
                <w:spacing w:val="0"/>
                <w:sz w:val="21"/>
                <w:szCs w:val="21"/>
                <w:highlight w:val="none"/>
                <w:shd w:val="clear" w:fill="FFFFFF"/>
              </w:rPr>
              <w:t>具有缓冲作用</w:t>
            </w:r>
            <w:r>
              <w:rPr>
                <w:rFonts w:hint="default" w:ascii="Times New Roman" w:hAnsi="Times New Roman" w:eastAsia="宋体" w:cs="Times New Roman"/>
                <w:b w:val="0"/>
                <w:bCs w:val="0"/>
                <w:i w:val="0"/>
                <w:iCs w:val="0"/>
                <w:caps w:val="0"/>
                <w:color w:val="00000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spacing w:val="0"/>
                <w:sz w:val="21"/>
                <w:szCs w:val="21"/>
                <w:highlight w:val="none"/>
                <w:shd w:val="clear" w:fill="FFFFFF"/>
              </w:rPr>
              <w:t>pH 调节剂</w:t>
            </w:r>
            <w:r>
              <w:rPr>
                <w:rFonts w:hint="default" w:ascii="Times New Roman" w:hAnsi="Times New Roman" w:eastAsia="宋体" w:cs="Times New Roman"/>
                <w:b w:val="0"/>
                <w:bCs w:val="0"/>
                <w:i w:val="0"/>
                <w:iCs w:val="0"/>
                <w:caps w:val="0"/>
                <w:spacing w:val="0"/>
                <w:sz w:val="21"/>
                <w:szCs w:val="21"/>
                <w:highlight w:val="none"/>
                <w:shd w:val="clear" w:fill="FFFFFF"/>
                <w:lang w:eastAsia="zh-CN"/>
              </w:rPr>
              <w:t>；</w:t>
            </w:r>
          </w:p>
          <w:p w14:paraId="7F8B2BD0">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920" w:type="pct"/>
            <w:vAlign w:val="center"/>
          </w:tcPr>
          <w:p w14:paraId="7660D02A">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Style w:val="26"/>
                <w:rFonts w:hint="default" w:ascii="Times New Roman" w:hAnsi="Times New Roman" w:eastAsia="宋体" w:cs="Times New Roman"/>
                <w:b w:val="0"/>
                <w:bCs w:val="0"/>
                <w:i w:val="0"/>
                <w:iCs w:val="0"/>
                <w:caps w:val="0"/>
                <w:spacing w:val="0"/>
                <w:sz w:val="21"/>
                <w:szCs w:val="21"/>
                <w:highlight w:val="none"/>
                <w:shd w:val="clear" w:fill="FFFFFF"/>
              </w:rPr>
              <w:t>不可燃</w:t>
            </w:r>
            <w:r>
              <w:rPr>
                <w:rStyle w:val="26"/>
                <w:rFonts w:hint="default" w:ascii="Times New Roman" w:hAnsi="Times New Roman" w:eastAsia="宋体" w:cs="Times New Roman"/>
                <w:b w:val="0"/>
                <w:bCs w:val="0"/>
                <w:i w:val="0"/>
                <w:iCs w:val="0"/>
                <w:caps w:val="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spacing w:val="0"/>
                <w:sz w:val="21"/>
                <w:szCs w:val="21"/>
                <w:highlight w:val="none"/>
                <w:shd w:val="clear" w:fill="FFFFFF"/>
              </w:rPr>
              <w:t>无氧化剂或还原剂特性，正常储存和使用条件下不会爆炸。</w:t>
            </w:r>
          </w:p>
        </w:tc>
        <w:tc>
          <w:tcPr>
            <w:tcW w:w="1732" w:type="pct"/>
            <w:vAlign w:val="center"/>
          </w:tcPr>
          <w:p w14:paraId="390C67F5">
            <w:pPr>
              <w:keepNext w:val="0"/>
              <w:keepLines w:val="0"/>
              <w:pageBreakBefore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i w:val="0"/>
                <w:iCs w:val="0"/>
                <w:caps w:val="0"/>
                <w:spacing w:val="0"/>
                <w:sz w:val="21"/>
                <w:szCs w:val="21"/>
                <w:highlight w:val="none"/>
                <w:shd w:val="clear" w:fill="FFFFFF"/>
              </w:rPr>
              <w:t>大鼠 LD₅₀：&gt;2000 mg/kg</w:t>
            </w:r>
            <w:r>
              <w:rPr>
                <w:rFonts w:hint="default" w:ascii="Times New Roman" w:hAnsi="Times New Roman" w:eastAsia="宋体" w:cs="Times New Roman"/>
                <w:b w:val="0"/>
                <w:bCs w:val="0"/>
                <w:i w:val="0"/>
                <w:iCs w:val="0"/>
                <w:caps w:val="0"/>
                <w:spacing w:val="0"/>
                <w:sz w:val="21"/>
                <w:szCs w:val="21"/>
                <w:highlight w:val="none"/>
                <w:shd w:val="clear" w:fill="FFFFFF"/>
                <w:lang w:eastAsia="zh-CN"/>
              </w:rPr>
              <w:t>，</w:t>
            </w:r>
            <w:r>
              <w:rPr>
                <w:rFonts w:hint="default" w:ascii="Times New Roman" w:hAnsi="Times New Roman" w:eastAsia="宋体" w:cs="Times New Roman"/>
                <w:b w:val="0"/>
                <w:bCs w:val="0"/>
                <w:i w:val="0"/>
                <w:iCs w:val="0"/>
                <w:caps w:val="0"/>
                <w:color w:val="000000"/>
                <w:spacing w:val="0"/>
                <w:sz w:val="21"/>
                <w:szCs w:val="21"/>
                <w:highlight w:val="none"/>
                <w:shd w:val="clear" w:fill="FFFFFF"/>
              </w:rPr>
              <w:t>低毒，但高浓度刺激皮肤和黏膜。</w:t>
            </w:r>
            <w:r>
              <w:rPr>
                <w:rFonts w:hint="default" w:ascii="Times New Roman" w:hAnsi="Times New Roman" w:eastAsia="宋体" w:cs="Times New Roman"/>
                <w:b w:val="0"/>
                <w:bCs w:val="0"/>
                <w:i w:val="0"/>
                <w:iCs w:val="0"/>
                <w:caps w:val="0"/>
                <w:spacing w:val="0"/>
                <w:sz w:val="21"/>
                <w:szCs w:val="21"/>
                <w:highlight w:val="none"/>
                <w:shd w:val="clear" w:fill="FFFFFF"/>
              </w:rPr>
              <w:t>粉尘刺激呼吸道，长期吸入可能引发慢性支气管炎</w:t>
            </w:r>
          </w:p>
        </w:tc>
      </w:tr>
    </w:tbl>
    <w:p w14:paraId="0F2A6297">
      <w:pPr>
        <w:pStyle w:val="6"/>
        <w:bidi w:val="0"/>
        <w:rPr>
          <w:highlight w:val="none"/>
        </w:rPr>
      </w:pPr>
      <w:bookmarkStart w:id="82" w:name="_Toc29837"/>
      <w:r>
        <w:rPr>
          <w:highlight w:val="none"/>
        </w:rPr>
        <w:t>3.</w:t>
      </w:r>
      <w:r>
        <w:rPr>
          <w:rFonts w:hint="eastAsia"/>
          <w:highlight w:val="none"/>
          <w:lang w:val="en-US" w:eastAsia="zh-CN"/>
        </w:rPr>
        <w:t xml:space="preserve">7 </w:t>
      </w:r>
      <w:r>
        <w:rPr>
          <w:highlight w:val="none"/>
        </w:rPr>
        <w:t>劳动定员及工作制度</w:t>
      </w:r>
      <w:bookmarkEnd w:id="82"/>
    </w:p>
    <w:p w14:paraId="27441945">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 xml:space="preserve">劳动定员：本项目拟定劳动定员 </w:t>
      </w:r>
      <w:r>
        <w:rPr>
          <w:rFonts w:hint="eastAsia" w:eastAsia="宋体" w:cs="Times New Roman"/>
          <w:spacing w:val="-1"/>
          <w:sz w:val="24"/>
          <w:szCs w:val="24"/>
          <w:highlight w:val="none"/>
          <w:lang w:val="en-US" w:eastAsia="zh-CN"/>
        </w:rPr>
        <w:t>18</w:t>
      </w:r>
      <w:r>
        <w:rPr>
          <w:rFonts w:ascii="Times New Roman" w:hAnsi="Times New Roman" w:eastAsia="Times New Roman" w:cs="Times New Roman"/>
          <w:spacing w:val="-1"/>
          <w:sz w:val="24"/>
          <w:szCs w:val="24"/>
          <w:highlight w:val="none"/>
        </w:rPr>
        <w:t xml:space="preserve"> </w:t>
      </w:r>
      <w:r>
        <w:rPr>
          <w:rFonts w:ascii="宋体" w:hAnsi="宋体" w:eastAsia="宋体" w:cs="宋体"/>
          <w:spacing w:val="-1"/>
          <w:sz w:val="24"/>
          <w:szCs w:val="24"/>
          <w:highlight w:val="none"/>
        </w:rPr>
        <w:t>人，</w:t>
      </w:r>
      <w:r>
        <w:rPr>
          <w:rFonts w:hint="default" w:ascii="Times New Roman" w:hAnsi="Times New Roman" w:cs="Times New Roman" w:eastAsiaTheme="minorEastAsia"/>
          <w:sz w:val="24"/>
          <w:szCs w:val="24"/>
          <w:highlight w:val="none"/>
          <w:u w:val="none"/>
        </w:rPr>
        <w:t>其中 10 人</w:t>
      </w:r>
      <w:r>
        <w:rPr>
          <w:rFonts w:hint="default" w:ascii="Times New Roman" w:hAnsi="Times New Roman" w:cs="Times New Roman" w:eastAsiaTheme="minorEastAsia"/>
          <w:sz w:val="24"/>
          <w:szCs w:val="24"/>
          <w:highlight w:val="none"/>
          <w:u w:val="none"/>
          <w:lang w:val="en-US" w:eastAsia="zh-CN"/>
        </w:rPr>
        <w:t>餐饮，</w:t>
      </w:r>
      <w:r>
        <w:rPr>
          <w:rFonts w:hint="default" w:ascii="Times New Roman" w:hAnsi="Times New Roman" w:cs="Times New Roman" w:eastAsiaTheme="minorEastAsia"/>
          <w:sz w:val="24"/>
          <w:szCs w:val="24"/>
          <w:highlight w:val="none"/>
          <w:lang w:val="en-US" w:eastAsia="zh-CN"/>
        </w:rPr>
        <w:t>不住宿。</w:t>
      </w:r>
    </w:p>
    <w:p w14:paraId="1932B750">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宋体" w:hAnsi="宋体" w:eastAsia="宋体" w:cs="宋体"/>
          <w:spacing w:val="-1"/>
          <w:sz w:val="24"/>
          <w:szCs w:val="24"/>
          <w:highlight w:val="none"/>
        </w:rPr>
      </w:pPr>
      <w:r>
        <w:rPr>
          <w:rFonts w:ascii="宋体" w:hAnsi="宋体" w:eastAsia="宋体" w:cs="宋体"/>
          <w:spacing w:val="-1"/>
          <w:sz w:val="24"/>
          <w:szCs w:val="24"/>
          <w:highlight w:val="none"/>
        </w:rPr>
        <w:t xml:space="preserve">工作制度：全年工作时间 </w:t>
      </w:r>
      <w:r>
        <w:rPr>
          <w:rFonts w:ascii="Times New Roman" w:hAnsi="Times New Roman" w:eastAsia="Times New Roman" w:cs="Times New Roman"/>
          <w:spacing w:val="-1"/>
          <w:sz w:val="24"/>
          <w:szCs w:val="24"/>
          <w:highlight w:val="none"/>
        </w:rPr>
        <w:t xml:space="preserve">300 </w:t>
      </w:r>
      <w:r>
        <w:rPr>
          <w:rFonts w:ascii="宋体" w:hAnsi="宋体" w:eastAsia="宋体" w:cs="宋体"/>
          <w:spacing w:val="-1"/>
          <w:sz w:val="24"/>
          <w:szCs w:val="24"/>
          <w:highlight w:val="none"/>
        </w:rPr>
        <w:t>天，一班</w:t>
      </w:r>
      <w:r>
        <w:rPr>
          <w:rFonts w:hint="eastAsia" w:ascii="宋体" w:hAnsi="宋体" w:eastAsia="宋体" w:cs="宋体"/>
          <w:spacing w:val="-1"/>
          <w:sz w:val="24"/>
          <w:szCs w:val="24"/>
          <w:highlight w:val="none"/>
          <w:lang w:val="en-US" w:eastAsia="zh-CN"/>
        </w:rPr>
        <w:t>8</w:t>
      </w:r>
      <w:r>
        <w:rPr>
          <w:rFonts w:ascii="宋体" w:hAnsi="宋体" w:eastAsia="宋体" w:cs="宋体"/>
          <w:spacing w:val="-1"/>
          <w:sz w:val="24"/>
          <w:szCs w:val="24"/>
          <w:highlight w:val="none"/>
        </w:rPr>
        <w:t>小时制。</w:t>
      </w:r>
    </w:p>
    <w:p w14:paraId="0AD42B3A">
      <w:pPr>
        <w:pStyle w:val="6"/>
        <w:bidi w:val="0"/>
        <w:rPr>
          <w:highlight w:val="none"/>
        </w:rPr>
      </w:pPr>
      <w:bookmarkStart w:id="83" w:name="_Toc12864"/>
      <w:r>
        <w:rPr>
          <w:highlight w:val="none"/>
        </w:rPr>
        <w:t>3.</w:t>
      </w:r>
      <w:r>
        <w:rPr>
          <w:rFonts w:hint="eastAsia"/>
          <w:highlight w:val="none"/>
          <w:lang w:val="en-US" w:eastAsia="zh-CN"/>
        </w:rPr>
        <w:t xml:space="preserve">8 </w:t>
      </w:r>
      <w:r>
        <w:rPr>
          <w:highlight w:val="none"/>
        </w:rPr>
        <w:t>公用工程</w:t>
      </w:r>
      <w:bookmarkEnd w:id="83"/>
    </w:p>
    <w:p w14:paraId="1536B09F">
      <w:pPr>
        <w:pStyle w:val="7"/>
        <w:bidi w:val="0"/>
        <w:rPr>
          <w:highlight w:val="none"/>
        </w:rPr>
      </w:pPr>
      <w:bookmarkStart w:id="84" w:name="_Toc10020"/>
      <w:r>
        <w:rPr>
          <w:highlight w:val="none"/>
        </w:rPr>
        <w:t>3.</w:t>
      </w:r>
      <w:r>
        <w:rPr>
          <w:rFonts w:hint="eastAsia"/>
          <w:highlight w:val="none"/>
          <w:lang w:val="en-US" w:eastAsia="zh-CN"/>
        </w:rPr>
        <w:t>8</w:t>
      </w:r>
      <w:r>
        <w:rPr>
          <w:highlight w:val="none"/>
        </w:rPr>
        <w:t>.1</w:t>
      </w:r>
      <w:r>
        <w:rPr>
          <w:rFonts w:hint="eastAsia"/>
          <w:highlight w:val="none"/>
          <w:lang w:val="en-US" w:eastAsia="zh-CN"/>
        </w:rPr>
        <w:t xml:space="preserve"> </w:t>
      </w:r>
      <w:r>
        <w:rPr>
          <w:highlight w:val="none"/>
        </w:rPr>
        <w:t>给排水系统</w:t>
      </w:r>
      <w:bookmarkEnd w:id="84"/>
    </w:p>
    <w:p w14:paraId="4BF95A8B">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sz w:val="24"/>
          <w:szCs w:val="24"/>
          <w:highlight w:val="none"/>
          <w:u w:val="none"/>
        </w:rPr>
      </w:pPr>
      <w:bookmarkStart w:id="85" w:name="_Toc458173424"/>
      <w:bookmarkStart w:id="86" w:name="_Toc457308049"/>
      <w:bookmarkStart w:id="87" w:name="_Toc394910990"/>
      <w:r>
        <w:rPr>
          <w:rFonts w:hint="default" w:ascii="Times New Roman" w:hAnsi="Times New Roman" w:eastAsia="宋体" w:cs="Times New Roman"/>
          <w:b/>
          <w:bCs/>
          <w:color w:val="auto"/>
          <w:sz w:val="24"/>
          <w:szCs w:val="24"/>
          <w:highlight w:val="none"/>
          <w:u w:val="none"/>
        </w:rPr>
        <w:t>3.</w:t>
      </w:r>
      <w:r>
        <w:rPr>
          <w:rFonts w:hint="eastAsia" w:ascii="Times New Roman" w:hAnsi="Times New Roman" w:eastAsia="宋体" w:cs="Times New Roman"/>
          <w:b/>
          <w:bCs/>
          <w:color w:val="auto"/>
          <w:sz w:val="24"/>
          <w:szCs w:val="24"/>
          <w:highlight w:val="none"/>
          <w:u w:val="none"/>
          <w:lang w:val="en-US" w:eastAsia="zh-CN"/>
        </w:rPr>
        <w:t>8</w:t>
      </w:r>
      <w:r>
        <w:rPr>
          <w:rFonts w:hint="default" w:ascii="Times New Roman" w:hAnsi="Times New Roman" w:eastAsia="宋体" w:cs="Times New Roman"/>
          <w:b/>
          <w:bCs/>
          <w:color w:val="auto"/>
          <w:sz w:val="24"/>
          <w:szCs w:val="24"/>
          <w:highlight w:val="none"/>
          <w:u w:val="none"/>
        </w:rPr>
        <w:t>.1.1给水</w:t>
      </w:r>
      <w:bookmarkEnd w:id="85"/>
      <w:bookmarkEnd w:id="86"/>
      <w:bookmarkEnd w:id="87"/>
    </w:p>
    <w:p w14:paraId="2C7D0C5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sz w:val="24"/>
          <w:szCs w:val="24"/>
          <w:highlight w:val="none"/>
          <w:u w:val="none"/>
        </w:rPr>
      </w:pPr>
      <w:r>
        <w:rPr>
          <w:rFonts w:hint="default" w:ascii="Times New Roman" w:hAnsi="Times New Roman" w:eastAsia="宋体" w:cs="Times New Roman"/>
          <w:b w:val="0"/>
          <w:bCs w:val="0"/>
          <w:color w:val="auto"/>
          <w:sz w:val="24"/>
          <w:szCs w:val="24"/>
          <w:highlight w:val="none"/>
          <w:u w:val="none"/>
        </w:rPr>
        <w:t>本项目新鲜水用水量为</w:t>
      </w:r>
      <w:r>
        <w:rPr>
          <w:rFonts w:hint="eastAsia" w:eastAsia="宋体" w:cs="Times New Roman"/>
          <w:b w:val="0"/>
          <w:bCs w:val="0"/>
          <w:spacing w:val="-2"/>
          <w:kern w:val="0"/>
          <w:sz w:val="24"/>
          <w:szCs w:val="24"/>
          <w:highlight w:val="none"/>
          <w:u w:val="none"/>
          <w:vertAlign w:val="baseline"/>
          <w:lang w:val="en-US" w:eastAsia="zh-CN" w:bidi="ar-SA"/>
        </w:rPr>
        <w:t>2590.1834</w:t>
      </w:r>
      <w:r>
        <w:rPr>
          <w:rFonts w:hint="default" w:ascii="Times New Roman" w:hAnsi="Times New Roman" w:eastAsia="宋体" w:cs="Times New Roman"/>
          <w:b w:val="0"/>
          <w:bCs w:val="0"/>
          <w:color w:val="auto"/>
          <w:sz w:val="24"/>
          <w:szCs w:val="24"/>
          <w:highlight w:val="none"/>
          <w:u w:val="none"/>
        </w:rPr>
        <w:t>m</w:t>
      </w:r>
      <w:r>
        <w:rPr>
          <w:rFonts w:hint="default" w:ascii="Times New Roman" w:hAnsi="Times New Roman" w:eastAsia="宋体" w:cs="Times New Roman"/>
          <w:b w:val="0"/>
          <w:bCs w:val="0"/>
          <w:color w:val="auto"/>
          <w:sz w:val="24"/>
          <w:szCs w:val="24"/>
          <w:highlight w:val="none"/>
          <w:u w:val="none"/>
          <w:vertAlign w:val="superscript"/>
        </w:rPr>
        <w:t>3</w:t>
      </w:r>
      <w:r>
        <w:rPr>
          <w:rFonts w:hint="default" w:ascii="Times New Roman" w:hAnsi="Times New Roman" w:eastAsia="宋体" w:cs="Times New Roman"/>
          <w:b w:val="0"/>
          <w:bCs w:val="0"/>
          <w:color w:val="auto"/>
          <w:sz w:val="24"/>
          <w:szCs w:val="24"/>
          <w:highlight w:val="none"/>
          <w:u w:val="none"/>
        </w:rPr>
        <w:t>/a，由园区市政给水管网供应，水质满足《生活饮用水卫生标准》(GB5749-2006)要求，能够满足本项目生活用水及工艺用水水质要求。厂区用水主要为员工生活用水及生产用</w:t>
      </w:r>
      <w:r>
        <w:rPr>
          <w:rFonts w:hint="eastAsia" w:eastAsia="宋体" w:cs="Times New Roman"/>
          <w:b w:val="0"/>
          <w:bCs w:val="0"/>
          <w:color w:val="auto"/>
          <w:sz w:val="24"/>
          <w:szCs w:val="24"/>
          <w:highlight w:val="none"/>
          <w:u w:val="none"/>
          <w:lang w:val="en-US" w:eastAsia="zh-CN"/>
        </w:rPr>
        <w:t>自来</w:t>
      </w:r>
      <w:r>
        <w:rPr>
          <w:rFonts w:hint="default" w:ascii="Times New Roman" w:hAnsi="Times New Roman" w:eastAsia="宋体" w:cs="Times New Roman"/>
          <w:b w:val="0"/>
          <w:bCs w:val="0"/>
          <w:color w:val="auto"/>
          <w:sz w:val="24"/>
          <w:szCs w:val="24"/>
          <w:highlight w:val="none"/>
          <w:u w:val="none"/>
        </w:rPr>
        <w:t>水</w:t>
      </w:r>
      <w:r>
        <w:rPr>
          <w:rFonts w:hint="eastAsia" w:eastAsia="宋体" w:cs="Times New Roman"/>
          <w:b w:val="0"/>
          <w:bCs w:val="0"/>
          <w:color w:val="auto"/>
          <w:sz w:val="24"/>
          <w:szCs w:val="24"/>
          <w:highlight w:val="none"/>
          <w:u w:val="none"/>
          <w:lang w:eastAsia="zh-CN"/>
        </w:rPr>
        <w:t>、</w:t>
      </w:r>
      <w:r>
        <w:rPr>
          <w:rFonts w:hint="eastAsia" w:eastAsia="宋体" w:cs="Times New Roman"/>
          <w:b w:val="0"/>
          <w:bCs w:val="0"/>
          <w:color w:val="auto"/>
          <w:sz w:val="24"/>
          <w:szCs w:val="24"/>
          <w:highlight w:val="none"/>
          <w:u w:val="none"/>
          <w:lang w:val="en-US" w:eastAsia="zh-CN"/>
        </w:rPr>
        <w:t>纯水制备用水、搅拌罐设备清洗用水、车间清洁用水、循环冷却用水</w:t>
      </w:r>
      <w:r>
        <w:rPr>
          <w:rFonts w:hint="default" w:ascii="Times New Roman" w:hAnsi="Times New Roman" w:eastAsia="宋体" w:cs="Times New Roman"/>
          <w:b w:val="0"/>
          <w:bCs w:val="0"/>
          <w:color w:val="auto"/>
          <w:sz w:val="24"/>
          <w:szCs w:val="24"/>
          <w:highlight w:val="none"/>
          <w:u w:val="none"/>
        </w:rPr>
        <w:t>。</w:t>
      </w:r>
    </w:p>
    <w:p w14:paraId="24462F63">
      <w:pPr>
        <w:spacing w:line="360" w:lineRule="auto"/>
        <w:ind w:firstLine="482" w:firstLineChars="200"/>
        <w:rPr>
          <w:rFonts w:hint="default" w:ascii="Times New Roman" w:hAnsi="Times New Roman" w:cs="Times New Roman" w:eastAsiaTheme="minorEastAsia"/>
          <w:b/>
          <w:bCs/>
          <w:sz w:val="24"/>
          <w:szCs w:val="24"/>
          <w:highlight w:val="none"/>
        </w:rPr>
      </w:pPr>
      <w:r>
        <w:rPr>
          <w:rFonts w:hint="eastAsia" w:ascii="Times New Roman" w:hAnsi="Times New Roman" w:cs="Times New Roman" w:eastAsiaTheme="minorEastAsia"/>
          <w:b/>
          <w:bCs/>
          <w:sz w:val="24"/>
          <w:szCs w:val="24"/>
          <w:highlight w:val="none"/>
          <w:lang w:eastAsia="zh-CN"/>
        </w:rPr>
        <w:t>（</w:t>
      </w:r>
      <w:r>
        <w:rPr>
          <w:rFonts w:hint="eastAsia" w:ascii="Times New Roman" w:hAnsi="Times New Roman" w:cs="Times New Roman" w:eastAsiaTheme="minorEastAsia"/>
          <w:b/>
          <w:bCs/>
          <w:sz w:val="24"/>
          <w:szCs w:val="24"/>
          <w:highlight w:val="none"/>
          <w:lang w:val="en-US" w:eastAsia="zh-CN"/>
        </w:rPr>
        <w:t>1</w:t>
      </w:r>
      <w:r>
        <w:rPr>
          <w:rFonts w:hint="eastAsia" w:ascii="Times New Roman" w:hAnsi="Times New Roman" w:cs="Times New Roman" w:eastAsiaTheme="minorEastAsia"/>
          <w:b/>
          <w:bCs/>
          <w:sz w:val="24"/>
          <w:szCs w:val="24"/>
          <w:highlight w:val="none"/>
          <w:lang w:eastAsia="zh-CN"/>
        </w:rPr>
        <w:t>）</w:t>
      </w:r>
      <w:r>
        <w:rPr>
          <w:rFonts w:hint="default" w:ascii="Times New Roman" w:hAnsi="Times New Roman" w:cs="Times New Roman" w:eastAsiaTheme="minorEastAsia"/>
          <w:b/>
          <w:bCs/>
          <w:sz w:val="24"/>
          <w:szCs w:val="24"/>
          <w:highlight w:val="none"/>
        </w:rPr>
        <w:t>生活用水</w:t>
      </w:r>
    </w:p>
    <w:p w14:paraId="2DBAD02B">
      <w:pPr>
        <w:spacing w:line="360" w:lineRule="auto"/>
        <w:ind w:firstLine="480" w:firstLineChars="200"/>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sz w:val="24"/>
          <w:szCs w:val="24"/>
          <w:highlight w:val="none"/>
          <w:u w:val="none"/>
        </w:rPr>
        <w:t>全年工作 300 天，每日工作 8 小时，劳动定员 18 人，其中 10 人</w:t>
      </w:r>
      <w:r>
        <w:rPr>
          <w:rFonts w:hint="default" w:ascii="Times New Roman" w:hAnsi="Times New Roman" w:cs="Times New Roman" w:eastAsiaTheme="minorEastAsia"/>
          <w:sz w:val="24"/>
          <w:szCs w:val="24"/>
          <w:highlight w:val="none"/>
          <w:u w:val="none"/>
          <w:lang w:val="en-US" w:eastAsia="zh-CN"/>
        </w:rPr>
        <w:t>餐饮，不住</w:t>
      </w:r>
      <w:r>
        <w:rPr>
          <w:rFonts w:hint="default" w:ascii="Times New Roman" w:hAnsi="Times New Roman" w:cs="Times New Roman" w:eastAsiaTheme="minorEastAsia"/>
          <w:sz w:val="24"/>
          <w:szCs w:val="24"/>
          <w:highlight w:val="none"/>
          <w:lang w:val="en-US" w:eastAsia="zh-CN"/>
        </w:rPr>
        <w:t>宿。</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根据《湖南省用水定额》（DB43/T388-2020），非</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餐饮</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人员按</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45</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L/（人·d）计算；</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餐饮</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人员按140L/（人·d）计算，则生活用水量约</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1.48</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/d（</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 xml:space="preserve">444 </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p>
    <w:p w14:paraId="58183CA3">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outlineLvl w:val="9"/>
        <w:rPr>
          <w:rFonts w:hint="eastAsia" w:ascii="Times New Roman" w:hAnsi="Times New Roman" w:cs="Times New Roman" w:eastAsiaTheme="minorEastAsia"/>
          <w:b/>
          <w:bCs/>
          <w:sz w:val="24"/>
          <w:szCs w:val="24"/>
          <w:highlight w:val="none"/>
          <w:lang w:eastAsia="zh-CN"/>
        </w:rPr>
      </w:pPr>
      <w:r>
        <w:rPr>
          <w:rFonts w:hint="eastAsia" w:ascii="Times New Roman" w:hAnsi="Times New Roman" w:cs="Times New Roman" w:eastAsiaTheme="minorEastAsia"/>
          <w:b/>
          <w:bCs/>
          <w:sz w:val="24"/>
          <w:szCs w:val="24"/>
          <w:highlight w:val="none"/>
          <w:lang w:eastAsia="zh-CN"/>
        </w:rPr>
        <w:t>（</w:t>
      </w:r>
      <w:r>
        <w:rPr>
          <w:rFonts w:hint="eastAsia" w:ascii="Times New Roman" w:hAnsi="Times New Roman" w:cs="Times New Roman" w:eastAsiaTheme="minorEastAsia"/>
          <w:b/>
          <w:bCs/>
          <w:sz w:val="24"/>
          <w:szCs w:val="24"/>
          <w:highlight w:val="none"/>
          <w:lang w:val="en-US" w:eastAsia="zh-CN"/>
        </w:rPr>
        <w:t>2</w:t>
      </w:r>
      <w:r>
        <w:rPr>
          <w:rFonts w:hint="eastAsia" w:ascii="Times New Roman" w:hAnsi="Times New Roman" w:cs="Times New Roman" w:eastAsiaTheme="minorEastAsia"/>
          <w:b/>
          <w:bCs/>
          <w:sz w:val="24"/>
          <w:szCs w:val="24"/>
          <w:highlight w:val="none"/>
          <w:lang w:eastAsia="zh-CN"/>
        </w:rPr>
        <w:t>）</w:t>
      </w:r>
      <w:r>
        <w:rPr>
          <w:rFonts w:hint="eastAsia" w:ascii="Times New Roman" w:hAnsi="Times New Roman" w:cs="Times New Roman" w:eastAsiaTheme="minorEastAsia"/>
          <w:b/>
          <w:bCs/>
          <w:sz w:val="24"/>
          <w:szCs w:val="24"/>
          <w:highlight w:val="none"/>
          <w:lang w:val="en-US" w:eastAsia="zh-CN"/>
        </w:rPr>
        <w:t>水剂助剂</w:t>
      </w:r>
      <w:r>
        <w:rPr>
          <w:rFonts w:hint="eastAsia" w:ascii="Times New Roman" w:hAnsi="Times New Roman" w:cs="Times New Roman" w:eastAsiaTheme="minorEastAsia"/>
          <w:b/>
          <w:bCs/>
          <w:sz w:val="24"/>
          <w:szCs w:val="24"/>
          <w:highlight w:val="none"/>
          <w:lang w:eastAsia="zh-CN"/>
        </w:rPr>
        <w:t>生产用水</w:t>
      </w:r>
    </w:p>
    <w:p w14:paraId="0E4FE73C">
      <w:pPr>
        <w:pStyle w:val="3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本项目生产用自来水主要</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用于</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助剂水剂生产线（包括硅油和防染剂），用水直接通过水管联接至搅拌罐，年使用新鲜自来水量约为</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472.6834</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/a。水全部用于产品，无生产废水产生。</w:t>
      </w:r>
    </w:p>
    <w:p w14:paraId="5FDB5588">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（3）纯水制备用水</w:t>
      </w:r>
    </w:p>
    <w:p w14:paraId="6D95EBA4">
      <w:pPr>
        <w:pStyle w:val="42"/>
        <w:keepNext w:val="0"/>
        <w:keepLines w:val="0"/>
        <w:pageBreakBefore w:val="0"/>
        <w:widowControl w:val="0"/>
        <w:numPr>
          <w:ilvl w:val="0"/>
          <w:numId w:val="0"/>
        </w:numPr>
        <w:kinsoku/>
        <w:wordWrap/>
        <w:overflowPunct/>
        <w:topLinePunct w:val="0"/>
        <w:autoSpaceDE/>
        <w:autoSpaceDN/>
        <w:bidi w:val="0"/>
        <w:adjustRightInd w:val="0"/>
        <w:snapToGrid w:val="0"/>
        <w:ind w:firstLine="48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厂区配置一套纯水制备系统，产生的纯水存于纯水罐，根据生产需求使用。根据建设单位提供的资料</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，项目需要</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纯水1200</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/a全部用于水剂酶制剂产品中，纯水制备效率约75%，</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则</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需要新鲜自来水1600</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p>
    <w:p w14:paraId="229F7595">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（4）</w:t>
      </w:r>
      <w:r>
        <w:rPr>
          <w:rFonts w:hint="eastAsia" w:cs="Times New Roman" w:eastAsiaTheme="minorEastAsia"/>
          <w:b/>
          <w:bCs/>
          <w:sz w:val="24"/>
          <w:szCs w:val="24"/>
          <w:highlight w:val="none"/>
          <w:lang w:val="en-US" w:eastAsia="zh-CN"/>
        </w:rPr>
        <w:t>搅拌罐</w:t>
      </w:r>
      <w:r>
        <w:rPr>
          <w:rFonts w:hint="default" w:ascii="Times New Roman" w:hAnsi="Times New Roman" w:cs="Times New Roman" w:eastAsiaTheme="minorEastAsia"/>
          <w:b/>
          <w:bCs/>
          <w:sz w:val="24"/>
          <w:szCs w:val="24"/>
          <w:highlight w:val="none"/>
          <w:lang w:val="en-US" w:eastAsia="zh-CN"/>
        </w:rPr>
        <w:t>清洗用水</w:t>
      </w:r>
    </w:p>
    <w:p w14:paraId="0D749C3F">
      <w:pPr>
        <w:pStyle w:val="42"/>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jc w:val="center"/>
        <w:textAlignment w:val="auto"/>
        <w:outlineLvl w:val="9"/>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t>表3.8-1 搅拌罐清洗用水统计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105"/>
        <w:gridCol w:w="894"/>
        <w:gridCol w:w="430"/>
        <w:gridCol w:w="430"/>
        <w:gridCol w:w="1774"/>
        <w:gridCol w:w="1272"/>
        <w:gridCol w:w="1004"/>
        <w:gridCol w:w="1178"/>
      </w:tblGrid>
      <w:tr w14:paraId="1EBD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3C9F61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序号</w:t>
            </w:r>
          </w:p>
        </w:tc>
        <w:tc>
          <w:tcPr>
            <w:tcW w:w="648" w:type="pct"/>
            <w:noWrap/>
            <w:vAlign w:val="center"/>
          </w:tcPr>
          <w:p w14:paraId="7FF64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主要生产设备名称</w:t>
            </w:r>
          </w:p>
        </w:tc>
        <w:tc>
          <w:tcPr>
            <w:tcW w:w="524" w:type="pct"/>
            <w:noWrap/>
            <w:vAlign w:val="center"/>
          </w:tcPr>
          <w:p w14:paraId="08881B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型号</w:t>
            </w:r>
          </w:p>
        </w:tc>
        <w:tc>
          <w:tcPr>
            <w:tcW w:w="252" w:type="pct"/>
            <w:noWrap/>
            <w:vAlign w:val="center"/>
          </w:tcPr>
          <w:p w14:paraId="39DA5D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单位</w:t>
            </w:r>
          </w:p>
        </w:tc>
        <w:tc>
          <w:tcPr>
            <w:tcW w:w="252" w:type="pct"/>
            <w:noWrap/>
            <w:vAlign w:val="center"/>
          </w:tcPr>
          <w:p w14:paraId="4A1F8F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数量</w:t>
            </w:r>
          </w:p>
        </w:tc>
        <w:tc>
          <w:tcPr>
            <w:tcW w:w="1041" w:type="pct"/>
            <w:noWrap/>
            <w:vAlign w:val="center"/>
          </w:tcPr>
          <w:p w14:paraId="66CE04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用途</w:t>
            </w:r>
          </w:p>
        </w:tc>
        <w:tc>
          <w:tcPr>
            <w:tcW w:w="746" w:type="pct"/>
            <w:noWrap/>
            <w:vAlign w:val="center"/>
          </w:tcPr>
          <w:p w14:paraId="3C5DE1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备注</w:t>
            </w:r>
          </w:p>
        </w:tc>
        <w:tc>
          <w:tcPr>
            <w:tcW w:w="589" w:type="pct"/>
            <w:noWrap/>
            <w:vAlign w:val="center"/>
          </w:tcPr>
          <w:p w14:paraId="382FAF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设备清洗频次</w:t>
            </w:r>
          </w:p>
          <w:p w14:paraId="27A25A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单位：</w:t>
            </w:r>
            <w:r>
              <w:rPr>
                <w:rFonts w:hint="default" w:ascii="Times New Roman" w:hAnsi="Times New Roman" w:eastAsia="宋体" w:cs="Times New Roman"/>
                <w:b/>
                <w:bCs/>
                <w:color w:val="auto"/>
                <w:kern w:val="0"/>
                <w:sz w:val="21"/>
                <w:szCs w:val="21"/>
                <w:highlight w:val="none"/>
                <w:lang w:val="en-US" w:eastAsia="zh-CN"/>
              </w:rPr>
              <w:t>次/套</w:t>
            </w:r>
          </w:p>
        </w:tc>
        <w:tc>
          <w:tcPr>
            <w:tcW w:w="691" w:type="pct"/>
            <w:noWrap/>
            <w:vAlign w:val="center"/>
          </w:tcPr>
          <w:p w14:paraId="6916C0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每套设备</w:t>
            </w:r>
            <w:r>
              <w:rPr>
                <w:rFonts w:hint="default" w:ascii="Times New Roman" w:hAnsi="Times New Roman" w:eastAsia="宋体" w:cs="Times New Roman"/>
                <w:b/>
                <w:bCs/>
                <w:color w:val="auto"/>
                <w:kern w:val="0"/>
                <w:sz w:val="21"/>
                <w:szCs w:val="21"/>
                <w:highlight w:val="none"/>
                <w:lang w:val="en-US" w:eastAsia="zh-CN"/>
              </w:rPr>
              <w:t>每次</w:t>
            </w:r>
            <w:r>
              <w:rPr>
                <w:rFonts w:hint="default" w:ascii="Times New Roman" w:hAnsi="Times New Roman" w:eastAsia="宋体" w:cs="Times New Roman"/>
                <w:b/>
                <w:bCs/>
                <w:color w:val="auto"/>
                <w:kern w:val="0"/>
                <w:sz w:val="21"/>
                <w:szCs w:val="21"/>
                <w:highlight w:val="none"/>
              </w:rPr>
              <w:t>清洗用水量/</w:t>
            </w:r>
          </w:p>
          <w:p w14:paraId="122AA6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单位：</w:t>
            </w:r>
            <w:r>
              <w:rPr>
                <w:rFonts w:hint="default" w:ascii="Times New Roman" w:hAnsi="Times New Roman" w:eastAsia="宋体" w:cs="Times New Roman"/>
                <w:color w:val="000000"/>
                <w:kern w:val="0"/>
                <w:sz w:val="21"/>
                <w:szCs w:val="21"/>
                <w:highlight w:val="none"/>
              </w:rPr>
              <w:t>m</w:t>
            </w:r>
            <w:r>
              <w:rPr>
                <w:rFonts w:hint="default" w:ascii="Times New Roman" w:hAnsi="Times New Roman" w:eastAsia="宋体" w:cs="Times New Roman"/>
                <w:color w:val="000000"/>
                <w:kern w:val="0"/>
                <w:sz w:val="21"/>
                <w:szCs w:val="21"/>
                <w:highlight w:val="none"/>
                <w:vertAlign w:val="superscript"/>
              </w:rPr>
              <w:t>3</w:t>
            </w:r>
          </w:p>
        </w:tc>
      </w:tr>
      <w:tr w14:paraId="7BDB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6189AF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648" w:type="pct"/>
            <w:noWrap/>
            <w:vAlign w:val="center"/>
          </w:tcPr>
          <w:p w14:paraId="5A4D30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水剂搅拌釜</w:t>
            </w:r>
          </w:p>
        </w:tc>
        <w:tc>
          <w:tcPr>
            <w:tcW w:w="524" w:type="pct"/>
            <w:noWrap/>
            <w:vAlign w:val="center"/>
          </w:tcPr>
          <w:p w14:paraId="3213E1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2T</w:t>
            </w:r>
          </w:p>
        </w:tc>
        <w:tc>
          <w:tcPr>
            <w:tcW w:w="252" w:type="pct"/>
            <w:noWrap/>
            <w:vAlign w:val="center"/>
          </w:tcPr>
          <w:p w14:paraId="76CDE0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248DF0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1041" w:type="pct"/>
            <w:noWrap/>
            <w:vAlign w:val="center"/>
          </w:tcPr>
          <w:p w14:paraId="2EF507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酶制剂水剂生产</w:t>
            </w:r>
            <w:r>
              <w:rPr>
                <w:rFonts w:hint="eastAsia" w:eastAsia="宋体" w:cs="Times New Roman"/>
                <w:color w:val="000000"/>
                <w:kern w:val="0"/>
                <w:sz w:val="21"/>
                <w:szCs w:val="21"/>
                <w:highlight w:val="none"/>
                <w:lang w:eastAsia="zh-CN"/>
              </w:rPr>
              <w:t>，</w:t>
            </w:r>
            <w:r>
              <w:rPr>
                <w:rFonts w:hint="eastAsia" w:eastAsia="宋体" w:cs="Times New Roman"/>
                <w:b/>
                <w:bCs/>
                <w:color w:val="000000"/>
                <w:kern w:val="0"/>
                <w:sz w:val="21"/>
                <w:szCs w:val="21"/>
                <w:highlight w:val="none"/>
                <w:lang w:val="en-US" w:eastAsia="zh-CN"/>
              </w:rPr>
              <w:t>1#生产线</w:t>
            </w:r>
          </w:p>
        </w:tc>
        <w:tc>
          <w:tcPr>
            <w:tcW w:w="746" w:type="pct"/>
            <w:noWrap/>
            <w:vAlign w:val="center"/>
          </w:tcPr>
          <w:p w14:paraId="01A360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位于液态产品复配车间</w:t>
            </w:r>
          </w:p>
        </w:tc>
        <w:tc>
          <w:tcPr>
            <w:tcW w:w="589" w:type="pct"/>
            <w:noWrap/>
            <w:vAlign w:val="center"/>
          </w:tcPr>
          <w:p w14:paraId="5FA3AB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每周</w:t>
            </w:r>
            <w:r>
              <w:rPr>
                <w:rFonts w:hint="default" w:ascii="Times New Roman" w:hAnsi="Times New Roman" w:eastAsia="宋体" w:cs="Times New Roman"/>
                <w:color w:val="000000"/>
                <w:kern w:val="0"/>
                <w:sz w:val="21"/>
                <w:szCs w:val="21"/>
                <w:highlight w:val="none"/>
                <w:lang w:val="en-US" w:eastAsia="zh-CN"/>
              </w:rPr>
              <w:t>1</w:t>
            </w:r>
            <w:r>
              <w:rPr>
                <w:rFonts w:hint="default" w:ascii="Times New Roman" w:hAnsi="Times New Roman" w:eastAsia="宋体" w:cs="Times New Roman"/>
                <w:color w:val="000000"/>
                <w:kern w:val="0"/>
                <w:sz w:val="21"/>
                <w:szCs w:val="21"/>
                <w:highlight w:val="none"/>
              </w:rPr>
              <w:t>次</w:t>
            </w:r>
          </w:p>
        </w:tc>
        <w:tc>
          <w:tcPr>
            <w:tcW w:w="691" w:type="pct"/>
            <w:noWrap/>
            <w:vAlign w:val="center"/>
          </w:tcPr>
          <w:p w14:paraId="36AAFE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0.1</w:t>
            </w:r>
          </w:p>
        </w:tc>
      </w:tr>
      <w:tr w14:paraId="7C28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4E0DEF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648" w:type="pct"/>
            <w:noWrap/>
            <w:vAlign w:val="center"/>
          </w:tcPr>
          <w:p w14:paraId="55CC12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粉剂搅拌罐</w:t>
            </w:r>
          </w:p>
        </w:tc>
        <w:tc>
          <w:tcPr>
            <w:tcW w:w="524" w:type="pct"/>
            <w:noWrap/>
            <w:vAlign w:val="center"/>
          </w:tcPr>
          <w:p w14:paraId="40185D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1.5T、2T</w:t>
            </w:r>
          </w:p>
        </w:tc>
        <w:tc>
          <w:tcPr>
            <w:tcW w:w="252" w:type="pct"/>
            <w:noWrap/>
            <w:vAlign w:val="center"/>
          </w:tcPr>
          <w:p w14:paraId="683C05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66E56A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1041" w:type="pct"/>
            <w:noWrap/>
            <w:vAlign w:val="center"/>
          </w:tcPr>
          <w:p w14:paraId="38A7E5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酶制剂粉剂</w:t>
            </w:r>
            <w:r>
              <w:rPr>
                <w:rFonts w:hint="eastAsia" w:eastAsia="宋体" w:cs="Times New Roman"/>
                <w:color w:val="000000"/>
                <w:kern w:val="0"/>
                <w:sz w:val="21"/>
                <w:szCs w:val="21"/>
                <w:highlight w:val="none"/>
                <w:lang w:val="en-US" w:eastAsia="zh-CN"/>
              </w:rPr>
              <w:t>及助剂粉剂生产（产品为酶制剂水剂和防染粉2#），</w:t>
            </w:r>
            <w:r>
              <w:rPr>
                <w:rFonts w:hint="eastAsia" w:eastAsia="宋体" w:cs="Times New Roman"/>
                <w:b/>
                <w:bCs/>
                <w:color w:val="000000"/>
                <w:kern w:val="0"/>
                <w:sz w:val="21"/>
                <w:szCs w:val="21"/>
                <w:highlight w:val="none"/>
                <w:lang w:val="en-US" w:eastAsia="zh-CN"/>
              </w:rPr>
              <w:t>3#生产线</w:t>
            </w:r>
          </w:p>
        </w:tc>
        <w:tc>
          <w:tcPr>
            <w:tcW w:w="746" w:type="pct"/>
            <w:noWrap/>
            <w:vAlign w:val="center"/>
          </w:tcPr>
          <w:p w14:paraId="754C24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1套2T预留备用，粉剂</w:t>
            </w:r>
            <w:r>
              <w:rPr>
                <w:rFonts w:hint="eastAsia" w:eastAsia="宋体" w:cs="Times New Roman"/>
                <w:color w:val="000000"/>
                <w:kern w:val="0"/>
                <w:sz w:val="21"/>
                <w:szCs w:val="21"/>
                <w:highlight w:val="none"/>
                <w:lang w:val="en-US" w:eastAsia="zh-CN"/>
              </w:rPr>
              <w:t>复配</w:t>
            </w:r>
            <w:r>
              <w:rPr>
                <w:rFonts w:hint="default" w:ascii="Times New Roman" w:hAnsi="Times New Roman" w:eastAsia="宋体" w:cs="Times New Roman"/>
                <w:color w:val="000000"/>
                <w:kern w:val="0"/>
                <w:sz w:val="21"/>
                <w:szCs w:val="21"/>
                <w:highlight w:val="none"/>
              </w:rPr>
              <w:t>车间</w:t>
            </w:r>
          </w:p>
        </w:tc>
        <w:tc>
          <w:tcPr>
            <w:tcW w:w="589" w:type="pct"/>
            <w:noWrap/>
            <w:vAlign w:val="center"/>
          </w:tcPr>
          <w:p w14:paraId="74F4C5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w:t>
            </w:r>
          </w:p>
        </w:tc>
        <w:tc>
          <w:tcPr>
            <w:tcW w:w="691" w:type="pct"/>
            <w:noWrap/>
            <w:vAlign w:val="center"/>
          </w:tcPr>
          <w:p w14:paraId="42730C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0</w:t>
            </w:r>
          </w:p>
        </w:tc>
      </w:tr>
      <w:tr w14:paraId="0013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27C485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w:t>
            </w:r>
          </w:p>
        </w:tc>
        <w:tc>
          <w:tcPr>
            <w:tcW w:w="648" w:type="pct"/>
            <w:noWrap/>
            <w:vAlign w:val="center"/>
          </w:tcPr>
          <w:p w14:paraId="436EBF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多功能混合搅拌罐</w:t>
            </w:r>
          </w:p>
        </w:tc>
        <w:tc>
          <w:tcPr>
            <w:tcW w:w="524" w:type="pct"/>
            <w:noWrap/>
            <w:vAlign w:val="center"/>
          </w:tcPr>
          <w:p w14:paraId="22AE3F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3T</w:t>
            </w:r>
          </w:p>
        </w:tc>
        <w:tc>
          <w:tcPr>
            <w:tcW w:w="252" w:type="pct"/>
            <w:noWrap/>
            <w:vAlign w:val="center"/>
          </w:tcPr>
          <w:p w14:paraId="14AC80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1A1952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eastAsia" w:eastAsia="宋体" w:cs="Times New Roman"/>
                <w:color w:val="000000"/>
                <w:kern w:val="0"/>
                <w:sz w:val="21"/>
                <w:szCs w:val="21"/>
                <w:highlight w:val="none"/>
                <w:lang w:val="en-US" w:eastAsia="zh-CN"/>
              </w:rPr>
              <w:t>3</w:t>
            </w:r>
          </w:p>
        </w:tc>
        <w:tc>
          <w:tcPr>
            <w:tcW w:w="1041" w:type="pct"/>
            <w:noWrap/>
            <w:vAlign w:val="center"/>
          </w:tcPr>
          <w:p w14:paraId="1BFEC5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rPr>
            </w:pPr>
            <w:r>
              <w:rPr>
                <w:rFonts w:hint="default" w:ascii="Times New Roman" w:hAnsi="Times New Roman" w:eastAsia="宋体" w:cs="Times New Roman"/>
                <w:color w:val="000000"/>
                <w:kern w:val="0"/>
                <w:sz w:val="21"/>
                <w:szCs w:val="21"/>
                <w:highlight w:val="none"/>
              </w:rPr>
              <w:t>助剂粉剂生产</w:t>
            </w:r>
            <w:r>
              <w:rPr>
                <w:rFonts w:hint="eastAsia" w:eastAsia="宋体" w:cs="Times New Roman"/>
                <w:color w:val="000000"/>
                <w:kern w:val="0"/>
                <w:sz w:val="21"/>
                <w:szCs w:val="21"/>
                <w:highlight w:val="none"/>
                <w:lang w:eastAsia="zh-CN"/>
              </w:rPr>
              <w:t>（</w:t>
            </w:r>
            <w:r>
              <w:rPr>
                <w:rFonts w:hint="eastAsia" w:eastAsia="宋体" w:cs="Times New Roman"/>
                <w:color w:val="000000"/>
                <w:kern w:val="0"/>
                <w:sz w:val="21"/>
                <w:szCs w:val="21"/>
                <w:highlight w:val="none"/>
                <w:lang w:val="en-US" w:eastAsia="zh-CN"/>
              </w:rPr>
              <w:t>产品为防染粉1#</w:t>
            </w:r>
            <w:r>
              <w:rPr>
                <w:rFonts w:hint="eastAsia" w:eastAsia="宋体" w:cs="Times New Roman"/>
                <w:color w:val="000000"/>
                <w:kern w:val="0"/>
                <w:sz w:val="21"/>
                <w:szCs w:val="21"/>
                <w:highlight w:val="none"/>
                <w:lang w:eastAsia="zh-CN"/>
              </w:rPr>
              <w:t>），</w:t>
            </w:r>
            <w:r>
              <w:rPr>
                <w:rFonts w:hint="eastAsia" w:eastAsia="宋体" w:cs="Times New Roman"/>
                <w:b/>
                <w:bCs/>
                <w:color w:val="000000"/>
                <w:kern w:val="0"/>
                <w:sz w:val="21"/>
                <w:szCs w:val="21"/>
                <w:highlight w:val="none"/>
                <w:lang w:val="en-US" w:eastAsia="zh-CN"/>
              </w:rPr>
              <w:t>4#生产线</w:t>
            </w:r>
          </w:p>
        </w:tc>
        <w:tc>
          <w:tcPr>
            <w:tcW w:w="746" w:type="pct"/>
            <w:noWrap/>
            <w:vAlign w:val="center"/>
          </w:tcPr>
          <w:p w14:paraId="1EBC7E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eastAsia" w:eastAsia="宋体" w:cs="Times New Roman"/>
                <w:color w:val="000000"/>
                <w:kern w:val="0"/>
                <w:sz w:val="21"/>
                <w:szCs w:val="21"/>
                <w:highlight w:val="none"/>
                <w:lang w:val="en-US" w:eastAsia="zh-CN"/>
              </w:rPr>
              <w:t>2</w:t>
            </w:r>
            <w:r>
              <w:rPr>
                <w:rFonts w:hint="default" w:ascii="Times New Roman" w:hAnsi="Times New Roman" w:eastAsia="宋体" w:cs="Times New Roman"/>
                <w:color w:val="000000"/>
                <w:kern w:val="0"/>
                <w:sz w:val="21"/>
                <w:szCs w:val="21"/>
                <w:highlight w:val="none"/>
              </w:rPr>
              <w:t>用</w:t>
            </w:r>
            <w:r>
              <w:rPr>
                <w:rFonts w:hint="eastAsia" w:eastAsia="宋体" w:cs="Times New Roman"/>
                <w:color w:val="000000"/>
                <w:kern w:val="0"/>
                <w:sz w:val="21"/>
                <w:szCs w:val="21"/>
                <w:highlight w:val="none"/>
                <w:lang w:val="en-US" w:eastAsia="zh-CN"/>
              </w:rPr>
              <w:t>1</w:t>
            </w:r>
            <w:r>
              <w:rPr>
                <w:rFonts w:hint="default" w:ascii="Times New Roman" w:hAnsi="Times New Roman" w:eastAsia="宋体" w:cs="Times New Roman"/>
                <w:color w:val="000000"/>
                <w:kern w:val="0"/>
                <w:sz w:val="21"/>
                <w:szCs w:val="21"/>
                <w:highlight w:val="none"/>
              </w:rPr>
              <w:t>备，固体助剂车间</w:t>
            </w:r>
          </w:p>
        </w:tc>
        <w:tc>
          <w:tcPr>
            <w:tcW w:w="589" w:type="pct"/>
            <w:noWrap/>
            <w:vAlign w:val="center"/>
          </w:tcPr>
          <w:p w14:paraId="11DFE1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每年1次</w:t>
            </w:r>
          </w:p>
        </w:tc>
        <w:tc>
          <w:tcPr>
            <w:tcW w:w="691" w:type="pct"/>
            <w:noWrap/>
            <w:vAlign w:val="center"/>
          </w:tcPr>
          <w:p w14:paraId="402D94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r>
      <w:tr w14:paraId="2C05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16E90E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4</w:t>
            </w:r>
          </w:p>
        </w:tc>
        <w:tc>
          <w:tcPr>
            <w:tcW w:w="648" w:type="pct"/>
            <w:noWrap/>
            <w:vAlign w:val="center"/>
          </w:tcPr>
          <w:p w14:paraId="7C966A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电加热搅拌釜</w:t>
            </w:r>
          </w:p>
        </w:tc>
        <w:tc>
          <w:tcPr>
            <w:tcW w:w="524" w:type="pct"/>
            <w:noWrap/>
            <w:vAlign w:val="center"/>
          </w:tcPr>
          <w:p w14:paraId="41D499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3T</w:t>
            </w:r>
          </w:p>
        </w:tc>
        <w:tc>
          <w:tcPr>
            <w:tcW w:w="252" w:type="pct"/>
            <w:noWrap/>
            <w:vAlign w:val="center"/>
          </w:tcPr>
          <w:p w14:paraId="746736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20C41A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041" w:type="pct"/>
            <w:noWrap/>
            <w:vAlign w:val="center"/>
          </w:tcPr>
          <w:p w14:paraId="77DB98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助剂水剂生产</w:t>
            </w:r>
            <w:r>
              <w:rPr>
                <w:rFonts w:hint="eastAsia" w:eastAsia="宋体" w:cs="Times New Roman"/>
                <w:color w:val="000000"/>
                <w:kern w:val="0"/>
                <w:sz w:val="21"/>
                <w:szCs w:val="21"/>
                <w:highlight w:val="none"/>
                <w:lang w:val="en-US" w:eastAsia="zh-CN"/>
              </w:rPr>
              <w:t>（产品为防染剂），</w:t>
            </w:r>
            <w:r>
              <w:rPr>
                <w:rFonts w:hint="eastAsia" w:eastAsia="宋体" w:cs="Times New Roman"/>
                <w:b/>
                <w:bCs/>
                <w:color w:val="000000"/>
                <w:kern w:val="0"/>
                <w:sz w:val="21"/>
                <w:szCs w:val="21"/>
                <w:highlight w:val="none"/>
                <w:lang w:val="en-US" w:eastAsia="zh-CN"/>
              </w:rPr>
              <w:t>5#生产线</w:t>
            </w:r>
          </w:p>
        </w:tc>
        <w:tc>
          <w:tcPr>
            <w:tcW w:w="746" w:type="pct"/>
            <w:noWrap/>
            <w:vAlign w:val="center"/>
          </w:tcPr>
          <w:p w14:paraId="4325DF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位于</w:t>
            </w:r>
            <w:r>
              <w:rPr>
                <w:rFonts w:hint="default" w:ascii="Times New Roman" w:hAnsi="Times New Roman" w:eastAsia="宋体" w:cs="Times New Roman"/>
                <w:color w:val="000000"/>
                <w:kern w:val="0"/>
                <w:sz w:val="21"/>
                <w:szCs w:val="21"/>
                <w:highlight w:val="none"/>
              </w:rPr>
              <w:t>固体助剂车间</w:t>
            </w:r>
          </w:p>
        </w:tc>
        <w:tc>
          <w:tcPr>
            <w:tcW w:w="589" w:type="pct"/>
            <w:noWrap/>
            <w:vAlign w:val="center"/>
          </w:tcPr>
          <w:p w14:paraId="4F3280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每月1次</w:t>
            </w:r>
          </w:p>
        </w:tc>
        <w:tc>
          <w:tcPr>
            <w:tcW w:w="691" w:type="pct"/>
            <w:noWrap/>
            <w:vAlign w:val="center"/>
          </w:tcPr>
          <w:p w14:paraId="65E32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0.2</w:t>
            </w:r>
          </w:p>
        </w:tc>
      </w:tr>
      <w:tr w14:paraId="4B24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2E4E80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5</w:t>
            </w:r>
          </w:p>
        </w:tc>
        <w:tc>
          <w:tcPr>
            <w:tcW w:w="648" w:type="pct"/>
            <w:noWrap/>
            <w:vAlign w:val="center"/>
          </w:tcPr>
          <w:p w14:paraId="0C042D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简易电加热混合搅拌釜</w:t>
            </w:r>
          </w:p>
        </w:tc>
        <w:tc>
          <w:tcPr>
            <w:tcW w:w="524" w:type="pct"/>
            <w:noWrap/>
            <w:vAlign w:val="center"/>
          </w:tcPr>
          <w:p w14:paraId="709D98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2T</w:t>
            </w:r>
          </w:p>
        </w:tc>
        <w:tc>
          <w:tcPr>
            <w:tcW w:w="252" w:type="pct"/>
            <w:noWrap/>
            <w:vAlign w:val="center"/>
          </w:tcPr>
          <w:p w14:paraId="49EA79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3C2333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1041" w:type="pct"/>
            <w:noWrap/>
            <w:vAlign w:val="center"/>
          </w:tcPr>
          <w:p w14:paraId="0BB46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助剂水剂生产</w:t>
            </w:r>
            <w:r>
              <w:rPr>
                <w:rFonts w:hint="eastAsia" w:eastAsia="宋体" w:cs="Times New Roman"/>
                <w:color w:val="000000"/>
                <w:kern w:val="0"/>
                <w:sz w:val="21"/>
                <w:szCs w:val="21"/>
                <w:highlight w:val="none"/>
                <w:lang w:val="en-US" w:eastAsia="zh-CN"/>
              </w:rPr>
              <w:t>（产品为硅油），</w:t>
            </w:r>
            <w:r>
              <w:rPr>
                <w:rFonts w:hint="eastAsia" w:eastAsia="宋体" w:cs="Times New Roman"/>
                <w:b/>
                <w:bCs/>
                <w:color w:val="000000"/>
                <w:kern w:val="0"/>
                <w:sz w:val="21"/>
                <w:szCs w:val="21"/>
                <w:highlight w:val="none"/>
                <w:lang w:val="en-US" w:eastAsia="zh-CN"/>
              </w:rPr>
              <w:t>2#生产线</w:t>
            </w:r>
          </w:p>
        </w:tc>
        <w:tc>
          <w:tcPr>
            <w:tcW w:w="746" w:type="pct"/>
            <w:noWrap/>
            <w:vAlign w:val="center"/>
          </w:tcPr>
          <w:p w14:paraId="157F22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位于液态产品复配车间</w:t>
            </w:r>
          </w:p>
        </w:tc>
        <w:tc>
          <w:tcPr>
            <w:tcW w:w="589" w:type="pct"/>
            <w:noWrap/>
            <w:vAlign w:val="center"/>
          </w:tcPr>
          <w:p w14:paraId="427BD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每月1次</w:t>
            </w:r>
          </w:p>
        </w:tc>
        <w:tc>
          <w:tcPr>
            <w:tcW w:w="691" w:type="pct"/>
            <w:noWrap/>
            <w:vAlign w:val="center"/>
          </w:tcPr>
          <w:p w14:paraId="44A016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0.2</w:t>
            </w:r>
          </w:p>
        </w:tc>
      </w:tr>
    </w:tbl>
    <w:p w14:paraId="37928645">
      <w:pPr>
        <w:pStyle w:val="42"/>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搅拌罐</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清洗用水简述：</w:t>
      </w:r>
    </w:p>
    <w:p w14:paraId="77A83F99">
      <w:pPr>
        <w:pStyle w:val="42"/>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酶制剂水剂搅拌罐，一年300天按43周计，清洗43次/年，则清洗用水量为4.3m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；2）酶制剂粉剂搅拌罐不清洗。3）助剂粉剂搅拌罐按2套计，清洗1次/年，则清洗用水量为2m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；4）助剂水剂搅拌罐，清洗12次/年，3套</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搅拌罐</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清洗用水量为7.2m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p>
    <w:p w14:paraId="5FA39D08">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综合，项目所有搅拌罐设备清洗</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用水</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量为13.5m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，设备清洗水全部回用于3T的助剂水剂搅拌罐</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，用于生产</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助剂水剂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防染剂。</w:t>
      </w:r>
      <w:r>
        <w:rPr>
          <w:rFonts w:hint="eastAsia" w:ascii="Times New Roman" w:hAnsi="Times New Roman" w:eastAsia="宋体" w:cs="Times New Roman"/>
          <w:spacing w:val="-2"/>
          <w:sz w:val="24"/>
          <w:szCs w:val="24"/>
          <w:highlight w:val="yellow"/>
          <w:lang w:val="en-US" w:eastAsia="zh-CN"/>
        </w:rPr>
        <w:t>防染剂的生产是在密闭的固体助剂车间向3T的</w:t>
      </w:r>
      <w:r>
        <w:rPr>
          <w:rFonts w:hint="default" w:ascii="Times New Roman" w:hAnsi="Times New Roman" w:eastAsia="宋体" w:cs="Times New Roman"/>
          <w:spacing w:val="-2"/>
          <w:sz w:val="24"/>
          <w:szCs w:val="24"/>
          <w:highlight w:val="yellow"/>
          <w:lang w:val="en-US" w:eastAsia="zh-CN"/>
        </w:rPr>
        <w:t>电加热搅拌釜</w:t>
      </w:r>
      <w:r>
        <w:rPr>
          <w:rFonts w:hint="eastAsia" w:ascii="Times New Roman" w:hAnsi="Times New Roman" w:eastAsia="宋体" w:cs="Times New Roman"/>
          <w:spacing w:val="-2"/>
          <w:sz w:val="24"/>
          <w:szCs w:val="24"/>
          <w:highlight w:val="yellow"/>
          <w:lang w:val="en-US" w:eastAsia="zh-CN"/>
        </w:rPr>
        <w:t>中，取</w:t>
      </w:r>
      <w:r>
        <w:rPr>
          <w:rFonts w:hint="eastAsia" w:ascii="Times New Roman" w:eastAsia="宋体" w:cs="Times New Roman"/>
          <w:spacing w:val="-2"/>
          <w:sz w:val="24"/>
          <w:szCs w:val="24"/>
          <w:highlight w:val="yellow"/>
          <w:lang w:val="en-US" w:eastAsia="zh-CN"/>
        </w:rPr>
        <w:t>本项目</w:t>
      </w:r>
      <w:r>
        <w:rPr>
          <w:rFonts w:hint="eastAsia" w:eastAsia="宋体" w:cs="Times New Roman"/>
          <w:color w:val="auto"/>
          <w:kern w:val="0"/>
          <w:sz w:val="24"/>
          <w:szCs w:val="24"/>
          <w:highlight w:val="yellow"/>
          <w:u w:val="none"/>
          <w:lang w:val="en-US" w:eastAsia="zh-CN"/>
        </w:rPr>
        <w:t>防染粉1#中间</w:t>
      </w:r>
      <w:r>
        <w:rPr>
          <w:rFonts w:hint="eastAsia" w:ascii="Times New Roman" w:hAnsi="Times New Roman" w:eastAsia="宋体" w:cs="Times New Roman"/>
          <w:color w:val="auto"/>
          <w:kern w:val="0"/>
          <w:sz w:val="24"/>
          <w:szCs w:val="24"/>
          <w:highlight w:val="yellow"/>
          <w:u w:val="none"/>
          <w:lang w:val="en-US" w:eastAsia="zh-CN"/>
        </w:rPr>
        <w:t>产品</w:t>
      </w:r>
      <w:r>
        <w:rPr>
          <w:rFonts w:hint="eastAsia" w:eastAsia="宋体" w:cs="Times New Roman"/>
          <w:color w:val="auto"/>
          <w:kern w:val="0"/>
          <w:sz w:val="24"/>
          <w:szCs w:val="24"/>
          <w:highlight w:val="yellow"/>
          <w:u w:val="none"/>
          <w:lang w:val="en-US" w:eastAsia="zh-CN"/>
        </w:rPr>
        <w:t>（</w:t>
      </w:r>
      <w:r>
        <w:rPr>
          <w:rFonts w:hint="eastAsia" w:ascii="Times New Roman" w:hAnsi="Times New Roman" w:eastAsia="宋体" w:cs="Times New Roman"/>
          <w:color w:val="auto"/>
          <w:kern w:val="0"/>
          <w:sz w:val="24"/>
          <w:szCs w:val="24"/>
          <w:highlight w:val="yellow"/>
          <w:u w:val="none"/>
          <w:lang w:val="en-US" w:eastAsia="zh-CN"/>
        </w:rPr>
        <w:t>20%</w:t>
      </w:r>
      <w:r>
        <w:rPr>
          <w:rFonts w:hint="eastAsia" w:eastAsia="宋体" w:cs="Times New Roman"/>
          <w:color w:val="auto"/>
          <w:kern w:val="0"/>
          <w:sz w:val="24"/>
          <w:szCs w:val="24"/>
          <w:highlight w:val="yellow"/>
          <w:u w:val="none"/>
          <w:lang w:val="en-US" w:eastAsia="zh-CN"/>
        </w:rPr>
        <w:t>助剂粉剂</w:t>
      </w:r>
      <w:r>
        <w:rPr>
          <w:rFonts w:hint="eastAsia" w:ascii="Times New Roman" w:hAnsi="Times New Roman" w:eastAsia="宋体" w:cs="Times New Roman"/>
          <w:color w:val="auto"/>
          <w:kern w:val="0"/>
          <w:sz w:val="24"/>
          <w:szCs w:val="24"/>
          <w:highlight w:val="yellow"/>
          <w:u w:val="none"/>
          <w:lang w:val="en-US" w:eastAsia="zh-CN"/>
        </w:rPr>
        <w:t>热浆</w:t>
      </w:r>
      <w:r>
        <w:rPr>
          <w:rFonts w:hint="eastAsia" w:eastAsia="宋体" w:cs="Times New Roman"/>
          <w:color w:val="auto"/>
          <w:kern w:val="0"/>
          <w:sz w:val="24"/>
          <w:szCs w:val="24"/>
          <w:highlight w:val="yellow"/>
          <w:u w:val="none"/>
          <w:lang w:val="en-US" w:eastAsia="zh-CN"/>
        </w:rPr>
        <w:t>）作为原材料</w:t>
      </w:r>
      <w:r>
        <w:rPr>
          <w:rFonts w:hint="eastAsia" w:ascii="Times New Roman" w:hAnsi="Times New Roman" w:eastAsia="宋体" w:cs="Times New Roman"/>
          <w:spacing w:val="-2"/>
          <w:sz w:val="24"/>
          <w:szCs w:val="24"/>
          <w:highlight w:val="yellow"/>
          <w:lang w:val="en-US" w:eastAsia="zh-CN"/>
        </w:rPr>
        <w:t>，加水</w:t>
      </w:r>
      <w:r>
        <w:rPr>
          <w:rFonts w:hint="eastAsia" w:ascii="Times New Roman" w:eastAsia="宋体" w:cs="Times New Roman"/>
          <w:spacing w:val="-2"/>
          <w:sz w:val="24"/>
          <w:szCs w:val="24"/>
          <w:highlight w:val="yellow"/>
          <w:lang w:val="en-US" w:eastAsia="zh-CN"/>
        </w:rPr>
        <w:t>开稀</w:t>
      </w:r>
      <w:r>
        <w:rPr>
          <w:rFonts w:hint="eastAsia" w:eastAsia="宋体" w:cs="Times New Roman"/>
          <w:spacing w:val="-2"/>
          <w:sz w:val="24"/>
          <w:szCs w:val="24"/>
          <w:highlight w:val="yellow"/>
          <w:lang w:val="en-US" w:eastAsia="zh-CN"/>
        </w:rPr>
        <w:t>混合搅拌生成</w:t>
      </w:r>
      <w:r>
        <w:rPr>
          <w:rFonts w:hint="eastAsia" w:ascii="Times New Roman" w:hAnsi="Times New Roman" w:eastAsia="宋体" w:cs="Times New Roman"/>
          <w:spacing w:val="-2"/>
          <w:sz w:val="24"/>
          <w:szCs w:val="24"/>
          <w:highlight w:val="yellow"/>
          <w:lang w:val="en-US" w:eastAsia="zh-CN"/>
        </w:rPr>
        <w:t>（用水包括自来水，不足的用各搅拌罐设备的清洗水</w:t>
      </w:r>
      <w:r>
        <w:rPr>
          <w:rFonts w:hint="default" w:ascii="Times New Roman" w:hAnsi="Times New Roman" w:eastAsia="宋体" w:cs="Times New Roman"/>
          <w:spacing w:val="-2"/>
          <w:sz w:val="24"/>
          <w:szCs w:val="24"/>
          <w:highlight w:val="yellow"/>
          <w:lang w:val="en-US" w:eastAsia="zh-CN"/>
        </w:rPr>
        <w:t>回用于3T的助剂水剂搅拌罐</w:t>
      </w:r>
      <w:r>
        <w:rPr>
          <w:rFonts w:hint="eastAsia" w:eastAsia="宋体" w:cs="Times New Roman"/>
          <w:spacing w:val="-2"/>
          <w:sz w:val="24"/>
          <w:szCs w:val="24"/>
          <w:highlight w:val="yellow"/>
          <w:lang w:val="en-US" w:eastAsia="zh-CN"/>
        </w:rPr>
        <w:t>，由于本项目搅拌罐清洗次数很少，每次用水量很少，同时</w:t>
      </w:r>
      <w:r>
        <w:rPr>
          <w:rFonts w:hint="eastAsia" w:ascii="Times New Roman" w:hAnsi="Times New Roman" w:eastAsia="宋体" w:cs="Times New Roman"/>
          <w:spacing w:val="-2"/>
          <w:sz w:val="24"/>
          <w:szCs w:val="24"/>
          <w:highlight w:val="yellow"/>
          <w:lang w:val="en-US" w:eastAsia="zh-CN"/>
        </w:rPr>
        <w:t>各搅拌罐设备的清洗水</w:t>
      </w:r>
      <w:r>
        <w:rPr>
          <w:rFonts w:hint="eastAsia" w:eastAsia="宋体" w:cs="Times New Roman"/>
          <w:spacing w:val="-2"/>
          <w:sz w:val="24"/>
          <w:szCs w:val="24"/>
          <w:highlight w:val="yellow"/>
          <w:lang w:val="en-US" w:eastAsia="zh-CN"/>
        </w:rPr>
        <w:t>中残留的少量原材料不影响防染剂产品质量，因此搅拌罐清洗水回用于生产助剂水剂——防染剂可行</w:t>
      </w:r>
      <w:r>
        <w:rPr>
          <w:rFonts w:hint="eastAsia" w:ascii="Times New Roman" w:hAnsi="Times New Roman" w:eastAsia="宋体" w:cs="Times New Roman"/>
          <w:spacing w:val="-2"/>
          <w:sz w:val="24"/>
          <w:szCs w:val="24"/>
          <w:highlight w:val="yellow"/>
          <w:lang w:val="en-US" w:eastAsia="zh-CN"/>
        </w:rPr>
        <w:t>）</w:t>
      </w:r>
      <w:r>
        <w:rPr>
          <w:rFonts w:hint="eastAsia" w:ascii="Times New Roman" w:eastAsia="宋体" w:cs="Times New Roman"/>
          <w:spacing w:val="-2"/>
          <w:sz w:val="24"/>
          <w:szCs w:val="24"/>
          <w:highlight w:val="yellow"/>
          <w:lang w:val="en-US" w:eastAsia="zh-CN"/>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因此本项目产生的</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搅拌罐</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设备清洗水全部二次</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利用</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，回用于助剂水剂</w:t>
      </w:r>
      <w:r>
        <w:rPr>
          <w:rFonts w:hint="eastAsia" w:eastAsia="宋体" w:cs="Times New Roman"/>
          <w:spacing w:val="-2"/>
          <w:sz w:val="24"/>
          <w:szCs w:val="24"/>
          <w:highlight w:val="yellow"/>
          <w:lang w:val="en-US" w:eastAsia="zh-CN"/>
        </w:rPr>
        <w:t>——防染剂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中</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不</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外排。</w:t>
      </w:r>
    </w:p>
    <w:p w14:paraId="61CA648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（5）</w:t>
      </w:r>
      <w:r>
        <w:rPr>
          <w:rFonts w:hint="default" w:ascii="Times New Roman" w:hAnsi="Times New Roman" w:cs="Times New Roman" w:eastAsiaTheme="minorEastAsia"/>
          <w:b/>
          <w:bCs/>
          <w:sz w:val="24"/>
          <w:szCs w:val="24"/>
          <w:highlight w:val="none"/>
          <w:lang w:val="en-US" w:eastAsia="zh-CN"/>
        </w:rPr>
        <w:t>车间清洁用水</w:t>
      </w:r>
    </w:p>
    <w:p w14:paraId="0AFEFA34">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本项目粉尘全部经清扫后回用生产原料中，再采用拖把对地面进行清洁。本项目车间地面清洁用水为0.1</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/d（30</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p>
    <w:p w14:paraId="43D535CD">
      <w:pPr>
        <w:keepNext w:val="0"/>
        <w:keepLines w:val="0"/>
        <w:pageBreakBefore w:val="0"/>
        <w:widowControl w:val="0"/>
        <w:numPr>
          <w:ilvl w:val="0"/>
          <w:numId w:val="4"/>
        </w:numPr>
        <w:kinsoku/>
        <w:wordWrap/>
        <w:overflowPunct/>
        <w:topLinePunct w:val="0"/>
        <w:autoSpaceDE/>
        <w:autoSpaceDN/>
        <w:bidi w:val="0"/>
        <w:spacing w:line="360" w:lineRule="auto"/>
        <w:ind w:firstLine="482" w:firstLineChars="200"/>
        <w:jc w:val="both"/>
        <w:textAlignment w:val="auto"/>
        <w:outlineLvl w:val="9"/>
        <w:rPr>
          <w:rFonts w:hint="eastAsia" w:ascii="Times New Roman" w:hAnsi="Times New Roman" w:cs="Times New Roman" w:eastAsiaTheme="minorEastAsia"/>
          <w:b/>
          <w:bCs/>
          <w:sz w:val="24"/>
          <w:szCs w:val="24"/>
          <w:highlight w:val="none"/>
          <w:lang w:val="en-US" w:eastAsia="zh-CN"/>
        </w:rPr>
      </w:pPr>
      <w:r>
        <w:rPr>
          <w:rFonts w:hint="eastAsia" w:ascii="Times New Roman" w:hAnsi="Times New Roman" w:cs="Times New Roman" w:eastAsiaTheme="minorEastAsia"/>
          <w:b/>
          <w:bCs/>
          <w:sz w:val="24"/>
          <w:szCs w:val="24"/>
          <w:highlight w:val="none"/>
          <w:lang w:val="en-US" w:eastAsia="zh-CN"/>
        </w:rPr>
        <w:t>循环冷却用水</w:t>
      </w:r>
    </w:p>
    <w:p w14:paraId="17DABA19">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jc w:val="both"/>
        <w:textAlignment w:val="auto"/>
        <w:outlineLvl w:val="9"/>
        <w:rPr>
          <w:rFonts w:hint="default" w:ascii="Times New Roman" w:hAnsi="Times New Roman" w:eastAsia="宋体" w:cs="Times New Roman"/>
          <w:color w:val="auto"/>
          <w:highlight w:val="none"/>
          <w:u w:val="none" w:color="auto"/>
          <w:lang w:val="en-US" w:eastAsia="zh-CN"/>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本项目在厂房设置了1个25m</w:t>
      </w:r>
      <w:r>
        <w:rPr>
          <w:rFonts w:hint="eastAsia"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的循环冷却水箱，用于助剂粉剂搅拌罐冷却。循环水循环量为25m</w:t>
      </w:r>
      <w:r>
        <w:rPr>
          <w:rFonts w:hint="eastAsia"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vertAlign w:val="baseline"/>
          <w:lang w:val="en-US" w:eastAsia="zh-CN" w:bidi="ar-SA"/>
          <w14:textFill>
            <w14:solidFill>
              <w14:schemeClr w14:val="tx1"/>
            </w14:solidFill>
          </w14:textFill>
        </w:rPr>
        <w:t>d（7500</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eastAsia" w:ascii="Times New Roman" w:hAnsi="Times New Roman" w:cs="Times New Roman" w:eastAsiaTheme="minorEastAsia"/>
          <w:color w:val="000000" w:themeColor="text1"/>
          <w:kern w:val="0"/>
          <w:sz w:val="24"/>
          <w:szCs w:val="24"/>
          <w:highlight w:val="none"/>
          <w:vertAlign w:val="baseli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生产过程中冷却水少部分以水蒸气形式损耗掉，其余经</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冷却池</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循环使用，需要定期补充等量的新鲜水以维持冷却水循环系</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统运行，</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补水量为</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0.1</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/d（</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30</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/a），无废水产生。</w:t>
      </w:r>
    </w:p>
    <w:p w14:paraId="75A322AD">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sz w:val="24"/>
          <w:szCs w:val="24"/>
          <w:highlight w:val="none"/>
          <w:u w:val="none"/>
        </w:rPr>
      </w:pPr>
      <w:bookmarkStart w:id="88" w:name="_Toc458173425"/>
      <w:bookmarkStart w:id="89" w:name="_Toc457308050"/>
      <w:bookmarkStart w:id="90" w:name="_Toc394910991"/>
      <w:r>
        <w:rPr>
          <w:rFonts w:hint="default" w:ascii="Times New Roman" w:hAnsi="Times New Roman" w:eastAsia="宋体" w:cs="Times New Roman"/>
          <w:b/>
          <w:bCs/>
          <w:color w:val="auto"/>
          <w:sz w:val="24"/>
          <w:szCs w:val="24"/>
          <w:highlight w:val="none"/>
          <w:u w:val="none"/>
        </w:rPr>
        <w:t>3.</w:t>
      </w:r>
      <w:r>
        <w:rPr>
          <w:rFonts w:hint="eastAsia" w:ascii="Times New Roman" w:hAnsi="Times New Roman" w:eastAsia="宋体" w:cs="Times New Roman"/>
          <w:b/>
          <w:bCs/>
          <w:color w:val="auto"/>
          <w:sz w:val="24"/>
          <w:szCs w:val="24"/>
          <w:highlight w:val="none"/>
          <w:u w:val="none"/>
          <w:lang w:val="en-US" w:eastAsia="zh-CN"/>
        </w:rPr>
        <w:t>8</w:t>
      </w:r>
      <w:r>
        <w:rPr>
          <w:rFonts w:hint="default" w:ascii="Times New Roman" w:hAnsi="Times New Roman" w:eastAsia="宋体" w:cs="Times New Roman"/>
          <w:b/>
          <w:bCs/>
          <w:color w:val="auto"/>
          <w:sz w:val="24"/>
          <w:szCs w:val="24"/>
          <w:highlight w:val="none"/>
          <w:u w:val="none"/>
        </w:rPr>
        <w:t>.1.2排水</w:t>
      </w:r>
      <w:bookmarkEnd w:id="88"/>
      <w:bookmarkEnd w:id="89"/>
      <w:bookmarkEnd w:id="90"/>
    </w:p>
    <w:p w14:paraId="3A90DEA8">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bookmarkStart w:id="91" w:name="_Toc458173426"/>
      <w:bookmarkStart w:id="92" w:name="_Toc457308051"/>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按照环保要求，园区排水设计为“雨污分流”、“清污分流”系统。雨水经</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园区</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雨水管网收集排入</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最终</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排入新墙河。</w:t>
      </w:r>
    </w:p>
    <w:p w14:paraId="7C7302D8">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本项目生产</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用水全部用于产品中不外排。</w:t>
      </w:r>
      <w:bookmarkEnd w:id="91"/>
      <w:bookmarkEnd w:id="92"/>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搅拌罐设备清洗用水回用于生产不外排。冷却水循环利用不外排。外排废水包括生活废水、</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地面清洁废水</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纯水制备浓水</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p>
    <w:p w14:paraId="3043BFFA">
      <w:pPr>
        <w:pStyle w:val="35"/>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513"/>
        <w:jc w:val="both"/>
        <w:textAlignment w:val="auto"/>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生活废水</w:t>
      </w:r>
    </w:p>
    <w:p w14:paraId="191BBBE9">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13"/>
        <w:jc w:val="both"/>
        <w:textAlignment w:val="auto"/>
        <w:rPr>
          <w:rFonts w:hint="default"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14:textFill>
            <w14:solidFill>
              <w14:schemeClr w14:val="tx1"/>
            </w14:solidFill>
          </w14:textFill>
        </w:rPr>
        <w:t>本项目</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生活用水量约</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1.48</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/d（</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 xml:space="preserve">444 </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污水排放系数以80%计，则项目员工</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生活污水</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产生量为</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1.184</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/d</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355.2</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生活废水依托园区</w:t>
      </w:r>
      <w:r>
        <w:rPr>
          <w:rFonts w:hint="eastAsia" w:ascii="Times New Roman" w:hAnsi="Times New Roman" w:cs="Times New Roman" w:eastAsiaTheme="minorEastAsia"/>
          <w:color w:val="000000" w:themeColor="text1"/>
          <w:kern w:val="0"/>
          <w:sz w:val="24"/>
          <w:szCs w:val="24"/>
          <w:highlight w:val="none"/>
          <w14:textFill>
            <w14:solidFill>
              <w14:schemeClr w14:val="tx1"/>
            </w14:solidFill>
          </w14:textFill>
        </w:rPr>
        <w:t>创新创业基地</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隔油池与化粪池预处理进入园区污水管网最终进入岳阳高新技术产业园污水处理厂。</w:t>
      </w:r>
    </w:p>
    <w:p w14:paraId="4EEA1AA3">
      <w:pPr>
        <w:pStyle w:val="35"/>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地面清洁废水</w:t>
      </w:r>
    </w:p>
    <w:p w14:paraId="0967FB2C">
      <w:pPr>
        <w:pStyle w:val="3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both"/>
        <w:textAlignment w:val="auto"/>
        <w:outlineLvl w:val="9"/>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地面清洁</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用</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水30</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/a，损耗率按20%计，则车间地面清洁废水产生量为0.08</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/d（24</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/a），通过1立方的沉淀池沉淀后进入园区污水管网。</w:t>
      </w:r>
    </w:p>
    <w:p w14:paraId="593ADE6B">
      <w:pPr>
        <w:pStyle w:val="42"/>
        <w:keepNext w:val="0"/>
        <w:keepLines w:val="0"/>
        <w:pageBreakBefore w:val="0"/>
        <w:widowControl w:val="0"/>
        <w:numPr>
          <w:ilvl w:val="0"/>
          <w:numId w:val="5"/>
        </w:numPr>
        <w:kinsoku/>
        <w:wordWrap/>
        <w:overflowPunct/>
        <w:topLinePunct w:val="0"/>
        <w:autoSpaceDE/>
        <w:autoSpaceDN/>
        <w:bidi w:val="0"/>
        <w:adjustRightInd w:val="0"/>
        <w:snapToGrid w:val="0"/>
        <w:ind w:firstLine="480" w:firstLineChars="20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纯水制备</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浓水</w:t>
      </w:r>
    </w:p>
    <w:p w14:paraId="0C59C2C4">
      <w:pPr>
        <w:pStyle w:val="42"/>
        <w:adjustRightInd w:val="0"/>
        <w:snapToGrid w:val="0"/>
        <w:ind w:firstLine="480" w:firstLineChars="200"/>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纯水制备</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产生的废水</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产生量为400</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/a，纯水制备</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产生的废水是浓水，</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属于清净下水，主要污染物为SS和盐分等，浓水水质简单，通过污水下水道进入园区污水管网</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最终进入岳阳高新技术产业园污水处理厂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p>
    <w:p w14:paraId="2D17564E">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eastAsia="仿宋"/>
          <w:highlight w:val="none"/>
          <w:lang w:eastAsia="zh-CN"/>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地面清洁废水通过沉淀池沉淀后与纯水制备浓水一并进入园区污水管网，</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生活</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废水</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依托园区</w:t>
      </w:r>
      <w:r>
        <w:rPr>
          <w:rFonts w:hint="eastAsia" w:ascii="Times New Roman" w:hAnsi="Times New Roman" w:eastAsia="宋体" w:cs="Times New Roman"/>
          <w:color w:val="auto"/>
          <w:kern w:val="0"/>
          <w:sz w:val="24"/>
          <w:szCs w:val="24"/>
          <w:highlight w:val="none"/>
        </w:rPr>
        <w:t>创新创业基地</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隔油</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池与</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化粪池</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预</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处理进入园区污水管网。厂区各废水都最终通过厂区污水排口经园区污水管网进入岳阳高新技术产业园污水处理厂处理达标后排入新墙河</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p>
    <w:p w14:paraId="5B667970">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sz w:val="24"/>
          <w:szCs w:val="24"/>
          <w:highlight w:val="none"/>
          <w:u w:val="none"/>
        </w:rPr>
      </w:pPr>
      <w:r>
        <w:rPr>
          <w:rFonts w:hint="default" w:ascii="Times New Roman" w:hAnsi="Times New Roman" w:eastAsia="宋体" w:cs="Times New Roman"/>
          <w:b/>
          <w:bCs/>
          <w:color w:val="auto"/>
          <w:sz w:val="24"/>
          <w:szCs w:val="24"/>
          <w:highlight w:val="none"/>
          <w:u w:val="none"/>
        </w:rPr>
        <w:t>3.</w:t>
      </w:r>
      <w:r>
        <w:rPr>
          <w:rFonts w:hint="eastAsia" w:ascii="Times New Roman" w:hAnsi="Times New Roman" w:eastAsia="宋体" w:cs="Times New Roman"/>
          <w:b/>
          <w:bCs/>
          <w:color w:val="auto"/>
          <w:sz w:val="24"/>
          <w:szCs w:val="24"/>
          <w:highlight w:val="none"/>
          <w:u w:val="none"/>
          <w:lang w:val="en-US" w:eastAsia="zh-CN"/>
        </w:rPr>
        <w:t>8</w:t>
      </w:r>
      <w:r>
        <w:rPr>
          <w:rFonts w:hint="default" w:ascii="Times New Roman" w:hAnsi="Times New Roman" w:eastAsia="宋体" w:cs="Times New Roman"/>
          <w:b/>
          <w:bCs/>
          <w:color w:val="auto"/>
          <w:sz w:val="24"/>
          <w:szCs w:val="24"/>
          <w:highlight w:val="none"/>
          <w:u w:val="none"/>
        </w:rPr>
        <w:t>.1.3项目给排水平衡</w:t>
      </w:r>
    </w:p>
    <w:p w14:paraId="33D29D44">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本项目给排水平衡见图3.8-1。</w:t>
      </w:r>
    </w:p>
    <w:p w14:paraId="23AB4AB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仿宋"/>
          <w:highlight w:val="none"/>
          <w:lang w:eastAsia="zh-CN"/>
        </w:rPr>
      </w:pPr>
      <w:r>
        <w:rPr>
          <w:rFonts w:hint="eastAsia" w:eastAsia="仿宋"/>
          <w:highlight w:val="none"/>
          <w:lang w:eastAsia="zh-CN"/>
        </w:rPr>
        <w:drawing>
          <wp:inline distT="0" distB="0" distL="114300" distR="114300">
            <wp:extent cx="5267325" cy="3789680"/>
            <wp:effectExtent l="0" t="0" r="9525" b="1270"/>
            <wp:docPr id="51" name="图片 51" descr="cb5d9c83694afa8cd60f10f9de6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b5d9c83694afa8cd60f10f9de66451"/>
                    <pic:cNvPicPr>
                      <a:picLocks noChangeAspect="1"/>
                    </pic:cNvPicPr>
                  </pic:nvPicPr>
                  <pic:blipFill>
                    <a:blip r:embed="rId17"/>
                    <a:stretch>
                      <a:fillRect/>
                    </a:stretch>
                  </pic:blipFill>
                  <pic:spPr>
                    <a:xfrm>
                      <a:off x="0" y="0"/>
                      <a:ext cx="5267325" cy="3789680"/>
                    </a:xfrm>
                    <a:prstGeom prst="rect">
                      <a:avLst/>
                    </a:prstGeom>
                  </pic:spPr>
                </pic:pic>
              </a:graphicData>
            </a:graphic>
          </wp:inline>
        </w:drawing>
      </w:r>
    </w:p>
    <w:p w14:paraId="5BE1566E">
      <w:pPr>
        <w:bidi w:val="0"/>
        <w:jc w:val="center"/>
        <w:rPr>
          <w:rFonts w:hint="default" w:ascii="Times New Roman" w:hAnsi="Times New Roman" w:eastAsia="宋体" w:cs="Times New Roman"/>
          <w:b/>
          <w:bCs/>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rPr>
        <w:t>图3.</w:t>
      </w:r>
      <w:r>
        <w:rPr>
          <w:rFonts w:hint="default" w:ascii="Times New Roman" w:hAnsi="Times New Roman" w:eastAsia="宋体" w:cs="Times New Roman"/>
          <w:b/>
          <w:bCs/>
          <w:color w:val="auto"/>
          <w:sz w:val="24"/>
          <w:szCs w:val="24"/>
          <w:highlight w:val="none"/>
          <w:u w:val="none"/>
          <w:lang w:val="en-US" w:eastAsia="zh-CN"/>
        </w:rPr>
        <w:t>8</w:t>
      </w:r>
      <w:r>
        <w:rPr>
          <w:rFonts w:hint="default" w:ascii="Times New Roman" w:hAnsi="Times New Roman" w:eastAsia="宋体" w:cs="Times New Roman"/>
          <w:b/>
          <w:bCs/>
          <w:color w:val="auto"/>
          <w:sz w:val="24"/>
          <w:szCs w:val="24"/>
          <w:highlight w:val="none"/>
          <w:u w:val="none"/>
        </w:rPr>
        <w:t>-</w:t>
      </w:r>
      <w:r>
        <w:rPr>
          <w:rFonts w:hint="default" w:ascii="Times New Roman" w:hAnsi="Times New Roman" w:eastAsia="宋体" w:cs="Times New Roman"/>
          <w:b/>
          <w:bCs/>
          <w:color w:val="auto"/>
          <w:sz w:val="24"/>
          <w:szCs w:val="24"/>
          <w:highlight w:val="none"/>
          <w:u w:val="none"/>
          <w:lang w:val="en-US" w:eastAsia="zh-CN"/>
        </w:rPr>
        <w:t xml:space="preserve">1 </w:t>
      </w:r>
      <w:r>
        <w:rPr>
          <w:rFonts w:hint="default" w:ascii="Times New Roman" w:hAnsi="Times New Roman" w:eastAsia="宋体" w:cs="Times New Roman"/>
          <w:b/>
          <w:bCs/>
          <w:sz w:val="24"/>
          <w:szCs w:val="24"/>
          <w:highlight w:val="none"/>
          <w:u w:val="none"/>
          <w:lang w:val="en-US" w:eastAsia="zh-CN"/>
        </w:rPr>
        <w:t>本项目水平衡图</w:t>
      </w:r>
      <w:r>
        <w:rPr>
          <w:rFonts w:hint="eastAsia" w:ascii="Times New Roman" w:hAnsi="Times New Roman" w:eastAsia="宋体" w:cs="Times New Roman"/>
          <w:b/>
          <w:bCs/>
          <w:sz w:val="24"/>
          <w:szCs w:val="24"/>
          <w:highlight w:val="none"/>
          <w:u w:val="none"/>
          <w:lang w:val="en-US" w:eastAsia="zh-CN"/>
        </w:rPr>
        <w:t>（</w:t>
      </w:r>
      <w:r>
        <w:rPr>
          <w:rFonts w:hint="eastAsia" w:ascii="Times New Roman"/>
          <w:b/>
          <w:bCs/>
          <w:color w:val="000000" w:themeColor="text1"/>
          <w:szCs w:val="21"/>
          <w:highlight w:val="none"/>
          <w14:textFill>
            <w14:solidFill>
              <w14:schemeClr w14:val="tx1"/>
            </w14:solidFill>
          </w14:textFill>
        </w:rPr>
        <w:t>m</w:t>
      </w:r>
      <w:r>
        <w:rPr>
          <w:rFonts w:hint="eastAsia" w:ascii="Times New Roman"/>
          <w:b/>
          <w:bCs/>
          <w:color w:val="000000" w:themeColor="text1"/>
          <w:szCs w:val="21"/>
          <w:highlight w:val="none"/>
          <w:vertAlign w:val="superscript"/>
          <w14:textFill>
            <w14:solidFill>
              <w14:schemeClr w14:val="tx1"/>
            </w14:solidFill>
          </w14:textFill>
        </w:rPr>
        <w:t>3</w:t>
      </w:r>
      <w:r>
        <w:rPr>
          <w:rFonts w:hint="eastAsia" w:ascii="Times New Roman"/>
          <w:b/>
          <w:bCs/>
          <w:color w:val="000000" w:themeColor="text1"/>
          <w:szCs w:val="21"/>
          <w:highlight w:val="none"/>
          <w14:textFill>
            <w14:solidFill>
              <w14:schemeClr w14:val="tx1"/>
            </w14:solidFill>
          </w14:textFill>
        </w:rPr>
        <w:t>/</w:t>
      </w:r>
      <w:r>
        <w:rPr>
          <w:rFonts w:hint="eastAsia" w:ascii="Times New Roman"/>
          <w:b/>
          <w:bCs/>
          <w:color w:val="000000" w:themeColor="text1"/>
          <w:szCs w:val="21"/>
          <w:highlight w:val="none"/>
          <w:lang w:val="en-US" w:eastAsia="zh-CN"/>
          <w14:textFill>
            <w14:solidFill>
              <w14:schemeClr w14:val="tx1"/>
            </w14:solidFill>
          </w14:textFill>
        </w:rPr>
        <w:t>a</w:t>
      </w:r>
      <w:r>
        <w:rPr>
          <w:rFonts w:hint="eastAsia" w:ascii="Times New Roman" w:hAnsi="Times New Roman" w:eastAsia="宋体" w:cs="Times New Roman"/>
          <w:b/>
          <w:bCs/>
          <w:sz w:val="24"/>
          <w:szCs w:val="24"/>
          <w:highlight w:val="none"/>
          <w:u w:val="none"/>
          <w:lang w:val="en-US" w:eastAsia="zh-CN"/>
        </w:rPr>
        <w:t>）</w:t>
      </w:r>
    </w:p>
    <w:p w14:paraId="6E9CB51D">
      <w:pPr>
        <w:pStyle w:val="7"/>
        <w:bidi w:val="0"/>
        <w:rPr>
          <w:highlight w:val="none"/>
        </w:rPr>
      </w:pPr>
      <w:bookmarkStart w:id="93" w:name="_Toc11894"/>
      <w:r>
        <w:rPr>
          <w:highlight w:val="none"/>
        </w:rPr>
        <w:t>3.</w:t>
      </w:r>
      <w:r>
        <w:rPr>
          <w:rFonts w:hint="eastAsia"/>
          <w:highlight w:val="none"/>
          <w:lang w:val="en-US" w:eastAsia="zh-CN"/>
        </w:rPr>
        <w:t>8</w:t>
      </w:r>
      <w:r>
        <w:rPr>
          <w:highlight w:val="none"/>
        </w:rPr>
        <w:t>.2</w:t>
      </w:r>
      <w:r>
        <w:rPr>
          <w:rFonts w:hint="eastAsia"/>
          <w:highlight w:val="none"/>
          <w:lang w:val="en-US" w:eastAsia="zh-CN"/>
        </w:rPr>
        <w:t xml:space="preserve"> </w:t>
      </w:r>
      <w:r>
        <w:rPr>
          <w:highlight w:val="none"/>
        </w:rPr>
        <w:t>供电</w:t>
      </w:r>
      <w:bookmarkEnd w:id="93"/>
    </w:p>
    <w:p w14:paraId="1CAF6E7A">
      <w:pPr>
        <w:pStyle w:val="2"/>
        <w:spacing w:before="260" w:line="330" w:lineRule="auto"/>
        <w:ind w:left="133" w:right="117" w:firstLine="481"/>
        <w:rPr>
          <w:highlight w:val="none"/>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本项目供电由园区电网供给，厂内设有配电间，能满足本项目建成后整个厂区的生产、生活需要，无备用发电机组。</w:t>
      </w:r>
    </w:p>
    <w:p w14:paraId="3A665917">
      <w:pPr>
        <w:pStyle w:val="7"/>
        <w:bidi w:val="0"/>
        <w:rPr>
          <w:highlight w:val="none"/>
        </w:rPr>
      </w:pPr>
      <w:bookmarkStart w:id="94" w:name="_Toc22196"/>
      <w:r>
        <w:rPr>
          <w:highlight w:val="none"/>
        </w:rPr>
        <w:t>3.</w:t>
      </w:r>
      <w:r>
        <w:rPr>
          <w:rFonts w:hint="eastAsia"/>
          <w:highlight w:val="none"/>
          <w:lang w:val="en-US" w:eastAsia="zh-CN"/>
        </w:rPr>
        <w:t>8</w:t>
      </w:r>
      <w:r>
        <w:rPr>
          <w:highlight w:val="none"/>
        </w:rPr>
        <w:t>.3</w:t>
      </w:r>
      <w:r>
        <w:rPr>
          <w:rFonts w:hint="eastAsia"/>
          <w:highlight w:val="none"/>
          <w:lang w:val="en-US" w:eastAsia="zh-CN"/>
        </w:rPr>
        <w:t xml:space="preserve"> </w:t>
      </w:r>
      <w:r>
        <w:rPr>
          <w:highlight w:val="none"/>
        </w:rPr>
        <w:t>制冷</w:t>
      </w:r>
      <w:bookmarkEnd w:id="94"/>
    </w:p>
    <w:p w14:paraId="020DF5CF">
      <w:pPr>
        <w:spacing w:before="205" w:line="359" w:lineRule="auto"/>
        <w:ind w:left="3" w:firstLine="481"/>
        <w:rPr>
          <w:rFonts w:ascii="宋体" w:hAnsi="宋体" w:eastAsia="宋体" w:cs="宋体"/>
          <w:sz w:val="24"/>
          <w:szCs w:val="24"/>
          <w:highlight w:val="none"/>
        </w:rPr>
      </w:pPr>
      <w:r>
        <w:rPr>
          <w:rFonts w:ascii="宋体" w:hAnsi="宋体" w:eastAsia="宋体" w:cs="宋体"/>
          <w:spacing w:val="-1"/>
          <w:sz w:val="24"/>
          <w:szCs w:val="24"/>
          <w:highlight w:val="none"/>
        </w:rPr>
        <w:t>本项</w:t>
      </w:r>
      <w:r>
        <w:rPr>
          <w:rFonts w:hint="default" w:ascii="Times New Roman" w:hAnsi="Times New Roman" w:eastAsia="宋体" w:cs="Times New Roman"/>
          <w:spacing w:val="-1"/>
          <w:sz w:val="24"/>
          <w:szCs w:val="24"/>
          <w:highlight w:val="none"/>
        </w:rPr>
        <w:t>目</w:t>
      </w:r>
      <w:r>
        <w:rPr>
          <w:rFonts w:hint="default" w:ascii="Times New Roman" w:hAnsi="Times New Roman" w:eastAsia="宋体" w:cs="Times New Roman"/>
          <w:spacing w:val="-1"/>
          <w:sz w:val="24"/>
          <w:szCs w:val="24"/>
          <w:highlight w:val="none"/>
          <w:lang w:val="en-US" w:eastAsia="zh-CN"/>
        </w:rPr>
        <w:t>2间冷</w:t>
      </w:r>
      <w:r>
        <w:rPr>
          <w:rFonts w:ascii="宋体" w:hAnsi="宋体" w:eastAsia="宋体" w:cs="宋体"/>
          <w:spacing w:val="-1"/>
          <w:sz w:val="24"/>
          <w:szCs w:val="24"/>
          <w:highlight w:val="none"/>
        </w:rPr>
        <w:t>库位于</w:t>
      </w:r>
      <w:r>
        <w:rPr>
          <w:rFonts w:hint="eastAsia" w:ascii="宋体" w:hAnsi="宋体" w:eastAsia="宋体" w:cs="宋体"/>
          <w:spacing w:val="-1"/>
          <w:sz w:val="24"/>
          <w:szCs w:val="24"/>
          <w:highlight w:val="none"/>
          <w:lang w:val="en-US" w:eastAsia="zh-CN"/>
        </w:rPr>
        <w:t>1层</w:t>
      </w:r>
      <w:r>
        <w:rPr>
          <w:rFonts w:ascii="宋体" w:hAnsi="宋体" w:eastAsia="宋体" w:cs="宋体"/>
          <w:spacing w:val="-1"/>
          <w:sz w:val="24"/>
          <w:szCs w:val="24"/>
          <w:highlight w:val="none"/>
        </w:rPr>
        <w:t>车间</w:t>
      </w:r>
      <w:r>
        <w:rPr>
          <w:rFonts w:hint="eastAsia" w:ascii="宋体" w:hAnsi="宋体" w:eastAsia="宋体" w:cs="宋体"/>
          <w:spacing w:val="-1"/>
          <w:sz w:val="24"/>
          <w:szCs w:val="24"/>
          <w:highlight w:val="none"/>
          <w:lang w:val="en-US" w:eastAsia="zh-CN"/>
        </w:rPr>
        <w:t>北侧 ，一间用于存放产品，一间用于打粉。</w:t>
      </w:r>
      <w:r>
        <w:rPr>
          <w:rFonts w:ascii="宋体" w:hAnsi="宋体" w:eastAsia="宋体" w:cs="宋体"/>
          <w:sz w:val="24"/>
          <w:szCs w:val="24"/>
          <w:highlight w:val="none"/>
        </w:rPr>
        <w:t>制冷系</w:t>
      </w:r>
      <w:r>
        <w:rPr>
          <w:rFonts w:ascii="宋体" w:hAnsi="宋体" w:eastAsia="宋体" w:cs="宋体"/>
          <w:spacing w:val="-1"/>
          <w:sz w:val="24"/>
          <w:szCs w:val="24"/>
          <w:highlight w:val="none"/>
        </w:rPr>
        <w:t>统主要有压缩机、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制冷剂和蒸发管等组成，间接冷却</w:t>
      </w:r>
      <w:r>
        <w:rPr>
          <w:rFonts w:hint="eastAsia" w:ascii="宋体" w:hAnsi="宋体" w:eastAsia="宋体" w:cs="宋体"/>
          <w:spacing w:val="-1"/>
          <w:sz w:val="24"/>
          <w:szCs w:val="24"/>
          <w:highlight w:val="none"/>
          <w:lang w:eastAsia="zh-CN"/>
        </w:rPr>
        <w:t>。</w:t>
      </w:r>
      <w:r>
        <w:rPr>
          <w:rFonts w:ascii="宋体" w:hAnsi="宋体" w:eastAsia="宋体" w:cs="宋体"/>
          <w:spacing w:val="-1"/>
          <w:sz w:val="24"/>
          <w:szCs w:val="24"/>
          <w:highlight w:val="none"/>
        </w:rPr>
        <w:t>间接冷却是由鼓风机将库房内的空气抽吸进空气冷却装置，空气被盘旋于冷却装置内的蒸发管吸热后，再送入库内而降温。</w:t>
      </w:r>
    </w:p>
    <w:p w14:paraId="6D70F789">
      <w:pPr>
        <w:spacing w:before="1" w:line="360" w:lineRule="auto"/>
        <w:ind w:left="4" w:firstLine="481"/>
        <w:rPr>
          <w:rFonts w:ascii="宋体" w:hAnsi="宋体" w:eastAsia="宋体" w:cs="宋体"/>
          <w:spacing w:val="-1"/>
          <w:sz w:val="24"/>
          <w:szCs w:val="24"/>
          <w:highlight w:val="none"/>
        </w:rPr>
      </w:pPr>
      <w:r>
        <w:rPr>
          <w:rFonts w:ascii="宋体" w:hAnsi="宋体" w:eastAsia="宋体" w:cs="宋体"/>
          <w:spacing w:val="-2"/>
          <w:sz w:val="24"/>
          <w:szCs w:val="24"/>
          <w:highlight w:val="none"/>
        </w:rPr>
        <w:t>冷库保温采用环保制冷剂</w:t>
      </w:r>
      <w:r>
        <w:rPr>
          <w:rFonts w:ascii="宋体" w:hAnsi="宋体" w:eastAsia="宋体" w:cs="宋体"/>
          <w:spacing w:val="-56"/>
          <w:sz w:val="24"/>
          <w:szCs w:val="24"/>
          <w:highlight w:val="none"/>
        </w:rPr>
        <w:t xml:space="preserve"> </w:t>
      </w:r>
      <w:r>
        <w:rPr>
          <w:rFonts w:ascii="Times New Roman" w:hAnsi="Times New Roman" w:eastAsia="Times New Roman" w:cs="Times New Roman"/>
          <w:spacing w:val="-2"/>
          <w:sz w:val="24"/>
          <w:szCs w:val="24"/>
          <w:highlight w:val="none"/>
        </w:rPr>
        <w:t>R404A</w:t>
      </w:r>
      <w:r>
        <w:rPr>
          <w:rFonts w:ascii="宋体" w:hAnsi="宋体" w:eastAsia="宋体" w:cs="宋体"/>
          <w:spacing w:val="-2"/>
          <w:sz w:val="24"/>
          <w:szCs w:val="24"/>
          <w:highlight w:val="none"/>
        </w:rPr>
        <w:t>，</w:t>
      </w:r>
      <w:r>
        <w:rPr>
          <w:rFonts w:ascii="Times New Roman" w:hAnsi="Times New Roman" w:eastAsia="Times New Roman" w:cs="Times New Roman"/>
          <w:spacing w:val="-2"/>
          <w:sz w:val="24"/>
          <w:szCs w:val="24"/>
          <w:highlight w:val="none"/>
        </w:rPr>
        <w:t xml:space="preserve">R404A </w:t>
      </w:r>
      <w:r>
        <w:rPr>
          <w:rFonts w:ascii="宋体" w:hAnsi="宋体" w:eastAsia="宋体" w:cs="宋体"/>
          <w:spacing w:val="-3"/>
          <w:sz w:val="24"/>
          <w:szCs w:val="24"/>
          <w:highlight w:val="none"/>
        </w:rPr>
        <w:t>制冷剂由五氟乙烷、三氟乙烷和四</w:t>
      </w:r>
      <w:r>
        <w:rPr>
          <w:rFonts w:ascii="宋体" w:hAnsi="宋体" w:eastAsia="宋体" w:cs="宋体"/>
          <w:spacing w:val="-1"/>
          <w:sz w:val="24"/>
          <w:szCs w:val="24"/>
          <w:highlight w:val="none"/>
        </w:rPr>
        <w:t>氟乙烷混合而成，</w:t>
      </w:r>
      <w:r>
        <w:rPr>
          <w:rFonts w:ascii="Times New Roman" w:hAnsi="Times New Roman" w:eastAsia="Times New Roman" w:cs="Times New Roman"/>
          <w:spacing w:val="-1"/>
          <w:sz w:val="24"/>
          <w:szCs w:val="24"/>
          <w:highlight w:val="none"/>
        </w:rPr>
        <w:t xml:space="preserve">R404A </w:t>
      </w:r>
      <w:r>
        <w:rPr>
          <w:rFonts w:ascii="宋体" w:hAnsi="宋体" w:eastAsia="宋体" w:cs="宋体"/>
          <w:spacing w:val="-1"/>
          <w:sz w:val="24"/>
          <w:szCs w:val="24"/>
          <w:highlight w:val="none"/>
        </w:rPr>
        <w:t>制冷剂在常温下为无色气</w:t>
      </w:r>
      <w:r>
        <w:rPr>
          <w:rFonts w:ascii="宋体" w:hAnsi="宋体" w:eastAsia="宋体" w:cs="宋体"/>
          <w:spacing w:val="-2"/>
          <w:sz w:val="24"/>
          <w:szCs w:val="24"/>
          <w:highlight w:val="none"/>
        </w:rPr>
        <w:t>体，在自身压力下为无色透明</w:t>
      </w:r>
      <w:r>
        <w:rPr>
          <w:rFonts w:ascii="宋体" w:hAnsi="宋体" w:eastAsia="宋体" w:cs="宋体"/>
          <w:spacing w:val="-7"/>
          <w:sz w:val="24"/>
          <w:szCs w:val="24"/>
          <w:highlight w:val="none"/>
        </w:rPr>
        <w:t>液体。它不含氯原子，对大气臭氧层不起破坏作用，同时具有良好的</w:t>
      </w:r>
      <w:r>
        <w:rPr>
          <w:rFonts w:ascii="宋体" w:hAnsi="宋体" w:eastAsia="宋体" w:cs="宋体"/>
          <w:spacing w:val="-8"/>
          <w:sz w:val="24"/>
          <w:szCs w:val="24"/>
          <w:highlight w:val="none"/>
        </w:rPr>
        <w:t>安全性能（不</w:t>
      </w:r>
      <w:r>
        <w:rPr>
          <w:rFonts w:ascii="宋体" w:hAnsi="宋体" w:eastAsia="宋体" w:cs="宋体"/>
          <w:sz w:val="24"/>
          <w:szCs w:val="24"/>
          <w:highlight w:val="none"/>
        </w:rPr>
        <w:t>易燃、不易爆、无毒、无刺激性、无腐蚀</w:t>
      </w:r>
      <w:r>
        <w:rPr>
          <w:rFonts w:ascii="宋体" w:hAnsi="宋体" w:eastAsia="宋体" w:cs="宋体"/>
          <w:spacing w:val="7"/>
          <w:sz w:val="24"/>
          <w:szCs w:val="24"/>
          <w:highlight w:val="none"/>
        </w:rPr>
        <w:t>），</w:t>
      </w:r>
      <w:r>
        <w:rPr>
          <w:rFonts w:ascii="宋体" w:hAnsi="宋体" w:eastAsia="宋体" w:cs="宋体"/>
          <w:sz w:val="24"/>
          <w:szCs w:val="24"/>
          <w:highlight w:val="none"/>
        </w:rPr>
        <w:t>其在线量约为</w:t>
      </w:r>
      <w:r>
        <w:rPr>
          <w:rFonts w:ascii="宋体" w:hAnsi="宋体" w:eastAsia="宋体" w:cs="宋体"/>
          <w:spacing w:val="-48"/>
          <w:sz w:val="24"/>
          <w:szCs w:val="24"/>
          <w:highlight w:val="none"/>
        </w:rPr>
        <w:t xml:space="preserve"> </w:t>
      </w:r>
      <w:r>
        <w:rPr>
          <w:rFonts w:ascii="Times New Roman" w:hAnsi="Times New Roman" w:eastAsia="Times New Roman" w:cs="Times New Roman"/>
          <w:sz w:val="24"/>
          <w:szCs w:val="24"/>
          <w:highlight w:val="none"/>
        </w:rPr>
        <w:t>0.3</w:t>
      </w:r>
      <w:r>
        <w:rPr>
          <w:rFonts w:ascii="宋体" w:hAnsi="宋体" w:eastAsia="宋体" w:cs="宋体"/>
          <w:spacing w:val="-1"/>
          <w:sz w:val="24"/>
          <w:szCs w:val="24"/>
          <w:highlight w:val="none"/>
        </w:rPr>
        <w:t>吨。建设单位委托专业厂家进行添加，厂区不暂存。</w:t>
      </w:r>
    </w:p>
    <w:p w14:paraId="65A77465">
      <w:pPr>
        <w:pStyle w:val="7"/>
        <w:bidi w:val="0"/>
        <w:rPr>
          <w:highlight w:val="none"/>
        </w:rPr>
      </w:pPr>
      <w:bookmarkStart w:id="95" w:name="_Toc458173429"/>
      <w:bookmarkStart w:id="96" w:name="_Toc4811"/>
      <w:bookmarkStart w:id="97" w:name="_Toc457308054"/>
      <w:bookmarkStart w:id="98" w:name="_Toc394910994"/>
      <w:r>
        <w:rPr>
          <w:highlight w:val="none"/>
        </w:rPr>
        <w:t>3.</w:t>
      </w:r>
      <w:r>
        <w:rPr>
          <w:rFonts w:hint="eastAsia"/>
          <w:highlight w:val="none"/>
          <w:lang w:val="en-US" w:eastAsia="zh-CN"/>
        </w:rPr>
        <w:t>8</w:t>
      </w:r>
      <w:r>
        <w:rPr>
          <w:highlight w:val="none"/>
        </w:rPr>
        <w:t>.4储运</w:t>
      </w:r>
      <w:bookmarkEnd w:id="95"/>
      <w:bookmarkEnd w:id="96"/>
      <w:bookmarkEnd w:id="97"/>
      <w:bookmarkEnd w:id="98"/>
    </w:p>
    <w:p w14:paraId="5F7B056E">
      <w:pPr>
        <w:spacing w:before="1" w:line="360" w:lineRule="auto"/>
        <w:ind w:left="4" w:firstLine="481"/>
        <w:rPr>
          <w:rFonts w:ascii="宋体" w:hAnsi="宋体" w:eastAsia="宋体" w:cs="宋体"/>
          <w:spacing w:val="-2"/>
          <w:sz w:val="24"/>
          <w:szCs w:val="24"/>
          <w:highlight w:val="none"/>
        </w:rPr>
      </w:pPr>
      <w:bookmarkStart w:id="99" w:name="_Toc394910995"/>
      <w:r>
        <w:rPr>
          <w:rFonts w:ascii="宋体" w:hAnsi="宋体" w:eastAsia="宋体" w:cs="宋体"/>
          <w:spacing w:val="-2"/>
          <w:sz w:val="24"/>
          <w:szCs w:val="24"/>
          <w:highlight w:val="none"/>
        </w:rPr>
        <w:t>拟建项目配套建设原料</w:t>
      </w:r>
      <w:r>
        <w:rPr>
          <w:rFonts w:hint="eastAsia" w:ascii="宋体" w:hAnsi="宋体" w:eastAsia="宋体" w:cs="宋体"/>
          <w:spacing w:val="-2"/>
          <w:sz w:val="24"/>
          <w:szCs w:val="24"/>
          <w:highlight w:val="none"/>
          <w:lang w:val="en-US" w:eastAsia="zh-CN"/>
        </w:rPr>
        <w:t>存放区</w:t>
      </w:r>
      <w:r>
        <w:rPr>
          <w:rFonts w:ascii="宋体" w:hAnsi="宋体" w:eastAsia="宋体" w:cs="宋体"/>
          <w:spacing w:val="-2"/>
          <w:sz w:val="24"/>
          <w:szCs w:val="24"/>
          <w:highlight w:val="none"/>
        </w:rPr>
        <w:t>及成品</w:t>
      </w:r>
      <w:r>
        <w:rPr>
          <w:rFonts w:hint="eastAsia" w:ascii="宋体" w:hAnsi="宋体" w:eastAsia="宋体" w:cs="宋体"/>
          <w:spacing w:val="-2"/>
          <w:sz w:val="24"/>
          <w:szCs w:val="24"/>
          <w:highlight w:val="none"/>
          <w:lang w:val="en-US" w:eastAsia="zh-CN"/>
        </w:rPr>
        <w:t>存放区</w:t>
      </w:r>
      <w:r>
        <w:rPr>
          <w:rFonts w:ascii="宋体" w:hAnsi="宋体" w:eastAsia="宋体" w:cs="宋体"/>
          <w:spacing w:val="-2"/>
          <w:sz w:val="24"/>
          <w:szCs w:val="24"/>
          <w:highlight w:val="none"/>
        </w:rPr>
        <mc:AlternateContent>
          <mc:Choice Requires="wps">
            <w:drawing>
              <wp:anchor distT="0" distB="0" distL="114300" distR="114300" simplePos="0" relativeHeight="251680768" behindDoc="0" locked="0" layoutInCell="1" allowOverlap="1">
                <wp:simplePos x="0" y="0"/>
                <wp:positionH relativeFrom="column">
                  <wp:posOffset>-784499955</wp:posOffset>
                </wp:positionH>
                <wp:positionV relativeFrom="paragraph">
                  <wp:posOffset>7291070</wp:posOffset>
                </wp:positionV>
                <wp:extent cx="342900" cy="198120"/>
                <wp:effectExtent l="0" t="0" r="7620" b="0"/>
                <wp:wrapNone/>
                <wp:docPr id="18" name="文本框 18"/>
                <wp:cNvGraphicFramePr/>
                <a:graphic xmlns:a="http://schemas.openxmlformats.org/drawingml/2006/main">
                  <a:graphicData uri="http://schemas.microsoft.com/office/word/2010/wordprocessingShape">
                    <wps:wsp>
                      <wps:cNvSpPr txBox="1"/>
                      <wps:spPr>
                        <a:xfrm>
                          <a:off x="0" y="0"/>
                          <a:ext cx="342900" cy="198120"/>
                        </a:xfrm>
                        <a:prstGeom prst="rect">
                          <a:avLst/>
                        </a:prstGeom>
                        <a:solidFill>
                          <a:srgbClr val="FFFFFF"/>
                        </a:solidFill>
                        <a:ln>
                          <a:noFill/>
                        </a:ln>
                      </wps:spPr>
                      <wps:txbx>
                        <w:txbxContent>
                          <w:p w14:paraId="1384CF33">
                            <w:pPr>
                              <w:jc w:val="center"/>
                              <w:rPr>
                                <w:rFonts w:hint="eastAsia"/>
                              </w:rPr>
                            </w:pPr>
                            <w:r>
                              <w:rPr>
                                <w:rFonts w:hint="eastAsia"/>
                              </w:rPr>
                              <w:t>10</w:t>
                            </w:r>
                          </w:p>
                        </w:txbxContent>
                      </wps:txbx>
                      <wps:bodyPr lIns="0" tIns="0" rIns="0" bIns="0" upright="1"/>
                    </wps:wsp>
                  </a:graphicData>
                </a:graphic>
              </wp:anchor>
            </w:drawing>
          </mc:Choice>
          <mc:Fallback>
            <w:pict>
              <v:shape id="_x0000_s1026" o:spid="_x0000_s1026" o:spt="202" type="#_x0000_t202" style="position:absolute;left:0pt;margin-left:-61771.65pt;margin-top:574.1pt;height:15.6pt;width:27pt;z-index:251680768;mso-width-relative:page;mso-height-relative:page;" fillcolor="#FFFFFF" filled="t" stroked="f" coordsize="21600,21600" o:gfxdata="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zvtb3wAAABUBAAAPAAAAAAAAAAEA&#10;IAAAACIAAABkcnMvZG93bnJldi54bWxQSwECFAAUAAAACACHTuJAaVxBCs8BAACcAwAADgAAAAAA&#10;AAABACAAAAAuAQAAZHJzL2Uyb0RvYy54bWxQSwUGAAAAAAYABgBZAQAAbwUAAAAA&#10;">
                <v:fill on="t" focussize="0,0"/>
                <v:stroke on="f"/>
                <v:imagedata o:title=""/>
                <o:lock v:ext="edit" aspectratio="f"/>
                <v:textbox inset="0mm,0mm,0mm,0mm">
                  <w:txbxContent>
                    <w:p w14:paraId="1384CF33">
                      <w:pPr>
                        <w:jc w:val="center"/>
                        <w:rPr>
                          <w:rFonts w:hint="eastAsia"/>
                        </w:rPr>
                      </w:pPr>
                      <w:r>
                        <w:rPr>
                          <w:rFonts w:hint="eastAsia"/>
                        </w:rPr>
                        <w:t>10</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9744" behindDoc="0" locked="0" layoutInCell="1" allowOverlap="1">
                <wp:simplePos x="0" y="0"/>
                <wp:positionH relativeFrom="column">
                  <wp:posOffset>-784614255</wp:posOffset>
                </wp:positionH>
                <wp:positionV relativeFrom="paragraph">
                  <wp:posOffset>6993890</wp:posOffset>
                </wp:positionV>
                <wp:extent cx="571500" cy="0"/>
                <wp:effectExtent l="0" t="25400" r="7620" b="35560"/>
                <wp:wrapNone/>
                <wp:docPr id="12" name="直接连接符 1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61780.65pt;margin-top:550.7pt;height:0pt;width:45pt;z-index:251679744;mso-width-relative:page;mso-height-relative:page;" filled="f" stroked="t" coordsize="21600,21600" o:gfxdata="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VuIv94AAAAVAQAADwAAAAAAAAABACAAAAAiAAAAZHJz&#10;L2Rvd25yZXYueG1sUEsBAhQAFAAAAAgAh07iQLGZsaD+AQAA6AMAAA4AAAAAAAAAAQAgAAAALQEA&#10;AGRycy9lMm9Eb2MueG1sUEsFBgAAAAAGAAYAWQEAAJ0FAAAAAA==&#10;">
                <v:fill on="f" focussize="0,0"/>
                <v:stroke color="#000000" joinstyle="round"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8720" behindDoc="0" locked="0" layoutInCell="1" allowOverlap="1">
                <wp:simplePos x="0" y="0"/>
                <wp:positionH relativeFrom="column">
                  <wp:posOffset>-784614255</wp:posOffset>
                </wp:positionH>
                <wp:positionV relativeFrom="paragraph">
                  <wp:posOffset>6399530</wp:posOffset>
                </wp:positionV>
                <wp:extent cx="571500" cy="0"/>
                <wp:effectExtent l="0" t="25400" r="7620" b="35560"/>
                <wp:wrapNone/>
                <wp:docPr id="19" name="直接连接符 19"/>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61780.65pt;margin-top:503.9pt;height:0pt;width:45pt;z-index:251678720;mso-width-relative:page;mso-height-relative:page;" filled="f" stroked="t" coordsize="21600,21600" o:gfxdata="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Icrxt4AAAAVAQAADwAAAAAAAAABACAAAAAiAAAAZHJz&#10;L2Rvd25yZXYueG1sUEsBAhQAFAAAAAgAh07iQPPf63H+AQAA6AMAAA4AAAAAAAAAAQAgAAAALQEA&#10;AGRycy9lMm9Eb2MueG1sUEsFBgAAAAAGAAYAWQEAAJ0FAAAAAA==&#10;">
                <v:fill on="f" focussize="0,0"/>
                <v:stroke color="#000000" joinstyle="round"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7696" behindDoc="0" locked="0" layoutInCell="1" allowOverlap="1">
                <wp:simplePos x="0" y="0"/>
                <wp:positionH relativeFrom="column">
                  <wp:posOffset>-783585555</wp:posOffset>
                </wp:positionH>
                <wp:positionV relativeFrom="paragraph">
                  <wp:posOffset>7192010</wp:posOffset>
                </wp:positionV>
                <wp:extent cx="342900" cy="198120"/>
                <wp:effectExtent l="0" t="0" r="7620" b="0"/>
                <wp:wrapNone/>
                <wp:docPr id="17" name="文本框 17"/>
                <wp:cNvGraphicFramePr/>
                <a:graphic xmlns:a="http://schemas.openxmlformats.org/drawingml/2006/main">
                  <a:graphicData uri="http://schemas.microsoft.com/office/word/2010/wordprocessingShape">
                    <wps:wsp>
                      <wps:cNvSpPr txBox="1"/>
                      <wps:spPr>
                        <a:xfrm>
                          <a:off x="0" y="0"/>
                          <a:ext cx="342900" cy="198120"/>
                        </a:xfrm>
                        <a:prstGeom prst="rect">
                          <a:avLst/>
                        </a:prstGeom>
                        <a:solidFill>
                          <a:srgbClr val="FFFFFF"/>
                        </a:solidFill>
                        <a:ln>
                          <a:noFill/>
                        </a:ln>
                      </wps:spPr>
                      <wps:txbx>
                        <w:txbxContent>
                          <w:p w14:paraId="5696AE71">
                            <w:pPr>
                              <w:jc w:val="center"/>
                              <w:rPr>
                                <w:rFonts w:hint="eastAsia"/>
                              </w:rPr>
                            </w:pPr>
                            <w:r>
                              <w:rPr>
                                <w:rFonts w:hint="eastAsia"/>
                              </w:rPr>
                              <w:t>10</w:t>
                            </w:r>
                          </w:p>
                        </w:txbxContent>
                      </wps:txbx>
                      <wps:bodyPr lIns="0" tIns="0" rIns="0" bIns="0" upright="1"/>
                    </wps:wsp>
                  </a:graphicData>
                </a:graphic>
              </wp:anchor>
            </w:drawing>
          </mc:Choice>
          <mc:Fallback>
            <w:pict>
              <v:shape id="_x0000_s1026" o:spid="_x0000_s1026" o:spt="202" type="#_x0000_t202" style="position:absolute;left:0pt;margin-left:-61699.65pt;margin-top:566.3pt;height:15.6pt;width:27pt;z-index:251677696;mso-width-relative:page;mso-height-relative:page;" fillcolor="#FFFFFF" filled="t" stroked="f" coordsize="21600,21600" o:gfxdata="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X460d8AAAAVAQAADwAAAAAAAAAB&#10;ACAAAAAiAAAAZHJzL2Rvd25yZXYueG1sUEsBAhQAFAAAAAgAh07iQAi1lh3QAQAAnAMAAA4AAAAA&#10;AAAAAQAgAAAALgEAAGRycy9lMm9Eb2MueG1sUEsFBgAAAAAGAAYAWQEAAHAFAAAAAA==&#10;">
                <v:fill on="t" focussize="0,0"/>
                <v:stroke on="f"/>
                <v:imagedata o:title=""/>
                <o:lock v:ext="edit" aspectratio="f"/>
                <v:textbox inset="0mm,0mm,0mm,0mm">
                  <w:txbxContent>
                    <w:p w14:paraId="5696AE71">
                      <w:pPr>
                        <w:jc w:val="center"/>
                        <w:rPr>
                          <w:rFonts w:hint="eastAsia"/>
                        </w:rPr>
                      </w:pPr>
                      <w:r>
                        <w:rPr>
                          <w:rFonts w:hint="eastAsia"/>
                        </w:rPr>
                        <w:t>10</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-783814155</wp:posOffset>
                </wp:positionH>
                <wp:positionV relativeFrom="paragraph">
                  <wp:posOffset>7291070</wp:posOffset>
                </wp:positionV>
                <wp:extent cx="228600" cy="198120"/>
                <wp:effectExtent l="3175" t="0" r="12065" b="15240"/>
                <wp:wrapNone/>
                <wp:docPr id="21" name="直接连接符 21"/>
                <wp:cNvGraphicFramePr/>
                <a:graphic xmlns:a="http://schemas.openxmlformats.org/drawingml/2006/main">
                  <a:graphicData uri="http://schemas.microsoft.com/office/word/2010/wordprocessingShape">
                    <wps:wsp>
                      <wps:cNvCnPr/>
                      <wps:spPr>
                        <a:xfrm flipV="1">
                          <a:off x="0" y="0"/>
                          <a:ext cx="228600" cy="198120"/>
                        </a:xfrm>
                        <a:prstGeom prst="line">
                          <a:avLst/>
                        </a:prstGeom>
                        <a:ln w="9525" cap="flat" cmpd="sng">
                          <a:solidFill>
                            <a:srgbClr val="000000"/>
                          </a:solidFill>
                          <a:prstDash val="sysDot"/>
                          <a:headEnd type="none" w="med" len="med"/>
                          <a:tailEnd type="triangle" w="sm" len="med"/>
                        </a:ln>
                      </wps:spPr>
                      <wps:bodyPr upright="1"/>
                    </wps:wsp>
                  </a:graphicData>
                </a:graphic>
              </wp:anchor>
            </w:drawing>
          </mc:Choice>
          <mc:Fallback>
            <w:pict>
              <v:line id="_x0000_s1026" o:spid="_x0000_s1026" o:spt="20" style="position:absolute;left:0pt;flip:y;margin-left:-61717.65pt;margin-top:574.1pt;height:15.6pt;width:18pt;z-index:251676672;mso-width-relative:page;mso-height-relative:page;" filled="f" stroked="t" coordsize="21600,21600" o:gfxdata="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YSIDeAAAAFQEAAA8AAAAA&#10;AAAAAQAgAAAAIgAAAGRycy9kb3ducmV2LnhtbFBLAQIUABQAAAAIAIdO4kBv/SHnDgIAAPgDAAAO&#10;AAAAAAAAAAEAIAAAAC0BAABkcnMvZTJvRG9jLnhtbFBLBQYAAAAABgAGAFkBAACtBQAAAAA=&#10;">
                <v:fill on="f" focussize="0,0"/>
                <v:stroke color="#000000" joinstyle="round" dashstyle="1 1"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5648" behindDoc="0" locked="0" layoutInCell="1" allowOverlap="1">
                <wp:simplePos x="0" y="0"/>
                <wp:positionH relativeFrom="column">
                  <wp:posOffset>-782099655</wp:posOffset>
                </wp:positionH>
                <wp:positionV relativeFrom="paragraph">
                  <wp:posOffset>6993890</wp:posOffset>
                </wp:positionV>
                <wp:extent cx="1028700" cy="0"/>
                <wp:effectExtent l="0" t="25400" r="7620" b="35560"/>
                <wp:wrapNone/>
                <wp:docPr id="23" name="直接连接符 23"/>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61582.65pt;margin-top:550.7pt;height:0pt;width:81pt;z-index:251675648;mso-width-relative:page;mso-height-relative:page;" filled="f" stroked="t" coordsize="21600,21600" o:gfxdata="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&#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9Fmk23gAAABUBAAAPAAAAAAAAAAEAIAAAACIAAABk&#10;cnMvZG93bnJldi54bWxQSwECFAAUAAAACACHTuJA8biMCgACAADpAwAADgAAAAAAAAABACAAAAAt&#10;AQAAZHJzL2Uyb0RvYy54bWxQSwUGAAAAAAYABgBZAQAAnwUAAAAA&#10;">
                <v:fill on="f" focussize="0,0"/>
                <v:stroke color="#000000" joinstyle="round"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-783356955</wp:posOffset>
                </wp:positionH>
                <wp:positionV relativeFrom="paragraph">
                  <wp:posOffset>6993890</wp:posOffset>
                </wp:positionV>
                <wp:extent cx="571500" cy="0"/>
                <wp:effectExtent l="0" t="25400" r="7620" b="35560"/>
                <wp:wrapNone/>
                <wp:docPr id="22" name="直接连接符 2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61681.65pt;margin-top:550.7pt;height:0pt;width:45pt;z-index:251674624;mso-width-relative:page;mso-height-relative:page;" filled="f" stroked="t" coordsize="21600,21600" o:gfxdata="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C+v94AAAAVAQAADwAAAAAAAAABACAAAAAiAAAAZHJz&#10;L2Rvd25yZXYueG1sUEsBAhQAFAAAAAgAh07iQCfQSFn+AQAA6AMAAA4AAAAAAAAAAQAgAAAALQEA&#10;AGRycy9lMm9Eb2MueG1sUEsFBgAAAAAGAAYAWQEAAJ0FAAAAAA==&#10;">
                <v:fill on="f" focussize="0,0"/>
                <v:stroke color="#000000" joinstyle="round"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3600" behindDoc="0" locked="0" layoutInCell="1" allowOverlap="1">
                <wp:simplePos x="0" y="0"/>
                <wp:positionH relativeFrom="column">
                  <wp:posOffset>-781871055</wp:posOffset>
                </wp:positionH>
                <wp:positionV relativeFrom="paragraph">
                  <wp:posOffset>6795770</wp:posOffset>
                </wp:positionV>
                <wp:extent cx="342900" cy="198120"/>
                <wp:effectExtent l="0" t="0" r="7620" b="0"/>
                <wp:wrapNone/>
                <wp:docPr id="16" name="文本框 16"/>
                <wp:cNvGraphicFramePr/>
                <a:graphic xmlns:a="http://schemas.openxmlformats.org/drawingml/2006/main">
                  <a:graphicData uri="http://schemas.microsoft.com/office/word/2010/wordprocessingShape">
                    <wps:wsp>
                      <wps:cNvSpPr txBox="1"/>
                      <wps:spPr>
                        <a:xfrm>
                          <a:off x="0" y="0"/>
                          <a:ext cx="342900" cy="198120"/>
                        </a:xfrm>
                        <a:prstGeom prst="rect">
                          <a:avLst/>
                        </a:prstGeom>
                        <a:solidFill>
                          <a:srgbClr val="FFFFFF"/>
                        </a:solidFill>
                        <a:ln>
                          <a:noFill/>
                        </a:ln>
                      </wps:spPr>
                      <wps:txbx>
                        <w:txbxContent>
                          <w:p w14:paraId="0E6C825E">
                            <w:pPr>
                              <w:jc w:val="center"/>
                              <w:rPr>
                                <w:rFonts w:hint="eastAsia"/>
                              </w:rPr>
                            </w:pPr>
                            <w:r>
                              <w:rPr>
                                <w:rFonts w:hint="eastAsia"/>
                              </w:rPr>
                              <w:t>24</w:t>
                            </w:r>
                          </w:p>
                        </w:txbxContent>
                      </wps:txbx>
                      <wps:bodyPr lIns="0" tIns="0" rIns="0" bIns="0" upright="1"/>
                    </wps:wsp>
                  </a:graphicData>
                </a:graphic>
              </wp:anchor>
            </w:drawing>
          </mc:Choice>
          <mc:Fallback>
            <w:pict>
              <v:shape id="_x0000_s1026" o:spid="_x0000_s1026" o:spt="202" type="#_x0000_t202" style="position:absolute;left:0pt;margin-left:-61564.65pt;margin-top:535.1pt;height:15.6pt;width:27pt;z-index:251673600;mso-width-relative:page;mso-height-relative:page;" fillcolor="#FFFFFF" filled="t" stroked="f" coordsize="21600,21600" o:gfxdata="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8CX8N8AAAAVAQAADwAAAAAAAAAB&#10;ACAAAAAiAAAAZHJzL2Rvd25yZXYueG1sUEsBAhQAFAAAAAgAh07iQLFbSsXQAQAAnAMAAA4AAAAA&#10;AAAAAQAgAAAALgEAAGRycy9lMm9Eb2MueG1sUEsFBgAAAAAGAAYAWQEAAHAFAAAAAA==&#10;">
                <v:fill on="t" focussize="0,0"/>
                <v:stroke on="f"/>
                <v:imagedata o:title=""/>
                <o:lock v:ext="edit" aspectratio="f"/>
                <v:textbox inset="0mm,0mm,0mm,0mm">
                  <w:txbxContent>
                    <w:p w14:paraId="0E6C825E">
                      <w:pPr>
                        <w:jc w:val="center"/>
                        <w:rPr>
                          <w:rFonts w:hint="eastAsia"/>
                        </w:rPr>
                      </w:pPr>
                      <w:r>
                        <w:rPr>
                          <w:rFonts w:hint="eastAsia"/>
                        </w:rPr>
                        <w:t>24</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2576" behindDoc="0" locked="0" layoutInCell="1" allowOverlap="1">
                <wp:simplePos x="0" y="0"/>
                <wp:positionH relativeFrom="column">
                  <wp:posOffset>-783242655</wp:posOffset>
                </wp:positionH>
                <wp:positionV relativeFrom="paragraph">
                  <wp:posOffset>6795770</wp:posOffset>
                </wp:positionV>
                <wp:extent cx="342900" cy="198120"/>
                <wp:effectExtent l="0" t="0" r="7620" b="0"/>
                <wp:wrapNone/>
                <wp:docPr id="20" name="文本框 20"/>
                <wp:cNvGraphicFramePr/>
                <a:graphic xmlns:a="http://schemas.openxmlformats.org/drawingml/2006/main">
                  <a:graphicData uri="http://schemas.microsoft.com/office/word/2010/wordprocessingShape">
                    <wps:wsp>
                      <wps:cNvSpPr txBox="1"/>
                      <wps:spPr>
                        <a:xfrm>
                          <a:off x="0" y="0"/>
                          <a:ext cx="342900" cy="198120"/>
                        </a:xfrm>
                        <a:prstGeom prst="rect">
                          <a:avLst/>
                        </a:prstGeom>
                        <a:solidFill>
                          <a:srgbClr val="FFFFFF"/>
                        </a:solidFill>
                        <a:ln>
                          <a:noFill/>
                        </a:ln>
                      </wps:spPr>
                      <wps:txbx>
                        <w:txbxContent>
                          <w:p w14:paraId="0C980102">
                            <w:pPr>
                              <w:jc w:val="center"/>
                              <w:rPr>
                                <w:rFonts w:hint="eastAsia"/>
                              </w:rPr>
                            </w:pPr>
                            <w:r>
                              <w:rPr>
                                <w:rFonts w:hint="eastAsia"/>
                              </w:rPr>
                              <w:t>24</w:t>
                            </w:r>
                          </w:p>
                        </w:txbxContent>
                      </wps:txbx>
                      <wps:bodyPr lIns="0" tIns="0" rIns="0" bIns="0" upright="1"/>
                    </wps:wsp>
                  </a:graphicData>
                </a:graphic>
              </wp:anchor>
            </w:drawing>
          </mc:Choice>
          <mc:Fallback>
            <w:pict>
              <v:shape id="_x0000_s1026" o:spid="_x0000_s1026" o:spt="202" type="#_x0000_t202" style="position:absolute;left:0pt;margin-left:-61672.65pt;margin-top:535.1pt;height:15.6pt;width:27pt;z-index:251672576;mso-width-relative:page;mso-height-relative:page;" fillcolor="#FFFFFF" filled="t" stroked="f" coordsize="21600,21600" o:gfxdata="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Dr1BJ3wAAABUBAAAPAAAAAAAAAAEA&#10;IAAAACIAAABkcnMvZG93bnJldi54bWxQSwECFAAUAAAACACHTuJA70jMd88BAACcAwAADgAAAAAA&#10;AAABACAAAAAuAQAAZHJzL2Uyb0RvYy54bWxQSwUGAAAAAAYABgBZAQAAbwUAAAAA&#10;">
                <v:fill on="t" focussize="0,0"/>
                <v:stroke on="f"/>
                <v:imagedata o:title=""/>
                <o:lock v:ext="edit" aspectratio="f"/>
                <v:textbox inset="0mm,0mm,0mm,0mm">
                  <w:txbxContent>
                    <w:p w14:paraId="0C980102">
                      <w:pPr>
                        <w:jc w:val="center"/>
                        <w:rPr>
                          <w:rFonts w:hint="eastAsia"/>
                        </w:rPr>
                      </w:pPr>
                      <w:r>
                        <w:rPr>
                          <w:rFonts w:hint="eastAsia"/>
                        </w:rPr>
                        <w:t>24</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-784499955</wp:posOffset>
                </wp:positionH>
                <wp:positionV relativeFrom="paragraph">
                  <wp:posOffset>6696710</wp:posOffset>
                </wp:positionV>
                <wp:extent cx="342900" cy="198120"/>
                <wp:effectExtent l="0" t="0" r="7620" b="0"/>
                <wp:wrapNone/>
                <wp:docPr id="13" name="文本框 13"/>
                <wp:cNvGraphicFramePr/>
                <a:graphic xmlns:a="http://schemas.openxmlformats.org/drawingml/2006/main">
                  <a:graphicData uri="http://schemas.microsoft.com/office/word/2010/wordprocessingShape">
                    <wps:wsp>
                      <wps:cNvSpPr txBox="1"/>
                      <wps:spPr>
                        <a:xfrm>
                          <a:off x="0" y="0"/>
                          <a:ext cx="342900" cy="198120"/>
                        </a:xfrm>
                        <a:prstGeom prst="rect">
                          <a:avLst/>
                        </a:prstGeom>
                        <a:solidFill>
                          <a:srgbClr val="FFFFFF"/>
                        </a:solidFill>
                        <a:ln>
                          <a:noFill/>
                        </a:ln>
                      </wps:spPr>
                      <wps:txbx>
                        <w:txbxContent>
                          <w:p w14:paraId="49279B59">
                            <w:pPr>
                              <w:jc w:val="center"/>
                              <w:rPr>
                                <w:rFonts w:hint="eastAsia"/>
                              </w:rPr>
                            </w:pPr>
                            <w:r>
                              <w:rPr>
                                <w:rFonts w:hint="eastAsia"/>
                              </w:rPr>
                              <w:t>25.2</w:t>
                            </w:r>
                          </w:p>
                        </w:txbxContent>
                      </wps:txbx>
                      <wps:bodyPr lIns="0" tIns="0" rIns="0" bIns="0" upright="1"/>
                    </wps:wsp>
                  </a:graphicData>
                </a:graphic>
              </wp:anchor>
            </w:drawing>
          </mc:Choice>
          <mc:Fallback>
            <w:pict>
              <v:shape id="_x0000_s1026" o:spid="_x0000_s1026" o:spt="202" type="#_x0000_t202" style="position:absolute;left:0pt;margin-left:-61771.65pt;margin-top:527.3pt;height:15.6pt;width:27pt;z-index:251671552;mso-width-relative:page;mso-height-relative:page;" fillcolor="#FFFFFF" filled="t" stroked="f" coordsize="21600,21600" o:gfxdata="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YcDB3gAAABUBAAAPAAAAAAAAAAEA&#10;IAAAACIAAABkcnMvZG93bnJldi54bWxQSwECFAAUAAAACACHTuJAbgMHyNABAACcAwAADgAAAAAA&#10;AAABACAAAAAtAQAAZHJzL2Uyb0RvYy54bWxQSwUGAAAAAAYABgBZAQAAbwUAAAAA&#10;">
                <v:fill on="t" focussize="0,0"/>
                <v:stroke on="f"/>
                <v:imagedata o:title=""/>
                <o:lock v:ext="edit" aspectratio="f"/>
                <v:textbox inset="0mm,0mm,0mm,0mm">
                  <w:txbxContent>
                    <w:p w14:paraId="49279B59">
                      <w:pPr>
                        <w:jc w:val="center"/>
                        <w:rPr>
                          <w:rFonts w:hint="eastAsia"/>
                        </w:rPr>
                      </w:pPr>
                      <w:r>
                        <w:rPr>
                          <w:rFonts w:hint="eastAsia"/>
                        </w:rPr>
                        <w:t>25.2</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-783699855</wp:posOffset>
                </wp:positionH>
                <wp:positionV relativeFrom="paragraph">
                  <wp:posOffset>6597650</wp:posOffset>
                </wp:positionV>
                <wp:extent cx="228600" cy="1981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28600" cy="198120"/>
                        </a:xfrm>
                        <a:prstGeom prst="rect">
                          <a:avLst/>
                        </a:prstGeom>
                        <a:solidFill>
                          <a:srgbClr val="FFFFFF"/>
                        </a:solidFill>
                        <a:ln>
                          <a:noFill/>
                        </a:ln>
                      </wps:spPr>
                      <wps:txbx>
                        <w:txbxContent>
                          <w:p w14:paraId="23A7480D">
                            <w:pPr>
                              <w:jc w:val="center"/>
                              <w:rPr>
                                <w:rFonts w:hint="eastAsia"/>
                              </w:rPr>
                            </w:pPr>
                            <w:r>
                              <w:rPr>
                                <w:rFonts w:hint="eastAsia"/>
                              </w:rPr>
                              <w:t>1.2</w:t>
                            </w:r>
                          </w:p>
                        </w:txbxContent>
                      </wps:txbx>
                      <wps:bodyPr lIns="0" tIns="0" rIns="0" bIns="0" upright="1"/>
                    </wps:wsp>
                  </a:graphicData>
                </a:graphic>
              </wp:anchor>
            </w:drawing>
          </mc:Choice>
          <mc:Fallback>
            <w:pict>
              <v:shape id="_x0000_s1026" o:spid="_x0000_s1026" o:spt="202" type="#_x0000_t202" style="position:absolute;left:0pt;margin-left:-61708.65pt;margin-top:519.5pt;height:15.6pt;width:18pt;z-index:251670528;mso-width-relative:page;mso-height-relative:page;" fillcolor="#FFFFFF" filled="t" stroked="f" coordsize="21600,21600" o:gfxdata="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EMsB98AAAAVAQAADwAAAAAAAAAB&#10;ACAAAAAiAAAAZHJzL2Rvd25yZXYueG1sUEsBAhQAFAAAAAgAh07iQDJmFHHQAQAAnAMAAA4AAAAA&#10;AAAAAQAgAAAALgEAAGRycy9lMm9Eb2MueG1sUEsFBgAAAAAGAAYAWQEAAHAFAAAAAA==&#10;">
                <v:fill on="t" focussize="0,0"/>
                <v:stroke on="f"/>
                <v:imagedata o:title=""/>
                <o:lock v:ext="edit" aspectratio="f"/>
                <v:textbox inset="0mm,0mm,0mm,0mm">
                  <w:txbxContent>
                    <w:p w14:paraId="23A7480D">
                      <w:pPr>
                        <w:jc w:val="center"/>
                        <w:rPr>
                          <w:rFonts w:hint="eastAsia"/>
                        </w:rPr>
                      </w:pPr>
                      <w:r>
                        <w:rPr>
                          <w:rFonts w:hint="eastAsia"/>
                        </w:rPr>
                        <w:t>1.2</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9504" behindDoc="0" locked="0" layoutInCell="1" allowOverlap="1">
                <wp:simplePos x="0" y="0"/>
                <wp:positionH relativeFrom="column">
                  <wp:posOffset>-783928455</wp:posOffset>
                </wp:positionH>
                <wp:positionV relativeFrom="paragraph">
                  <wp:posOffset>6696710</wp:posOffset>
                </wp:positionV>
                <wp:extent cx="228600" cy="198120"/>
                <wp:effectExtent l="3175" t="0" r="12065" b="15240"/>
                <wp:wrapNone/>
                <wp:docPr id="14" name="直接连接符 14"/>
                <wp:cNvGraphicFramePr/>
                <a:graphic xmlns:a="http://schemas.openxmlformats.org/drawingml/2006/main">
                  <a:graphicData uri="http://schemas.microsoft.com/office/word/2010/wordprocessingShape">
                    <wps:wsp>
                      <wps:cNvCnPr/>
                      <wps:spPr>
                        <a:xfrm flipV="1">
                          <a:off x="0" y="0"/>
                          <a:ext cx="228600" cy="198120"/>
                        </a:xfrm>
                        <a:prstGeom prst="line">
                          <a:avLst/>
                        </a:prstGeom>
                        <a:ln w="9525" cap="flat" cmpd="sng">
                          <a:solidFill>
                            <a:srgbClr val="000000"/>
                          </a:solidFill>
                          <a:prstDash val="sysDot"/>
                          <a:headEnd type="none" w="med" len="med"/>
                          <a:tailEnd type="triangle" w="sm" len="med"/>
                        </a:ln>
                      </wps:spPr>
                      <wps:bodyPr upright="1"/>
                    </wps:wsp>
                  </a:graphicData>
                </a:graphic>
              </wp:anchor>
            </w:drawing>
          </mc:Choice>
          <mc:Fallback>
            <w:pict>
              <v:line id="_x0000_s1026" o:spid="_x0000_s1026" o:spt="20" style="position:absolute;left:0pt;flip:y;margin-left:-61726.65pt;margin-top:527.3pt;height:15.6pt;width:18pt;z-index:251669504;mso-width-relative:page;mso-height-relative:page;" filled="f" stroked="t" coordsize="21600,21600" o:gfxdata="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TlkrzeAAAAFQEAAA8AAAAA&#10;AAAAAQAgAAAAIgAAAGRycy9kb3ducmV2LnhtbFBLAQIUABQAAAAIAIdO4kD1gbK3DgIAAPgDAAAO&#10;AAAAAAAAAAEAIAAAAC0BAABkcnMvZTJvRG9jLnhtbFBLBQYAAAAABgAGAFkBAACtBQAAAAA=&#10;">
                <v:fill on="f" focussize="0,0"/>
                <v:stroke color="#000000" joinstyle="round" dashstyle="1 1"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8480" behindDoc="0" locked="0" layoutInCell="1" allowOverlap="1">
                <wp:simplePos x="0" y="0"/>
                <wp:positionH relativeFrom="column">
                  <wp:posOffset>-783585555</wp:posOffset>
                </wp:positionH>
                <wp:positionV relativeFrom="paragraph">
                  <wp:posOffset>6003290</wp:posOffset>
                </wp:positionV>
                <wp:extent cx="228600" cy="19812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28600" cy="198120"/>
                        </a:xfrm>
                        <a:prstGeom prst="rect">
                          <a:avLst/>
                        </a:prstGeom>
                        <a:solidFill>
                          <a:srgbClr val="FFFFFF"/>
                        </a:solidFill>
                        <a:ln>
                          <a:noFill/>
                        </a:ln>
                      </wps:spPr>
                      <wps:txbx>
                        <w:txbxContent>
                          <w:p w14:paraId="2521F892">
                            <w:pPr>
                              <w:jc w:val="center"/>
                              <w:rPr>
                                <w:rFonts w:hint="eastAsia"/>
                              </w:rPr>
                            </w:pPr>
                            <w:r>
                              <w:rPr>
                                <w:rFonts w:hint="eastAsia"/>
                              </w:rPr>
                              <w:t>3</w:t>
                            </w:r>
                          </w:p>
                        </w:txbxContent>
                      </wps:txbx>
                      <wps:bodyPr lIns="0" tIns="0" rIns="0" bIns="0" upright="1"/>
                    </wps:wsp>
                  </a:graphicData>
                </a:graphic>
              </wp:anchor>
            </w:drawing>
          </mc:Choice>
          <mc:Fallback>
            <w:pict>
              <v:shape id="_x0000_s1026" o:spid="_x0000_s1026" o:spt="202" type="#_x0000_t202" style="position:absolute;left:0pt;margin-left:-61699.65pt;margin-top:472.7pt;height:15.6pt;width:18pt;z-index:251668480;mso-width-relative:page;mso-height-relative:page;" fillcolor="#FFFFFF" filled="t" stroked="f" coordsize="21600,21600" o:gfxdata="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4ZDPxN8AAAATAQAADwAAAAAAAAAB&#10;ACAAAAAiAAAAZHJzL2Rvd25yZXYueG1sUEsBAhQAFAAAAAgAh07iQJl5PxvQAQAAnAMAAA4AAAAA&#10;AAAAAQAgAAAALgEAAGRycy9lMm9Eb2MueG1sUEsFBgAAAAAGAAYAWQEAAHAFAAAAAA==&#10;">
                <v:fill on="t" focussize="0,0"/>
                <v:stroke on="f"/>
                <v:imagedata o:title=""/>
                <o:lock v:ext="edit" aspectratio="f"/>
                <v:textbox inset="0mm,0mm,0mm,0mm">
                  <w:txbxContent>
                    <w:p w14:paraId="2521F892">
                      <w:pPr>
                        <w:jc w:val="center"/>
                        <w:rPr>
                          <w:rFonts w:hint="eastAsia"/>
                        </w:rPr>
                      </w:pPr>
                      <w:r>
                        <w:rPr>
                          <w:rFonts w:hint="eastAsia"/>
                        </w:rPr>
                        <w:t>3</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7456" behindDoc="0" locked="0" layoutInCell="1" allowOverlap="1">
                <wp:simplePos x="0" y="0"/>
                <wp:positionH relativeFrom="column">
                  <wp:posOffset>-783814155</wp:posOffset>
                </wp:positionH>
                <wp:positionV relativeFrom="paragraph">
                  <wp:posOffset>6102350</wp:posOffset>
                </wp:positionV>
                <wp:extent cx="228600" cy="198120"/>
                <wp:effectExtent l="3175" t="0" r="12065" b="15240"/>
                <wp:wrapNone/>
                <wp:docPr id="32" name="直接连接符 32"/>
                <wp:cNvGraphicFramePr/>
                <a:graphic xmlns:a="http://schemas.openxmlformats.org/drawingml/2006/main">
                  <a:graphicData uri="http://schemas.microsoft.com/office/word/2010/wordprocessingShape">
                    <wps:wsp>
                      <wps:cNvCnPr/>
                      <wps:spPr>
                        <a:xfrm flipV="1">
                          <a:off x="0" y="0"/>
                          <a:ext cx="228600" cy="198120"/>
                        </a:xfrm>
                        <a:prstGeom prst="line">
                          <a:avLst/>
                        </a:prstGeom>
                        <a:ln w="9525" cap="flat" cmpd="sng">
                          <a:solidFill>
                            <a:srgbClr val="000000"/>
                          </a:solidFill>
                          <a:prstDash val="sysDot"/>
                          <a:headEnd type="none" w="med" len="med"/>
                          <a:tailEnd type="triangle" w="sm" len="med"/>
                        </a:ln>
                      </wps:spPr>
                      <wps:bodyPr upright="1"/>
                    </wps:wsp>
                  </a:graphicData>
                </a:graphic>
              </wp:anchor>
            </w:drawing>
          </mc:Choice>
          <mc:Fallback>
            <w:pict>
              <v:line id="_x0000_s1026" o:spid="_x0000_s1026" o:spt="20" style="position:absolute;left:0pt;flip:y;margin-left:-61717.65pt;margin-top:480.5pt;height:15.6pt;width:18pt;z-index:251667456;mso-width-relative:page;mso-height-relative:page;" filled="f" stroked="t" coordsize="21600,21600" o:gfxdata="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U/xjdAAAAEwEAAA8AAAAA&#10;AAAAAQAgAAAAIgAAAGRycy9kb3ducmV2LnhtbFBLAQIUABQAAAAIAIdO4kAmK4BhDwIAAPgDAAAO&#10;AAAAAAAAAAEAIAAAACwBAABkcnMvZTJvRG9jLnhtbFBLBQYAAAAABgAGAFkBAACtBQAAAAA=&#10;">
                <v:fill on="f" focussize="0,0"/>
                <v:stroke color="#000000" joinstyle="round" dashstyle="1 1"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-782671155</wp:posOffset>
                </wp:positionH>
                <wp:positionV relativeFrom="paragraph">
                  <wp:posOffset>6102350</wp:posOffset>
                </wp:positionV>
                <wp:extent cx="114300" cy="198120"/>
                <wp:effectExtent l="0" t="0" r="7620" b="0"/>
                <wp:wrapNone/>
                <wp:docPr id="29" name="文本框 29"/>
                <wp:cNvGraphicFramePr/>
                <a:graphic xmlns:a="http://schemas.openxmlformats.org/drawingml/2006/main">
                  <a:graphicData uri="http://schemas.microsoft.com/office/word/2010/wordprocessingShape">
                    <wps:wsp>
                      <wps:cNvSpPr txBox="1"/>
                      <wps:spPr>
                        <a:xfrm>
                          <a:off x="0" y="0"/>
                          <a:ext cx="114300" cy="198120"/>
                        </a:xfrm>
                        <a:prstGeom prst="rect">
                          <a:avLst/>
                        </a:prstGeom>
                        <a:solidFill>
                          <a:srgbClr val="FFFFFF"/>
                        </a:solidFill>
                        <a:ln>
                          <a:noFill/>
                        </a:ln>
                      </wps:spPr>
                      <wps:txbx>
                        <w:txbxContent>
                          <w:p w14:paraId="1C93D4E0">
                            <w:pPr>
                              <w:jc w:val="center"/>
                              <w:rPr>
                                <w:rFonts w:hint="eastAsia"/>
                              </w:rPr>
                            </w:pPr>
                            <w:r>
                              <w:rPr>
                                <w:rFonts w:hint="eastAsia"/>
                              </w:rPr>
                              <w:t>7</w:t>
                            </w:r>
                          </w:p>
                        </w:txbxContent>
                      </wps:txbx>
                      <wps:bodyPr lIns="0" tIns="0" rIns="0" bIns="0" upright="1"/>
                    </wps:wsp>
                  </a:graphicData>
                </a:graphic>
              </wp:anchor>
            </w:drawing>
          </mc:Choice>
          <mc:Fallback>
            <w:pict>
              <v:shape id="_x0000_s1026" o:spid="_x0000_s1026" o:spt="202" type="#_x0000_t202" style="position:absolute;left:0pt;margin-left:-61627.65pt;margin-top:480.5pt;height:15.6pt;width:9pt;z-index:251666432;mso-width-relative:page;mso-height-relative:page;" fillcolor="#FFFFFF" filled="t" stroked="f" coordsize="21600,21600" o:gfxdata="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zkXW3gAAABMBAAAPAAAAAAAAAAEA&#10;IAAAACIAAABkcnMvZG93bnJldi54bWxQSwECFAAUAAAACACHTuJAcH5z0dABAACcAwAADgAAAAAA&#10;AAABACAAAAAtAQAAZHJzL2Uyb0RvYy54bWxQSwUGAAAAAAYABgBZAQAAbwUAAAAA&#10;">
                <v:fill on="t" focussize="0,0"/>
                <v:stroke on="f"/>
                <v:imagedata o:title=""/>
                <o:lock v:ext="edit" aspectratio="f"/>
                <v:textbox inset="0mm,0mm,0mm,0mm">
                  <w:txbxContent>
                    <w:p w14:paraId="1C93D4E0">
                      <w:pPr>
                        <w:jc w:val="center"/>
                        <w:rPr>
                          <w:rFonts w:hint="eastAsia"/>
                        </w:rPr>
                      </w:pPr>
                      <w:r>
                        <w:rPr>
                          <w:rFonts w:hint="eastAsia"/>
                        </w:rPr>
                        <w:t>7</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-784499955</wp:posOffset>
                </wp:positionH>
                <wp:positionV relativeFrom="paragraph">
                  <wp:posOffset>6102350</wp:posOffset>
                </wp:positionV>
                <wp:extent cx="342900" cy="198120"/>
                <wp:effectExtent l="0" t="0" r="7620" b="0"/>
                <wp:wrapNone/>
                <wp:docPr id="30" name="文本框 30"/>
                <wp:cNvGraphicFramePr/>
                <a:graphic xmlns:a="http://schemas.openxmlformats.org/drawingml/2006/main">
                  <a:graphicData uri="http://schemas.microsoft.com/office/word/2010/wordprocessingShape">
                    <wps:wsp>
                      <wps:cNvSpPr txBox="1"/>
                      <wps:spPr>
                        <a:xfrm>
                          <a:off x="0" y="0"/>
                          <a:ext cx="342900" cy="198120"/>
                        </a:xfrm>
                        <a:prstGeom prst="rect">
                          <a:avLst/>
                        </a:prstGeom>
                        <a:solidFill>
                          <a:srgbClr val="FFFFFF"/>
                        </a:solidFill>
                        <a:ln>
                          <a:noFill/>
                        </a:ln>
                      </wps:spPr>
                      <wps:txbx>
                        <w:txbxContent>
                          <w:p w14:paraId="7936C507">
                            <w:pPr>
                              <w:jc w:val="center"/>
                              <w:rPr>
                                <w:rFonts w:hint="eastAsia"/>
                              </w:rPr>
                            </w:pPr>
                            <w:r>
                              <w:rPr>
                                <w:rFonts w:hint="eastAsia"/>
                              </w:rPr>
                              <w:t>10</w:t>
                            </w:r>
                          </w:p>
                        </w:txbxContent>
                      </wps:txbx>
                      <wps:bodyPr lIns="0" tIns="0" rIns="0" bIns="0" upright="1"/>
                    </wps:wsp>
                  </a:graphicData>
                </a:graphic>
              </wp:anchor>
            </w:drawing>
          </mc:Choice>
          <mc:Fallback>
            <w:pict>
              <v:shape id="_x0000_s1026" o:spid="_x0000_s1026" o:spt="202" type="#_x0000_t202" style="position:absolute;left:0pt;margin-left:-61771.65pt;margin-top:480.5pt;height:15.6pt;width:27pt;z-index:251665408;mso-width-relative:page;mso-height-relative:page;" fillcolor="#FFFFFF" filled="t" stroked="f" coordsize="21600,21600" o:gfxdata="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lrcqN8AAAATAQAADwAAAAAAAAAB&#10;ACAAAAAiAAAAZHJzL2Rvd25yZXYueG1sUEsBAhQAFAAAAAgAh07iQCmfqcXQAQAAnAMAAA4AAAAA&#10;AAAAAQAgAAAALgEAAGRycy9lMm9Eb2MueG1sUEsFBgAAAAAGAAYAWQEAAHAFAAAAAA==&#10;">
                <v:fill on="t" focussize="0,0"/>
                <v:stroke on="f"/>
                <v:imagedata o:title=""/>
                <o:lock v:ext="edit" aspectratio="f"/>
                <v:textbox inset="0mm,0mm,0mm,0mm">
                  <w:txbxContent>
                    <w:p w14:paraId="7936C507">
                      <w:pPr>
                        <w:jc w:val="center"/>
                        <w:rPr>
                          <w:rFonts w:hint="eastAsia"/>
                        </w:rPr>
                      </w:pPr>
                      <w:r>
                        <w:rPr>
                          <w:rFonts w:hint="eastAsia"/>
                        </w:rPr>
                        <w:t>10</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-782785455</wp:posOffset>
                </wp:positionH>
                <wp:positionV relativeFrom="paragraph">
                  <wp:posOffset>6894830</wp:posOffset>
                </wp:positionV>
                <wp:extent cx="685800" cy="198120"/>
                <wp:effectExtent l="4445" t="4445" r="10795" b="10795"/>
                <wp:wrapNone/>
                <wp:docPr id="33" name="文本框 33"/>
                <wp:cNvGraphicFramePr/>
                <a:graphic xmlns:a="http://schemas.openxmlformats.org/drawingml/2006/main">
                  <a:graphicData uri="http://schemas.microsoft.com/office/word/2010/wordprocessingShape">
                    <wps:wsp>
                      <wps:cNvSpPr txBox="1"/>
                      <wps:spPr>
                        <a:xfrm>
                          <a:off x="0" y="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12B02F">
                            <w:pPr>
                              <w:jc w:val="center"/>
                              <w:rPr>
                                <w:rFonts w:hint="eastAsia"/>
                              </w:rPr>
                            </w:pPr>
                            <w:r>
                              <w:rPr>
                                <w:rFonts w:hint="eastAsia"/>
                              </w:rPr>
                              <w:t>预处理</w:t>
                            </w:r>
                          </w:p>
                        </w:txbxContent>
                      </wps:txbx>
                      <wps:bodyPr lIns="0" tIns="0" rIns="0" bIns="0" upright="1"/>
                    </wps:wsp>
                  </a:graphicData>
                </a:graphic>
              </wp:anchor>
            </w:drawing>
          </mc:Choice>
          <mc:Fallback>
            <w:pict>
              <v:shape id="_x0000_s1026" o:spid="_x0000_s1026" o:spt="202" type="#_x0000_t202" style="position:absolute;left:0pt;margin-left:-61636.65pt;margin-top:542.9pt;height:15.6pt;width:54pt;z-index:251664384;mso-width-relative:page;mso-height-relative:page;" fillcolor="#FFFFFF" filled="t" stroked="t" coordsize="21600,21600" o:gfxdata="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wd&#10;EGvfAAAAFQEAAA8AAAAAAAAAAQAgAAAAIgAAAGRycy9kb3ducmV2LnhtbFBLAQIUABQAAAAIAIdO&#10;4kDiSuRcHAIAAFsEAAAOAAAAAAAAAAEAIAAAAC4BAABkcnMvZTJvRG9jLnhtbFBLBQYAAAAABgAG&#10;AFkBAAC8BQAAAAA=&#10;">
                <v:fill on="t" focussize="0,0"/>
                <v:stroke color="#000000" joinstyle="miter"/>
                <v:imagedata o:title=""/>
                <o:lock v:ext="edit" aspectratio="f"/>
                <v:textbox inset="0mm,0mm,0mm,0mm">
                  <w:txbxContent>
                    <w:p w14:paraId="3F12B02F">
                      <w:pPr>
                        <w:jc w:val="center"/>
                        <w:rPr>
                          <w:rFonts w:hint="eastAsia"/>
                        </w:rPr>
                      </w:pPr>
                      <w:r>
                        <w:rPr>
                          <w:rFonts w:hint="eastAsia"/>
                        </w:rPr>
                        <w:t>预处理</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-783356955</wp:posOffset>
                </wp:positionH>
                <wp:positionV relativeFrom="paragraph">
                  <wp:posOffset>6399530</wp:posOffset>
                </wp:positionV>
                <wp:extent cx="2286000" cy="0"/>
                <wp:effectExtent l="0" t="25400" r="0" b="35560"/>
                <wp:wrapNone/>
                <wp:docPr id="26" name="直接连接符 26"/>
                <wp:cNvGraphicFramePr/>
                <a:graphic xmlns:a="http://schemas.openxmlformats.org/drawingml/2006/main">
                  <a:graphicData uri="http://schemas.microsoft.com/office/word/2010/wordprocessingShape">
                    <wps:wsp>
                      <wps:cNvCnPr/>
                      <wps:spPr>
                        <a:xfrm>
                          <a:off x="0" y="0"/>
                          <a:ext cx="2286000" cy="0"/>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_x0000_s1026" o:spid="_x0000_s1026" o:spt="20" style="position:absolute;left:0pt;margin-left:-61681.65pt;margin-top:503.9pt;height:0pt;width:180pt;z-index:251663360;mso-width-relative:page;mso-height-relative:page;" filled="f" stroked="t" coordsize="21600,21600" o:gfxdata="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wtv1t0AAAAVAQAADwAAAAAAAAABACAAAAAiAAAAZHJz&#10;L2Rvd25yZXYueG1sUEsBAhQAFAAAAAgAh07iQJ1jfcz/AQAA6QMAAA4AAAAAAAAAAQAgAAAALAEA&#10;AGRycy9lMm9Eb2MueG1sUEsFBgAAAAAGAAYAWQEAAJ0FAAAAAA==&#10;">
                <v:fill on="f" focussize="0,0"/>
                <v:stroke color="#000000" joinstyle="round" endarrow="block" endarrowwidth="narrow"/>
                <v:imagedata o:title=""/>
                <o:lock v:ext="edit" aspectratio="f"/>
              </v:lin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-784042755</wp:posOffset>
                </wp:positionH>
                <wp:positionV relativeFrom="paragraph">
                  <wp:posOffset>7489190</wp:posOffset>
                </wp:positionV>
                <wp:extent cx="685800" cy="198120"/>
                <wp:effectExtent l="4445" t="4445" r="10795" b="10795"/>
                <wp:wrapNone/>
                <wp:docPr id="27" name="文本框 27"/>
                <wp:cNvGraphicFramePr/>
                <a:graphic xmlns:a="http://schemas.openxmlformats.org/drawingml/2006/main">
                  <a:graphicData uri="http://schemas.microsoft.com/office/word/2010/wordprocessingShape">
                    <wps:wsp>
                      <wps:cNvSpPr txBox="1"/>
                      <wps:spPr>
                        <a:xfrm>
                          <a:off x="0" y="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5FC38D">
                            <w:pPr>
                              <w:jc w:val="center"/>
                              <w:rPr>
                                <w:rFonts w:hint="eastAsia"/>
                              </w:rPr>
                            </w:pPr>
                            <w:r>
                              <w:rPr>
                                <w:rFonts w:hint="eastAsia"/>
                              </w:rPr>
                              <w:t>道路洒水</w:t>
                            </w:r>
                          </w:p>
                        </w:txbxContent>
                      </wps:txbx>
                      <wps:bodyPr lIns="0" tIns="0" rIns="0" bIns="0" upright="1"/>
                    </wps:wsp>
                  </a:graphicData>
                </a:graphic>
              </wp:anchor>
            </w:drawing>
          </mc:Choice>
          <mc:Fallback>
            <w:pict>
              <v:shape id="_x0000_s1026" o:spid="_x0000_s1026" o:spt="202" type="#_x0000_t202" style="position:absolute;left:0pt;margin-left:-61735.65pt;margin-top:589.7pt;height:15.6pt;width:54pt;z-index:251662336;mso-width-relative:page;mso-height-relative:page;" fillcolor="#FFFFFF" filled="t" stroked="t" coordsize="21600,21600" o:gfxdata="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KZ&#10;bSPfAAAAFQEAAA8AAAAAAAAAAQAgAAAAIgAAAGRycy9kb3ducmV2LnhtbFBLAQIUABQAAAAIAIdO&#10;4kBBQBO0HAIAAFsEAAAOAAAAAAAAAAEAIAAAAC4BAABkcnMvZTJvRG9jLnhtbFBLBQYAAAAABgAG&#10;AFkBAAC8BQAAAAA=&#10;">
                <v:fill on="t" focussize="0,0"/>
                <v:stroke color="#000000" joinstyle="miter"/>
                <v:imagedata o:title=""/>
                <o:lock v:ext="edit" aspectratio="f"/>
                <v:textbox inset="0mm,0mm,0mm,0mm">
                  <w:txbxContent>
                    <w:p w14:paraId="625FC38D">
                      <w:pPr>
                        <w:jc w:val="center"/>
                        <w:rPr>
                          <w:rFonts w:hint="eastAsia"/>
                        </w:rPr>
                      </w:pPr>
                      <w:r>
                        <w:rPr>
                          <w:rFonts w:hint="eastAsia"/>
                        </w:rPr>
                        <w:t>道路洒水</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-784042755</wp:posOffset>
                </wp:positionH>
                <wp:positionV relativeFrom="paragraph">
                  <wp:posOffset>6894830</wp:posOffset>
                </wp:positionV>
                <wp:extent cx="685800" cy="198120"/>
                <wp:effectExtent l="4445" t="4445" r="10795" b="10795"/>
                <wp:wrapNone/>
                <wp:docPr id="24" name="文本框 24"/>
                <wp:cNvGraphicFramePr/>
                <a:graphic xmlns:a="http://schemas.openxmlformats.org/drawingml/2006/main">
                  <a:graphicData uri="http://schemas.microsoft.com/office/word/2010/wordprocessingShape">
                    <wps:wsp>
                      <wps:cNvSpPr txBox="1"/>
                      <wps:spPr>
                        <a:xfrm>
                          <a:off x="0" y="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8CB65C">
                            <w:pPr>
                              <w:jc w:val="center"/>
                              <w:rPr>
                                <w:rFonts w:hint="eastAsia"/>
                              </w:rPr>
                            </w:pPr>
                            <w:r>
                              <w:rPr>
                                <w:rFonts w:hint="eastAsia"/>
                              </w:rPr>
                              <w:t>除漆用水</w:t>
                            </w:r>
                          </w:p>
                        </w:txbxContent>
                      </wps:txbx>
                      <wps:bodyPr lIns="0" tIns="0" rIns="0" bIns="0" upright="1"/>
                    </wps:wsp>
                  </a:graphicData>
                </a:graphic>
              </wp:anchor>
            </w:drawing>
          </mc:Choice>
          <mc:Fallback>
            <w:pict>
              <v:shape id="_x0000_s1026" o:spid="_x0000_s1026" o:spt="202" type="#_x0000_t202" style="position:absolute;left:0pt;margin-left:-61735.65pt;margin-top:542.9pt;height:15.6pt;width:54pt;z-index:251661312;mso-width-relative:page;mso-height-relative:page;" fillcolor="#FFFFFF" filled="t" stroked="t" coordsize="21600,21600" o:gfxdata="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uQ&#10;L+vfAAAAFQEAAA8AAAAAAAAAAQAgAAAAIgAAAGRycy9kb3ducmV2LnhtbFBLAQIUABQAAAAIAIdO&#10;4kDD4GqMHAIAAFsEAAAOAAAAAAAAAAEAIAAAAC4BAABkcnMvZTJvRG9jLnhtbFBLBQYAAAAABgAG&#10;AFkBAAC8BQAAAAA=&#10;">
                <v:fill on="t" focussize="0,0"/>
                <v:stroke color="#000000" joinstyle="miter"/>
                <v:imagedata o:title=""/>
                <o:lock v:ext="edit" aspectratio="f"/>
                <v:textbox inset="0mm,0mm,0mm,0mm">
                  <w:txbxContent>
                    <w:p w14:paraId="5A8CB65C">
                      <w:pPr>
                        <w:jc w:val="center"/>
                        <w:rPr>
                          <w:rFonts w:hint="eastAsia"/>
                        </w:rPr>
                      </w:pPr>
                      <w:r>
                        <w:rPr>
                          <w:rFonts w:hint="eastAsia"/>
                        </w:rPr>
                        <w:t>除漆用水</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-784042755</wp:posOffset>
                </wp:positionH>
                <wp:positionV relativeFrom="paragraph">
                  <wp:posOffset>6300470</wp:posOffset>
                </wp:positionV>
                <wp:extent cx="685800" cy="198120"/>
                <wp:effectExtent l="4445" t="4445" r="10795" b="10795"/>
                <wp:wrapNone/>
                <wp:docPr id="25" name="文本框 25"/>
                <wp:cNvGraphicFramePr/>
                <a:graphic xmlns:a="http://schemas.openxmlformats.org/drawingml/2006/main">
                  <a:graphicData uri="http://schemas.microsoft.com/office/word/2010/wordprocessingShape">
                    <wps:wsp>
                      <wps:cNvSpPr txBox="1"/>
                      <wps:spPr>
                        <a:xfrm>
                          <a:off x="0" y="0"/>
                          <a:ext cx="6858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6E4519">
                            <w:pPr>
                              <w:jc w:val="center"/>
                              <w:rPr>
                                <w:rFonts w:hint="eastAsia"/>
                              </w:rPr>
                            </w:pPr>
                            <w:r>
                              <w:rPr>
                                <w:rFonts w:hint="eastAsia"/>
                              </w:rPr>
                              <w:t>清洗用水</w:t>
                            </w:r>
                          </w:p>
                        </w:txbxContent>
                      </wps:txbx>
                      <wps:bodyPr lIns="0" tIns="0" rIns="0" bIns="0" upright="1"/>
                    </wps:wsp>
                  </a:graphicData>
                </a:graphic>
              </wp:anchor>
            </w:drawing>
          </mc:Choice>
          <mc:Fallback>
            <w:pict>
              <v:shape id="_x0000_s1026" o:spid="_x0000_s1026" o:spt="202" type="#_x0000_t202" style="position:absolute;left:0pt;margin-left:-61735.65pt;margin-top:496.1pt;height:15.6pt;width:54pt;z-index:251660288;mso-width-relative:page;mso-height-relative:page;" fillcolor="#FFFFFF" filled="t" stroked="t" coordsize="21600,21600" o:gfxdata="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KY4N&#10;3wAAABQBAAAPAAAAAAAAAAEAIAAAACIAAABkcnMvZG93bnJldi54bWxQSwECFAAUAAAACACHTuJA&#10;vYC9mxoCAABbBAAADgAAAAAAAAABACAAAAAuAQAAZHJzL2Uyb0RvYy54bWxQSwUGAAAAAAYABgBZ&#10;AQAAugUAAAAA&#10;">
                <v:fill on="t" focussize="0,0"/>
                <v:stroke color="#000000" joinstyle="miter"/>
                <v:imagedata o:title=""/>
                <o:lock v:ext="edit" aspectratio="f"/>
                <v:textbox inset="0mm,0mm,0mm,0mm">
                  <w:txbxContent>
                    <w:p w14:paraId="7F6E4519">
                      <w:pPr>
                        <w:jc w:val="center"/>
                        <w:rPr>
                          <w:rFonts w:hint="eastAsia"/>
                        </w:rPr>
                      </w:pPr>
                      <w:r>
                        <w:rPr>
                          <w:rFonts w:hint="eastAsia"/>
                        </w:rPr>
                        <w:t>清洗用水</w:t>
                      </w:r>
                    </w:p>
                  </w:txbxContent>
                </v:textbox>
              </v:shape>
            </w:pict>
          </mc:Fallback>
        </mc:AlternateContent>
      </w:r>
      <w:r>
        <w:rPr>
          <w:rFonts w:ascii="宋体" w:hAnsi="宋体" w:eastAsia="宋体" w:cs="宋体"/>
          <w:spacing w:val="-2"/>
          <w:sz w:val="24"/>
          <w:szCs w:val="24"/>
          <w:highlight w:val="none"/>
        </w:rPr>
        <mc:AlternateContent>
          <mc:Choice Requires="wps">
            <w:drawing>
              <wp:anchor distT="0" distB="0" distL="114300" distR="114300" simplePos="0" relativeHeight="251681792" behindDoc="0" locked="0" layoutInCell="1" allowOverlap="1">
                <wp:simplePos x="0" y="0"/>
                <wp:positionH relativeFrom="column">
                  <wp:posOffset>-781528155</wp:posOffset>
                </wp:positionH>
                <wp:positionV relativeFrom="paragraph">
                  <wp:posOffset>6003290</wp:posOffset>
                </wp:positionV>
                <wp:extent cx="342900" cy="198120"/>
                <wp:effectExtent l="0" t="0" r="7620" b="0"/>
                <wp:wrapNone/>
                <wp:docPr id="28" name="文本框 28"/>
                <wp:cNvGraphicFramePr/>
                <a:graphic xmlns:a="http://schemas.openxmlformats.org/drawingml/2006/main">
                  <a:graphicData uri="http://schemas.microsoft.com/office/word/2010/wordprocessingShape">
                    <wps:wsp>
                      <wps:cNvSpPr txBox="1"/>
                      <wps:spPr>
                        <a:xfrm>
                          <a:off x="0" y="0"/>
                          <a:ext cx="342900" cy="198120"/>
                        </a:xfrm>
                        <a:prstGeom prst="rect">
                          <a:avLst/>
                        </a:prstGeom>
                        <a:solidFill>
                          <a:srgbClr val="FFFFFF"/>
                        </a:solidFill>
                        <a:ln>
                          <a:noFill/>
                        </a:ln>
                      </wps:spPr>
                      <wps:txbx>
                        <w:txbxContent>
                          <w:p w14:paraId="35D98572">
                            <w:pPr>
                              <w:jc w:val="center"/>
                              <w:rPr>
                                <w:rFonts w:hint="eastAsia"/>
                              </w:rPr>
                            </w:pPr>
                            <w:r>
                              <w:rPr>
                                <w:rFonts w:hint="eastAsia"/>
                              </w:rPr>
                              <w:t>31</w:t>
                            </w:r>
                          </w:p>
                        </w:txbxContent>
                      </wps:txbx>
                      <wps:bodyPr lIns="0" tIns="0" rIns="0" bIns="0" upright="1"/>
                    </wps:wsp>
                  </a:graphicData>
                </a:graphic>
              </wp:anchor>
            </w:drawing>
          </mc:Choice>
          <mc:Fallback>
            <w:pict>
              <v:shape id="_x0000_s1026" o:spid="_x0000_s1026" o:spt="202" type="#_x0000_t202" style="position:absolute;left:0pt;margin-left:-61537.65pt;margin-top:472.7pt;height:15.6pt;width:27pt;z-index:251681792;mso-width-relative:page;mso-height-relative:page;" fillcolor="#FFFFFF" filled="t" stroked="f" coordsize="21600,21600" o:gfxdata="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kB03fAAAAEwEAAA8AAAAAAAAA&#10;AQAgAAAAIgAAAGRycy9kb3ducmV2LnhtbFBLAQIUABQAAAAIAIdO4kBiIp4H0QEAAJwDAAAOAAAA&#10;AAAAAAEAIAAAAC4BAABkcnMvZTJvRG9jLnhtbFBLBQYAAAAABgAGAFkBAABxBQAAAAA=&#10;">
                <v:fill on="t" focussize="0,0"/>
                <v:stroke on="f"/>
                <v:imagedata o:title=""/>
                <o:lock v:ext="edit" aspectratio="f"/>
                <v:textbox inset="0mm,0mm,0mm,0mm">
                  <w:txbxContent>
                    <w:p w14:paraId="35D98572">
                      <w:pPr>
                        <w:jc w:val="center"/>
                        <w:rPr>
                          <w:rFonts w:hint="eastAsia"/>
                        </w:rPr>
                      </w:pPr>
                      <w:r>
                        <w:rPr>
                          <w:rFonts w:hint="eastAsia"/>
                        </w:rPr>
                        <w:t>31</w:t>
                      </w:r>
                    </w:p>
                  </w:txbxContent>
                </v:textbox>
              </v:shape>
            </w:pict>
          </mc:Fallback>
        </mc:AlternateContent>
      </w: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rPr>
        <w:t>原辅材料</w:t>
      </w:r>
      <w:r>
        <w:rPr>
          <w:rFonts w:hint="eastAsia" w:ascii="宋体" w:hAnsi="宋体" w:eastAsia="宋体" w:cs="宋体"/>
          <w:spacing w:val="-2"/>
          <w:sz w:val="24"/>
          <w:szCs w:val="24"/>
          <w:highlight w:val="none"/>
          <w:lang w:val="en-US" w:eastAsia="zh-CN"/>
        </w:rPr>
        <w:t>和</w:t>
      </w:r>
      <w:r>
        <w:rPr>
          <w:rFonts w:hint="eastAsia" w:ascii="宋体" w:hAnsi="宋体" w:eastAsia="宋体" w:cs="宋体"/>
          <w:spacing w:val="-2"/>
          <w:sz w:val="24"/>
          <w:szCs w:val="24"/>
          <w:highlight w:val="none"/>
        </w:rPr>
        <w:t>成品</w:t>
      </w:r>
      <w:r>
        <w:rPr>
          <w:rFonts w:hint="eastAsia" w:ascii="宋体" w:hAnsi="宋体" w:eastAsia="宋体" w:cs="宋体"/>
          <w:spacing w:val="-2"/>
          <w:sz w:val="24"/>
          <w:szCs w:val="24"/>
          <w:highlight w:val="none"/>
          <w:lang w:val="en-US" w:eastAsia="zh-CN"/>
        </w:rPr>
        <w:t>均敞开式存放，存放区域位于厂房中部</w:t>
      </w:r>
      <w:r>
        <w:rPr>
          <w:rFonts w:hint="eastAsia" w:ascii="宋体" w:hAnsi="宋体" w:eastAsia="宋体" w:cs="宋体"/>
          <w:spacing w:val="-2"/>
          <w:sz w:val="24"/>
          <w:szCs w:val="24"/>
          <w:highlight w:val="none"/>
        </w:rPr>
        <w:t>。</w:t>
      </w:r>
    </w:p>
    <w:p w14:paraId="680B7A25">
      <w:pPr>
        <w:spacing w:before="1" w:line="360" w:lineRule="auto"/>
        <w:ind w:left="4" w:firstLine="481"/>
        <w:rPr>
          <w:rFonts w:ascii="Times New Roman" w:hAnsi="Times New Roman" w:cs="Times New Roman"/>
          <w:color w:val="auto"/>
          <w:highlight w:val="none"/>
          <w:u w:val="none"/>
        </w:rPr>
      </w:pPr>
      <w:r>
        <w:rPr>
          <w:rFonts w:ascii="宋体" w:hAnsi="宋体" w:eastAsia="宋体" w:cs="宋体"/>
          <w:spacing w:val="-2"/>
          <w:sz w:val="24"/>
          <w:szCs w:val="24"/>
          <w:highlight w:val="none"/>
        </w:rPr>
        <w:t>拟建项目原辅材料及产品运输均采用汽车运输，依托社会运输力量。</w:t>
      </w:r>
    </w:p>
    <w:bookmarkEnd w:id="99"/>
    <w:p w14:paraId="01FDCEA0">
      <w:pPr>
        <w:pStyle w:val="6"/>
        <w:bidi w:val="0"/>
        <w:rPr>
          <w:rFonts w:hint="eastAsia"/>
          <w:highlight w:val="none"/>
        </w:rPr>
      </w:pPr>
      <w:bookmarkStart w:id="100" w:name="_Toc12739"/>
      <w:bookmarkStart w:id="101" w:name="_Toc488833070"/>
      <w:r>
        <w:rPr>
          <w:rFonts w:hint="eastAsia"/>
          <w:highlight w:val="none"/>
        </w:rPr>
        <w:t>3.</w:t>
      </w:r>
      <w:r>
        <w:rPr>
          <w:rFonts w:hint="eastAsia"/>
          <w:highlight w:val="none"/>
          <w:lang w:val="en-US" w:eastAsia="zh-CN"/>
        </w:rPr>
        <w:t>9</w:t>
      </w:r>
      <w:r>
        <w:rPr>
          <w:rFonts w:hint="eastAsia"/>
          <w:highlight w:val="none"/>
        </w:rPr>
        <w:t>平面布置</w:t>
      </w:r>
      <w:bookmarkEnd w:id="100"/>
      <w:bookmarkEnd w:id="101"/>
    </w:p>
    <w:p w14:paraId="02348329">
      <w:pPr>
        <w:spacing w:before="1" w:line="360" w:lineRule="auto"/>
        <w:ind w:left="4" w:firstLine="481"/>
        <w:rPr>
          <w:rFonts w:hint="eastAsia" w:ascii="宋体" w:hAnsi="宋体" w:eastAsia="宋体" w:cs="宋体"/>
          <w:spacing w:val="-2"/>
          <w:sz w:val="24"/>
          <w:szCs w:val="24"/>
          <w:highlight w:val="none"/>
        </w:rPr>
      </w:pPr>
      <w:r>
        <w:rPr>
          <w:rFonts w:ascii="宋体" w:hAnsi="宋体" w:eastAsia="宋体" w:cs="宋体"/>
          <w:spacing w:val="-2"/>
          <w:sz w:val="24"/>
          <w:szCs w:val="24"/>
          <w:highlight w:val="none"/>
        </w:rPr>
        <w:t>本项目</w:t>
      </w:r>
      <w:r>
        <w:rPr>
          <w:rFonts w:hint="eastAsia" w:ascii="宋体" w:hAnsi="宋体" w:eastAsia="宋体" w:cs="宋体"/>
          <w:spacing w:val="-2"/>
          <w:sz w:val="24"/>
          <w:szCs w:val="24"/>
          <w:highlight w:val="none"/>
          <w:lang w:val="en-US" w:eastAsia="zh-CN"/>
        </w:rPr>
        <w:t>租赁厂房为2层，1层</w:t>
      </w:r>
      <w:r>
        <w:rPr>
          <w:rFonts w:ascii="宋体" w:hAnsi="宋体" w:eastAsia="宋体" w:cs="宋体"/>
          <w:spacing w:val="-2"/>
          <w:sz w:val="24"/>
          <w:szCs w:val="24"/>
          <w:highlight w:val="none"/>
        </w:rPr>
        <w:t>主要</w:t>
      </w:r>
      <w:r>
        <w:rPr>
          <w:rFonts w:hint="eastAsia" w:ascii="宋体" w:hAnsi="宋体" w:eastAsia="宋体" w:cs="宋体"/>
          <w:spacing w:val="-2"/>
          <w:sz w:val="24"/>
          <w:szCs w:val="24"/>
          <w:highlight w:val="none"/>
        </w:rPr>
        <w:t>分为原料</w:t>
      </w:r>
      <w:r>
        <w:rPr>
          <w:rFonts w:hint="eastAsia" w:ascii="宋体" w:hAnsi="宋体" w:eastAsia="宋体" w:cs="宋体"/>
          <w:spacing w:val="-2"/>
          <w:sz w:val="24"/>
          <w:szCs w:val="24"/>
          <w:highlight w:val="none"/>
          <w:lang w:val="en-US" w:eastAsia="zh-CN"/>
        </w:rPr>
        <w:t>存放</w:t>
      </w:r>
      <w:r>
        <w:rPr>
          <w:rFonts w:hint="eastAsia" w:ascii="宋体" w:hAnsi="宋体" w:eastAsia="宋体" w:cs="宋体"/>
          <w:spacing w:val="-2"/>
          <w:sz w:val="24"/>
          <w:szCs w:val="24"/>
          <w:highlight w:val="none"/>
        </w:rPr>
        <w:t>区、成品</w:t>
      </w:r>
      <w:r>
        <w:rPr>
          <w:rFonts w:hint="eastAsia" w:ascii="宋体" w:hAnsi="宋体" w:eastAsia="宋体" w:cs="宋体"/>
          <w:spacing w:val="-2"/>
          <w:sz w:val="24"/>
          <w:szCs w:val="24"/>
          <w:highlight w:val="none"/>
          <w:lang w:val="en-US" w:eastAsia="zh-CN"/>
        </w:rPr>
        <w:t>存放</w:t>
      </w:r>
      <w:r>
        <w:rPr>
          <w:rFonts w:hint="eastAsia" w:ascii="宋体" w:hAnsi="宋体" w:eastAsia="宋体" w:cs="宋体"/>
          <w:spacing w:val="-2"/>
          <w:sz w:val="24"/>
          <w:szCs w:val="24"/>
          <w:highlight w:val="none"/>
        </w:rPr>
        <w:t>区、生活办公区及生产线</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冷库、热料盘存放区、一般固废暂存间、危险废物暂存间。实验室位于厂房2层阁楼。</w:t>
      </w:r>
    </w:p>
    <w:p w14:paraId="2785FFCA">
      <w:pPr>
        <w:spacing w:before="1" w:line="360" w:lineRule="auto"/>
        <w:ind w:left="4" w:firstLine="481"/>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项目</w:t>
      </w:r>
      <w:r>
        <w:rPr>
          <w:rFonts w:hint="eastAsia" w:ascii="宋体" w:hAnsi="宋体" w:eastAsia="宋体" w:cs="宋体"/>
          <w:spacing w:val="-2"/>
          <w:sz w:val="24"/>
          <w:szCs w:val="24"/>
          <w:highlight w:val="none"/>
          <w:lang w:val="en-US" w:eastAsia="zh-CN"/>
        </w:rPr>
        <w:t>1层北侧西边为办公区，靠近平坡出入口；</w:t>
      </w:r>
      <w:r>
        <w:rPr>
          <w:rFonts w:hint="eastAsia" w:ascii="宋体" w:hAnsi="宋体" w:eastAsia="宋体" w:cs="宋体"/>
          <w:spacing w:val="-2"/>
          <w:sz w:val="24"/>
          <w:szCs w:val="24"/>
          <w:highlight w:val="none"/>
        </w:rPr>
        <w:t>项目</w:t>
      </w:r>
      <w:r>
        <w:rPr>
          <w:rFonts w:hint="eastAsia" w:ascii="宋体" w:hAnsi="宋体" w:eastAsia="宋体" w:cs="宋体"/>
          <w:spacing w:val="-2"/>
          <w:sz w:val="24"/>
          <w:szCs w:val="24"/>
          <w:highlight w:val="none"/>
          <w:lang w:val="en-US" w:eastAsia="zh-CN"/>
        </w:rPr>
        <w:t>1层北侧东边为冷库1（存放间）、冷库2打粉间、热料盘存放区（</w:t>
      </w:r>
      <w:r>
        <w:rPr>
          <w:rFonts w:hint="eastAsia" w:ascii="宋体" w:hAnsi="宋体" w:eastAsia="宋体" w:cs="宋体"/>
          <w:spacing w:val="-2"/>
          <w:sz w:val="24"/>
          <w:szCs w:val="24"/>
          <w:highlight w:val="none"/>
        </w:rPr>
        <w:t>靠近</w:t>
      </w:r>
      <w:r>
        <w:rPr>
          <w:rFonts w:hint="eastAsia" w:ascii="宋体" w:hAnsi="宋体" w:eastAsia="宋体" w:cs="宋体"/>
          <w:spacing w:val="-2"/>
          <w:sz w:val="24"/>
          <w:szCs w:val="24"/>
          <w:highlight w:val="none"/>
          <w:lang w:val="en-US" w:eastAsia="zh-CN"/>
        </w:rPr>
        <w:t>固体助剂</w:t>
      </w:r>
      <w:r>
        <w:rPr>
          <w:rFonts w:hint="eastAsia" w:ascii="宋体" w:hAnsi="宋体" w:eastAsia="宋体" w:cs="宋体"/>
          <w:spacing w:val="-2"/>
          <w:sz w:val="24"/>
          <w:szCs w:val="24"/>
          <w:highlight w:val="none"/>
        </w:rPr>
        <w:t>生产车间</w:t>
      </w:r>
      <w:r>
        <w:rPr>
          <w:rFonts w:hint="eastAsia" w:ascii="宋体" w:hAnsi="宋体" w:eastAsia="宋体" w:cs="宋体"/>
          <w:spacing w:val="-2"/>
          <w:sz w:val="24"/>
          <w:szCs w:val="24"/>
          <w:highlight w:val="none"/>
          <w:lang w:val="en-US" w:eastAsia="zh-CN"/>
        </w:rPr>
        <w:t>）</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方便生产管理</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原料</w:t>
      </w:r>
      <w:r>
        <w:rPr>
          <w:rFonts w:hint="eastAsia" w:ascii="宋体" w:hAnsi="宋体" w:eastAsia="宋体" w:cs="宋体"/>
          <w:spacing w:val="-2"/>
          <w:sz w:val="24"/>
          <w:szCs w:val="24"/>
          <w:highlight w:val="none"/>
          <w:lang w:val="en-US" w:eastAsia="zh-CN"/>
        </w:rPr>
        <w:t>存放</w:t>
      </w:r>
      <w:r>
        <w:rPr>
          <w:rFonts w:hint="eastAsia" w:ascii="宋体" w:hAnsi="宋体" w:eastAsia="宋体" w:cs="宋体"/>
          <w:spacing w:val="-2"/>
          <w:sz w:val="24"/>
          <w:szCs w:val="24"/>
          <w:highlight w:val="none"/>
        </w:rPr>
        <w:t>区</w:t>
      </w:r>
      <w:r>
        <w:rPr>
          <w:rFonts w:hint="eastAsia" w:ascii="宋体" w:hAnsi="宋体" w:eastAsia="宋体" w:cs="宋体"/>
          <w:spacing w:val="-2"/>
          <w:sz w:val="24"/>
          <w:szCs w:val="24"/>
          <w:highlight w:val="none"/>
          <w:lang w:val="en-US" w:eastAsia="zh-CN"/>
        </w:rPr>
        <w:t>和</w:t>
      </w:r>
      <w:r>
        <w:rPr>
          <w:rFonts w:hint="eastAsia" w:ascii="宋体" w:hAnsi="宋体" w:eastAsia="宋体" w:cs="宋体"/>
          <w:spacing w:val="-2"/>
          <w:sz w:val="24"/>
          <w:szCs w:val="24"/>
          <w:highlight w:val="none"/>
        </w:rPr>
        <w:t>成品</w:t>
      </w:r>
      <w:r>
        <w:rPr>
          <w:rFonts w:hint="eastAsia" w:ascii="宋体" w:hAnsi="宋体" w:eastAsia="宋体" w:cs="宋体"/>
          <w:spacing w:val="-2"/>
          <w:sz w:val="24"/>
          <w:szCs w:val="24"/>
          <w:highlight w:val="none"/>
          <w:lang w:val="en-US" w:eastAsia="zh-CN"/>
        </w:rPr>
        <w:t>存放区</w:t>
      </w:r>
      <w:r>
        <w:rPr>
          <w:rFonts w:hint="eastAsia" w:ascii="宋体" w:hAnsi="宋体" w:eastAsia="宋体" w:cs="宋体"/>
          <w:spacing w:val="-2"/>
          <w:sz w:val="24"/>
          <w:szCs w:val="24"/>
          <w:highlight w:val="none"/>
        </w:rPr>
        <w:t>位于</w:t>
      </w:r>
      <w:r>
        <w:rPr>
          <w:rFonts w:hint="eastAsia" w:ascii="宋体" w:hAnsi="宋体" w:eastAsia="宋体" w:cs="宋体"/>
          <w:spacing w:val="-2"/>
          <w:sz w:val="24"/>
          <w:szCs w:val="24"/>
          <w:highlight w:val="none"/>
          <w:lang w:val="en-US" w:eastAsia="zh-CN"/>
        </w:rPr>
        <w:t>厂房1层中部</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厨房</w:t>
      </w:r>
      <w:r>
        <w:rPr>
          <w:rFonts w:hint="eastAsia" w:ascii="宋体" w:hAnsi="宋体" w:eastAsia="宋体" w:cs="宋体"/>
          <w:spacing w:val="-2"/>
          <w:sz w:val="24"/>
          <w:szCs w:val="24"/>
          <w:highlight w:val="none"/>
        </w:rPr>
        <w:t>设置在厂房</w:t>
      </w:r>
      <w:r>
        <w:rPr>
          <w:rFonts w:hint="eastAsia" w:ascii="宋体" w:hAnsi="宋体" w:eastAsia="宋体" w:cs="宋体"/>
          <w:spacing w:val="-2"/>
          <w:sz w:val="24"/>
          <w:szCs w:val="24"/>
          <w:highlight w:val="none"/>
          <w:lang w:val="en-US" w:eastAsia="zh-CN"/>
        </w:rPr>
        <w:t>1层</w:t>
      </w:r>
      <w:r>
        <w:rPr>
          <w:rFonts w:hint="eastAsia" w:ascii="宋体" w:hAnsi="宋体" w:eastAsia="宋体" w:cs="宋体"/>
          <w:spacing w:val="-2"/>
          <w:sz w:val="24"/>
          <w:szCs w:val="24"/>
          <w:highlight w:val="none"/>
        </w:rPr>
        <w:t>南侧，与生产区相互独立，食堂开门朝南</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靠近厂区南出入口</w:t>
      </w:r>
      <w:r>
        <w:rPr>
          <w:rFonts w:hint="eastAsia" w:ascii="宋体" w:hAnsi="宋体" w:eastAsia="宋体" w:cs="宋体"/>
          <w:spacing w:val="-2"/>
          <w:sz w:val="24"/>
          <w:szCs w:val="24"/>
          <w:highlight w:val="none"/>
        </w:rPr>
        <w:t>。</w:t>
      </w:r>
    </w:p>
    <w:p w14:paraId="38B1FEEB">
      <w:pPr>
        <w:spacing w:before="1" w:line="360" w:lineRule="auto"/>
        <w:ind w:left="4" w:firstLine="481"/>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项目</w:t>
      </w:r>
      <w:r>
        <w:rPr>
          <w:rFonts w:hint="eastAsia" w:ascii="宋体" w:hAnsi="宋体" w:eastAsia="宋体" w:cs="宋体"/>
          <w:spacing w:val="-2"/>
          <w:sz w:val="24"/>
          <w:szCs w:val="24"/>
          <w:highlight w:val="none"/>
          <w:lang w:val="en-US" w:eastAsia="zh-CN"/>
        </w:rPr>
        <w:t>1层</w:t>
      </w:r>
      <w:r>
        <w:rPr>
          <w:rFonts w:hint="eastAsia" w:ascii="宋体" w:hAnsi="宋体" w:eastAsia="宋体" w:cs="宋体"/>
          <w:spacing w:val="-2"/>
          <w:sz w:val="24"/>
          <w:szCs w:val="24"/>
          <w:highlight w:val="none"/>
        </w:rPr>
        <w:t>共设置</w:t>
      </w:r>
      <w:r>
        <w:rPr>
          <w:rFonts w:hint="eastAsia" w:ascii="宋体" w:hAnsi="宋体" w:eastAsia="宋体" w:cs="宋体"/>
          <w:spacing w:val="-2"/>
          <w:sz w:val="24"/>
          <w:szCs w:val="24"/>
          <w:highlight w:val="none"/>
          <w:lang w:val="en-US" w:eastAsia="zh-CN"/>
        </w:rPr>
        <w:t>5</w:t>
      </w:r>
      <w:r>
        <w:rPr>
          <w:rFonts w:hint="eastAsia" w:ascii="宋体" w:hAnsi="宋体" w:eastAsia="宋体" w:cs="宋体"/>
          <w:spacing w:val="-2"/>
          <w:sz w:val="24"/>
          <w:szCs w:val="24"/>
          <w:highlight w:val="none"/>
        </w:rPr>
        <w:t>条生产线</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1条酶制剂</w:t>
      </w:r>
      <w:r>
        <w:rPr>
          <w:rFonts w:hint="eastAsia" w:ascii="宋体" w:hAnsi="宋体" w:eastAsia="宋体" w:cs="宋体"/>
          <w:spacing w:val="-2"/>
          <w:sz w:val="24"/>
          <w:szCs w:val="24"/>
          <w:highlight w:val="none"/>
          <w:lang w:val="en-US" w:eastAsia="zh-CN"/>
        </w:rPr>
        <w:t>水剂</w:t>
      </w:r>
      <w:r>
        <w:rPr>
          <w:rFonts w:hint="eastAsia" w:ascii="宋体" w:hAnsi="宋体" w:eastAsia="宋体" w:cs="宋体"/>
          <w:spacing w:val="-2"/>
          <w:sz w:val="24"/>
          <w:szCs w:val="24"/>
          <w:highlight w:val="none"/>
        </w:rPr>
        <w:t>复配生产线</w:t>
      </w:r>
      <w:r>
        <w:rPr>
          <w:rFonts w:hint="eastAsia" w:ascii="宋体" w:hAnsi="宋体" w:eastAsia="宋体" w:cs="宋体"/>
          <w:b/>
          <w:bCs/>
          <w:spacing w:val="-2"/>
          <w:sz w:val="24"/>
          <w:szCs w:val="24"/>
          <w:highlight w:val="none"/>
          <w:lang w:val="en-US" w:eastAsia="zh-CN"/>
        </w:rPr>
        <w:t>1#</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 xml:space="preserve"> 产品为</w:t>
      </w:r>
      <w:r>
        <w:rPr>
          <w:rFonts w:hint="eastAsia" w:ascii="宋体" w:hAnsi="宋体" w:eastAsia="宋体" w:cs="宋体"/>
          <w:spacing w:val="-2"/>
          <w:sz w:val="24"/>
          <w:szCs w:val="24"/>
          <w:highlight w:val="none"/>
        </w:rPr>
        <w:t>酶制剂</w:t>
      </w:r>
      <w:r>
        <w:rPr>
          <w:rFonts w:hint="eastAsia" w:ascii="宋体" w:hAnsi="宋体" w:eastAsia="宋体" w:cs="宋体"/>
          <w:spacing w:val="-2"/>
          <w:sz w:val="24"/>
          <w:szCs w:val="24"/>
          <w:highlight w:val="none"/>
          <w:lang w:val="en-US" w:eastAsia="zh-CN"/>
        </w:rPr>
        <w:t>水剂）</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2条</w:t>
      </w:r>
      <w:r>
        <w:rPr>
          <w:rFonts w:hint="eastAsia" w:ascii="宋体" w:hAnsi="宋体" w:eastAsia="宋体" w:cs="宋体"/>
          <w:spacing w:val="-2"/>
          <w:sz w:val="24"/>
          <w:szCs w:val="24"/>
          <w:highlight w:val="none"/>
        </w:rPr>
        <w:t>配套助剂水剂复配生产线</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包括1条硅油生产线</w:t>
      </w:r>
      <w:r>
        <w:rPr>
          <w:rFonts w:hint="eastAsia" w:ascii="宋体" w:hAnsi="宋体" w:eastAsia="宋体" w:cs="宋体"/>
          <w:b/>
          <w:bCs/>
          <w:spacing w:val="-2"/>
          <w:sz w:val="24"/>
          <w:szCs w:val="24"/>
          <w:highlight w:val="none"/>
          <w:lang w:val="en-US" w:eastAsia="zh-CN"/>
        </w:rPr>
        <w:t>2#</w:t>
      </w:r>
      <w:r>
        <w:rPr>
          <w:rFonts w:hint="eastAsia" w:ascii="宋体" w:hAnsi="宋体" w:eastAsia="宋体" w:cs="宋体"/>
          <w:spacing w:val="-2"/>
          <w:sz w:val="24"/>
          <w:szCs w:val="24"/>
          <w:highlight w:val="none"/>
          <w:lang w:val="en-US" w:eastAsia="zh-CN"/>
        </w:rPr>
        <w:t>和1条防染剂生产线</w:t>
      </w:r>
      <w:r>
        <w:rPr>
          <w:rFonts w:hint="eastAsia" w:ascii="宋体" w:hAnsi="宋体" w:eastAsia="宋体" w:cs="宋体"/>
          <w:b/>
          <w:bCs/>
          <w:spacing w:val="-2"/>
          <w:sz w:val="24"/>
          <w:szCs w:val="24"/>
          <w:highlight w:val="none"/>
          <w:lang w:val="en-US" w:eastAsia="zh-CN"/>
        </w:rPr>
        <w:t>5#</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rPr>
        <w:t>，1条酶制剂粉剂</w:t>
      </w:r>
      <w:r>
        <w:rPr>
          <w:rFonts w:hint="eastAsia" w:ascii="宋体" w:hAnsi="宋体" w:eastAsia="宋体" w:cs="宋体"/>
          <w:spacing w:val="-2"/>
          <w:sz w:val="24"/>
          <w:szCs w:val="24"/>
          <w:highlight w:val="none"/>
          <w:lang w:val="en-US" w:eastAsia="zh-CN"/>
        </w:rPr>
        <w:t>及助剂粉剂</w:t>
      </w:r>
      <w:r>
        <w:rPr>
          <w:rFonts w:hint="eastAsia" w:ascii="宋体" w:hAnsi="宋体" w:eastAsia="宋体" w:cs="宋体"/>
          <w:spacing w:val="-2"/>
          <w:sz w:val="24"/>
          <w:szCs w:val="24"/>
          <w:highlight w:val="none"/>
        </w:rPr>
        <w:t>复配生产线</w:t>
      </w:r>
      <w:r>
        <w:rPr>
          <w:rFonts w:hint="eastAsia" w:ascii="宋体" w:hAnsi="宋体" w:eastAsia="宋体" w:cs="宋体"/>
          <w:b/>
          <w:bCs/>
          <w:spacing w:val="-2"/>
          <w:sz w:val="24"/>
          <w:szCs w:val="24"/>
          <w:highlight w:val="none"/>
          <w:lang w:val="en-US" w:eastAsia="zh-CN"/>
        </w:rPr>
        <w:t>3#</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产品为</w:t>
      </w:r>
      <w:r>
        <w:rPr>
          <w:rFonts w:hint="eastAsia" w:ascii="宋体" w:hAnsi="宋体" w:eastAsia="宋体" w:cs="宋体"/>
          <w:spacing w:val="-2"/>
          <w:sz w:val="24"/>
          <w:szCs w:val="24"/>
          <w:highlight w:val="none"/>
        </w:rPr>
        <w:t>酶制剂粉剂</w:t>
      </w:r>
      <w:r>
        <w:rPr>
          <w:rFonts w:hint="eastAsia" w:ascii="宋体" w:hAnsi="宋体" w:eastAsia="宋体" w:cs="宋体"/>
          <w:spacing w:val="-2"/>
          <w:sz w:val="24"/>
          <w:szCs w:val="24"/>
          <w:highlight w:val="none"/>
          <w:lang w:val="en-US" w:eastAsia="zh-CN"/>
        </w:rPr>
        <w:t>和防染粉2#）</w:t>
      </w:r>
      <w:r>
        <w:rPr>
          <w:rFonts w:hint="eastAsia" w:ascii="宋体" w:hAnsi="宋体" w:eastAsia="宋体" w:cs="宋体"/>
          <w:spacing w:val="-2"/>
          <w:sz w:val="24"/>
          <w:szCs w:val="24"/>
          <w:highlight w:val="none"/>
        </w:rPr>
        <w:t>，1条配套助剂粉剂复配生产线</w:t>
      </w:r>
      <w:r>
        <w:rPr>
          <w:rFonts w:hint="eastAsia" w:ascii="宋体" w:hAnsi="宋体" w:eastAsia="宋体" w:cs="宋体"/>
          <w:b/>
          <w:bCs/>
          <w:spacing w:val="-2"/>
          <w:sz w:val="24"/>
          <w:szCs w:val="24"/>
          <w:highlight w:val="none"/>
          <w:lang w:val="en-US" w:eastAsia="zh-CN"/>
        </w:rPr>
        <w:t>4#</w:t>
      </w:r>
      <w:r>
        <w:rPr>
          <w:rFonts w:hint="eastAsia" w:ascii="宋体" w:hAnsi="宋体" w:eastAsia="宋体" w:cs="宋体"/>
          <w:spacing w:val="-2"/>
          <w:sz w:val="24"/>
          <w:szCs w:val="24"/>
          <w:highlight w:val="none"/>
          <w:lang w:eastAsia="zh-CN"/>
        </w:rPr>
        <w:t>（</w:t>
      </w:r>
      <w:r>
        <w:rPr>
          <w:rFonts w:hint="eastAsia" w:ascii="宋体" w:hAnsi="宋体" w:eastAsia="宋体" w:cs="宋体"/>
          <w:spacing w:val="-2"/>
          <w:sz w:val="24"/>
          <w:szCs w:val="24"/>
          <w:highlight w:val="none"/>
          <w:lang w:val="en-US" w:eastAsia="zh-CN"/>
        </w:rPr>
        <w:t>产品为防染粉1#）</w:t>
      </w:r>
      <w:r>
        <w:rPr>
          <w:rFonts w:hint="eastAsia" w:ascii="宋体" w:hAnsi="宋体" w:eastAsia="宋体" w:cs="宋体"/>
          <w:spacing w:val="-2"/>
          <w:sz w:val="24"/>
          <w:szCs w:val="24"/>
          <w:highlight w:val="none"/>
        </w:rPr>
        <w:t>。</w:t>
      </w:r>
    </w:p>
    <w:p w14:paraId="4A460E42">
      <w:pPr>
        <w:spacing w:before="1" w:line="360" w:lineRule="auto"/>
        <w:ind w:left="4" w:firstLine="481"/>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val="en-US" w:eastAsia="zh-CN"/>
        </w:rPr>
        <w:t>其中</w:t>
      </w:r>
      <w:r>
        <w:rPr>
          <w:rFonts w:hint="eastAsia" w:ascii="宋体" w:hAnsi="宋体" w:eastAsia="宋体" w:cs="宋体"/>
          <w:spacing w:val="-2"/>
          <w:sz w:val="24"/>
          <w:szCs w:val="24"/>
          <w:highlight w:val="none"/>
        </w:rPr>
        <w:t>酶制剂</w:t>
      </w:r>
      <w:r>
        <w:rPr>
          <w:rFonts w:hint="eastAsia" w:ascii="宋体" w:hAnsi="宋体" w:eastAsia="宋体" w:cs="宋体"/>
          <w:spacing w:val="-2"/>
          <w:sz w:val="24"/>
          <w:szCs w:val="24"/>
          <w:highlight w:val="none"/>
          <w:lang w:val="en-US" w:eastAsia="zh-CN"/>
        </w:rPr>
        <w:t>水剂</w:t>
      </w:r>
      <w:r>
        <w:rPr>
          <w:rFonts w:hint="eastAsia" w:ascii="宋体" w:hAnsi="宋体" w:eastAsia="宋体" w:cs="宋体"/>
          <w:spacing w:val="-2"/>
          <w:sz w:val="24"/>
          <w:szCs w:val="24"/>
          <w:highlight w:val="none"/>
        </w:rPr>
        <w:t>复配生产线</w:t>
      </w:r>
      <w:r>
        <w:rPr>
          <w:rFonts w:hint="eastAsia" w:ascii="宋体" w:hAnsi="宋体" w:eastAsia="宋体" w:cs="宋体"/>
          <w:b/>
          <w:bCs/>
          <w:spacing w:val="-2"/>
          <w:sz w:val="24"/>
          <w:szCs w:val="24"/>
          <w:highlight w:val="none"/>
          <w:lang w:val="en-US" w:eastAsia="zh-CN"/>
        </w:rPr>
        <w:t>1#</w:t>
      </w:r>
      <w:r>
        <w:rPr>
          <w:rFonts w:hint="eastAsia" w:ascii="宋体" w:hAnsi="宋体" w:eastAsia="宋体" w:cs="宋体"/>
          <w:spacing w:val="-2"/>
          <w:sz w:val="24"/>
          <w:szCs w:val="24"/>
          <w:highlight w:val="none"/>
          <w:lang w:val="en-US" w:eastAsia="zh-CN"/>
        </w:rPr>
        <w:t>及硅油生产线</w:t>
      </w:r>
      <w:r>
        <w:rPr>
          <w:rFonts w:hint="eastAsia" w:ascii="宋体" w:hAnsi="宋体" w:eastAsia="宋体" w:cs="宋体"/>
          <w:b/>
          <w:bCs/>
          <w:spacing w:val="-2"/>
          <w:sz w:val="24"/>
          <w:szCs w:val="24"/>
          <w:highlight w:val="none"/>
          <w:lang w:val="en-US" w:eastAsia="zh-CN"/>
        </w:rPr>
        <w:t>2#</w:t>
      </w:r>
      <w:r>
        <w:rPr>
          <w:rFonts w:hint="eastAsia" w:ascii="宋体" w:hAnsi="宋体" w:eastAsia="宋体" w:cs="宋体"/>
          <w:spacing w:val="-2"/>
          <w:sz w:val="24"/>
          <w:szCs w:val="24"/>
          <w:highlight w:val="none"/>
          <w:lang w:val="en-US" w:eastAsia="zh-CN"/>
        </w:rPr>
        <w:t>位于液态产品复配车间</w:t>
      </w:r>
      <w:r>
        <w:rPr>
          <w:rFonts w:hint="eastAsia" w:ascii="Times New Roman" w:hAnsi="Times New Roman" w:eastAsia="宋体" w:cs="Times New Roman"/>
          <w:spacing w:val="-2"/>
          <w:sz w:val="24"/>
          <w:szCs w:val="24"/>
          <w:highlight w:val="none"/>
          <w:lang w:val="en-US" w:eastAsia="zh-CN"/>
        </w:rPr>
        <w:t>（</w:t>
      </w:r>
      <w:r>
        <w:rPr>
          <w:rFonts w:hint="default" w:ascii="Times New Roman" w:hAnsi="Times New Roman" w:eastAsia="宋体" w:cs="Times New Roman"/>
          <w:spacing w:val="-2"/>
          <w:sz w:val="24"/>
          <w:szCs w:val="24"/>
          <w:highlight w:val="none"/>
          <w:lang w:val="en-US" w:eastAsia="zh-CN"/>
        </w:rPr>
        <w:t>项目</w:t>
      </w:r>
      <w:r>
        <w:rPr>
          <w:rFonts w:hint="eastAsia" w:ascii="宋体" w:hAnsi="宋体" w:eastAsia="宋体" w:cs="宋体"/>
          <w:spacing w:val="-2"/>
          <w:sz w:val="24"/>
          <w:szCs w:val="24"/>
          <w:highlight w:val="none"/>
          <w:lang w:val="en-US" w:eastAsia="zh-CN"/>
        </w:rPr>
        <w:t>1层</w:t>
      </w:r>
      <w:r>
        <w:rPr>
          <w:rFonts w:hint="default" w:ascii="Times New Roman" w:hAnsi="Times New Roman" w:eastAsia="宋体" w:cs="Times New Roman"/>
          <w:spacing w:val="-2"/>
          <w:sz w:val="24"/>
          <w:szCs w:val="24"/>
          <w:highlight w:val="none"/>
          <w:lang w:val="en-US" w:eastAsia="zh-CN"/>
        </w:rPr>
        <w:t>西</w:t>
      </w:r>
      <w:r>
        <w:rPr>
          <w:rFonts w:hint="eastAsia" w:eastAsia="宋体" w:cs="Times New Roman"/>
          <w:spacing w:val="-2"/>
          <w:sz w:val="24"/>
          <w:szCs w:val="24"/>
          <w:highlight w:val="none"/>
          <w:lang w:val="en-US" w:eastAsia="zh-CN"/>
        </w:rPr>
        <w:t>侧</w:t>
      </w:r>
      <w:r>
        <w:rPr>
          <w:rFonts w:hint="eastAsia" w:ascii="Times New Roman" w:hAnsi="Times New Roman" w:eastAsia="宋体" w:cs="Times New Roman"/>
          <w:spacing w:val="-2"/>
          <w:sz w:val="24"/>
          <w:szCs w:val="24"/>
          <w:highlight w:val="none"/>
          <w:lang w:val="en-US" w:eastAsia="zh-CN"/>
        </w:rPr>
        <w:t>）</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挨着反渗透制水设备</w:t>
      </w:r>
      <w:r>
        <w:rPr>
          <w:rFonts w:hint="default" w:ascii="Times New Roman" w:hAnsi="Times New Roman" w:eastAsia="宋体" w:cs="Times New Roman"/>
          <w:spacing w:val="-2"/>
          <w:sz w:val="24"/>
          <w:szCs w:val="24"/>
          <w:highlight w:val="none"/>
          <w:lang w:val="en-US" w:eastAsia="zh-CN"/>
        </w:rPr>
        <w:t>方便产品加水</w:t>
      </w:r>
      <w:r>
        <w:rPr>
          <w:rFonts w:hint="eastAsia" w:ascii="Times New Roman" w:hAnsi="Times New Roman" w:eastAsia="宋体" w:cs="Times New Roman"/>
          <w:spacing w:val="-2"/>
          <w:sz w:val="24"/>
          <w:szCs w:val="24"/>
          <w:highlight w:val="none"/>
          <w:lang w:val="en-US" w:eastAsia="zh-CN"/>
        </w:rPr>
        <w:t>搅拌</w:t>
      </w:r>
      <w:r>
        <w:rPr>
          <w:rFonts w:hint="default" w:ascii="Times New Roman" w:hAnsi="Times New Roman" w:eastAsia="宋体" w:cs="Times New Roman"/>
          <w:spacing w:val="-2"/>
          <w:sz w:val="24"/>
          <w:szCs w:val="24"/>
          <w:highlight w:val="none"/>
          <w:lang w:val="en-US" w:eastAsia="zh-CN"/>
        </w:rPr>
        <w:t>；</w:t>
      </w:r>
      <w:r>
        <w:rPr>
          <w:rFonts w:hint="eastAsia" w:ascii="宋体" w:hAnsi="宋体" w:eastAsia="宋体" w:cs="宋体"/>
          <w:spacing w:val="-2"/>
          <w:sz w:val="24"/>
          <w:szCs w:val="24"/>
          <w:highlight w:val="none"/>
        </w:rPr>
        <w:t>酶制剂粉剂</w:t>
      </w:r>
      <w:r>
        <w:rPr>
          <w:rFonts w:hint="eastAsia" w:ascii="宋体" w:hAnsi="宋体" w:eastAsia="宋体" w:cs="宋体"/>
          <w:spacing w:val="-2"/>
          <w:sz w:val="24"/>
          <w:szCs w:val="24"/>
          <w:highlight w:val="none"/>
          <w:lang w:val="en-US" w:eastAsia="zh-CN"/>
        </w:rPr>
        <w:t>及助剂粉剂</w:t>
      </w:r>
      <w:r>
        <w:rPr>
          <w:rFonts w:hint="eastAsia" w:ascii="宋体" w:hAnsi="宋体" w:eastAsia="宋体" w:cs="宋体"/>
          <w:spacing w:val="-2"/>
          <w:sz w:val="24"/>
          <w:szCs w:val="24"/>
          <w:highlight w:val="none"/>
        </w:rPr>
        <w:t>复配生产线</w:t>
      </w:r>
      <w:r>
        <w:rPr>
          <w:rFonts w:hint="eastAsia" w:ascii="宋体" w:hAnsi="宋体" w:eastAsia="宋体" w:cs="宋体"/>
          <w:b/>
          <w:bCs/>
          <w:spacing w:val="-2"/>
          <w:sz w:val="24"/>
          <w:szCs w:val="24"/>
          <w:highlight w:val="none"/>
          <w:lang w:val="en-US" w:eastAsia="zh-CN"/>
        </w:rPr>
        <w:t>3#</w:t>
      </w:r>
      <w:r>
        <w:rPr>
          <w:rFonts w:hint="default" w:ascii="Times New Roman" w:hAnsi="Times New Roman" w:eastAsia="宋体" w:cs="Times New Roman"/>
          <w:spacing w:val="-2"/>
          <w:sz w:val="24"/>
          <w:szCs w:val="24"/>
          <w:highlight w:val="none"/>
          <w:lang w:val="en-US" w:eastAsia="zh-CN"/>
        </w:rPr>
        <w:t>位于粉剂复配车间</w:t>
      </w:r>
      <w:r>
        <w:rPr>
          <w:rFonts w:hint="eastAsia" w:ascii="Times New Roman" w:hAnsi="Times New Roman" w:eastAsia="宋体" w:cs="Times New Roman"/>
          <w:spacing w:val="-2"/>
          <w:sz w:val="24"/>
          <w:szCs w:val="24"/>
          <w:highlight w:val="none"/>
          <w:lang w:val="en-US" w:eastAsia="zh-CN"/>
        </w:rPr>
        <w:t>（</w:t>
      </w:r>
      <w:r>
        <w:rPr>
          <w:rFonts w:hint="default" w:ascii="Times New Roman" w:hAnsi="Times New Roman" w:eastAsia="宋体" w:cs="Times New Roman"/>
          <w:spacing w:val="-2"/>
          <w:sz w:val="24"/>
          <w:szCs w:val="24"/>
          <w:highlight w:val="none"/>
          <w:lang w:val="en-US" w:eastAsia="zh-CN"/>
        </w:rPr>
        <w:t>项目</w:t>
      </w:r>
      <w:r>
        <w:rPr>
          <w:rFonts w:hint="eastAsia" w:ascii="宋体" w:hAnsi="宋体" w:eastAsia="宋体" w:cs="宋体"/>
          <w:spacing w:val="-2"/>
          <w:sz w:val="24"/>
          <w:szCs w:val="24"/>
          <w:highlight w:val="none"/>
          <w:lang w:val="en-US" w:eastAsia="zh-CN"/>
        </w:rPr>
        <w:t>1层</w:t>
      </w:r>
      <w:r>
        <w:rPr>
          <w:rFonts w:hint="default" w:ascii="Times New Roman" w:hAnsi="Times New Roman" w:eastAsia="宋体" w:cs="Times New Roman"/>
          <w:spacing w:val="-2"/>
          <w:sz w:val="24"/>
          <w:szCs w:val="24"/>
          <w:highlight w:val="none"/>
          <w:lang w:val="en-US" w:eastAsia="zh-CN"/>
        </w:rPr>
        <w:t>西南</w:t>
      </w:r>
      <w:r>
        <w:rPr>
          <w:rFonts w:hint="eastAsia" w:eastAsia="宋体" w:cs="Times New Roman"/>
          <w:spacing w:val="-2"/>
          <w:sz w:val="24"/>
          <w:szCs w:val="24"/>
          <w:highlight w:val="none"/>
          <w:lang w:val="en-US" w:eastAsia="zh-CN"/>
        </w:rPr>
        <w:t>侧</w:t>
      </w:r>
      <w:r>
        <w:rPr>
          <w:rFonts w:hint="eastAsia" w:ascii="Times New Roman" w:hAnsi="Times New Roman" w:eastAsia="宋体" w:cs="Times New Roman"/>
          <w:spacing w:val="-2"/>
          <w:sz w:val="24"/>
          <w:szCs w:val="24"/>
          <w:highlight w:val="none"/>
          <w:lang w:val="en-US" w:eastAsia="zh-CN"/>
        </w:rPr>
        <w:t>）</w:t>
      </w:r>
      <w:r>
        <w:rPr>
          <w:rFonts w:hint="default" w:ascii="Times New Roman" w:hAnsi="Times New Roman" w:eastAsia="宋体" w:cs="Times New Roman"/>
          <w:spacing w:val="-2"/>
          <w:sz w:val="24"/>
          <w:szCs w:val="24"/>
          <w:highlight w:val="none"/>
          <w:lang w:val="en-US" w:eastAsia="zh-CN"/>
        </w:rPr>
        <w:t>。</w:t>
      </w:r>
      <w:r>
        <w:rPr>
          <w:rFonts w:hint="default" w:ascii="Times New Roman" w:hAnsi="Times New Roman" w:eastAsia="宋体" w:cs="Times New Roman"/>
          <w:spacing w:val="-2"/>
          <w:sz w:val="24"/>
          <w:szCs w:val="24"/>
          <w:highlight w:val="none"/>
        </w:rPr>
        <w:t>配套助剂粉剂复配生产线</w:t>
      </w:r>
      <w:r>
        <w:rPr>
          <w:rFonts w:hint="eastAsia" w:ascii="宋体" w:hAnsi="宋体" w:eastAsia="宋体" w:cs="宋体"/>
          <w:b/>
          <w:bCs/>
          <w:spacing w:val="-2"/>
          <w:sz w:val="24"/>
          <w:szCs w:val="24"/>
          <w:highlight w:val="none"/>
          <w:lang w:val="en-US" w:eastAsia="zh-CN"/>
        </w:rPr>
        <w:t>4#</w:t>
      </w:r>
      <w:r>
        <w:rPr>
          <w:rFonts w:hint="eastAsia" w:eastAsia="宋体" w:cs="Times New Roman"/>
          <w:spacing w:val="-2"/>
          <w:sz w:val="24"/>
          <w:szCs w:val="24"/>
          <w:highlight w:val="none"/>
          <w:lang w:val="en-US" w:eastAsia="zh-CN"/>
        </w:rPr>
        <w:t>和</w:t>
      </w:r>
      <w:r>
        <w:rPr>
          <w:rFonts w:hint="eastAsia" w:ascii="宋体" w:hAnsi="宋体" w:eastAsia="宋体" w:cs="宋体"/>
          <w:spacing w:val="-2"/>
          <w:sz w:val="24"/>
          <w:szCs w:val="24"/>
          <w:highlight w:val="none"/>
          <w:lang w:val="en-US" w:eastAsia="zh-CN"/>
        </w:rPr>
        <w:t>防染剂生产线</w:t>
      </w:r>
      <w:r>
        <w:rPr>
          <w:rFonts w:hint="eastAsia" w:ascii="宋体" w:hAnsi="宋体" w:eastAsia="宋体" w:cs="宋体"/>
          <w:b/>
          <w:bCs/>
          <w:spacing w:val="-2"/>
          <w:sz w:val="24"/>
          <w:szCs w:val="24"/>
          <w:highlight w:val="none"/>
          <w:lang w:val="en-US" w:eastAsia="zh-CN"/>
        </w:rPr>
        <w:t>5#</w:t>
      </w:r>
      <w:r>
        <w:rPr>
          <w:rFonts w:hint="default" w:ascii="Times New Roman" w:hAnsi="Times New Roman" w:eastAsia="宋体" w:cs="Times New Roman"/>
          <w:spacing w:val="-2"/>
          <w:sz w:val="24"/>
          <w:szCs w:val="24"/>
          <w:highlight w:val="none"/>
          <w:lang w:val="en-US" w:eastAsia="zh-CN"/>
        </w:rPr>
        <w:t>位于固体助剂</w:t>
      </w:r>
      <w:r>
        <w:rPr>
          <w:rFonts w:hint="default" w:ascii="Times New Roman" w:hAnsi="Times New Roman" w:eastAsia="宋体" w:cs="Times New Roman"/>
          <w:spacing w:val="-2"/>
          <w:sz w:val="24"/>
          <w:szCs w:val="24"/>
          <w:highlight w:val="none"/>
        </w:rPr>
        <w:t>生产车间</w:t>
      </w:r>
      <w:r>
        <w:rPr>
          <w:rFonts w:hint="eastAsia" w:ascii="Times New Roman" w:hAnsi="Times New Roman" w:eastAsia="宋体" w:cs="Times New Roman"/>
          <w:spacing w:val="-2"/>
          <w:sz w:val="24"/>
          <w:szCs w:val="24"/>
          <w:highlight w:val="none"/>
          <w:lang w:eastAsia="zh-CN"/>
        </w:rPr>
        <w:t>（</w:t>
      </w:r>
      <w:r>
        <w:rPr>
          <w:rFonts w:hint="eastAsia" w:ascii="Times New Roman" w:hAnsi="Times New Roman" w:eastAsia="宋体" w:cs="Times New Roman"/>
          <w:spacing w:val="-2"/>
          <w:sz w:val="24"/>
          <w:szCs w:val="24"/>
          <w:highlight w:val="none"/>
          <w:lang w:val="en-US" w:eastAsia="zh-CN"/>
        </w:rPr>
        <w:t>项目</w:t>
      </w:r>
      <w:r>
        <w:rPr>
          <w:rFonts w:hint="eastAsia" w:ascii="宋体" w:hAnsi="宋体" w:eastAsia="宋体" w:cs="宋体"/>
          <w:spacing w:val="-2"/>
          <w:sz w:val="24"/>
          <w:szCs w:val="24"/>
          <w:highlight w:val="none"/>
          <w:lang w:val="en-US" w:eastAsia="zh-CN"/>
        </w:rPr>
        <w:t>1层</w:t>
      </w:r>
      <w:r>
        <w:rPr>
          <w:rFonts w:hint="eastAsia" w:ascii="Times New Roman" w:hAnsi="Times New Roman" w:eastAsia="宋体" w:cs="Times New Roman"/>
          <w:spacing w:val="-2"/>
          <w:sz w:val="24"/>
          <w:szCs w:val="24"/>
          <w:highlight w:val="none"/>
          <w:lang w:val="en-US" w:eastAsia="zh-CN"/>
        </w:rPr>
        <w:t>东侧</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lang w:val="en-US" w:eastAsia="zh-CN"/>
        </w:rPr>
        <w:t>助剂</w:t>
      </w:r>
      <w:r>
        <w:rPr>
          <w:rFonts w:hint="eastAsia" w:eastAsia="宋体" w:cs="Times New Roman"/>
          <w:spacing w:val="-2"/>
          <w:sz w:val="24"/>
          <w:szCs w:val="24"/>
          <w:highlight w:val="none"/>
          <w:lang w:val="en-US" w:eastAsia="zh-CN"/>
        </w:rPr>
        <w:t>粉剂生产的</w:t>
      </w:r>
      <w:r>
        <w:rPr>
          <w:rFonts w:hint="eastAsia" w:ascii="Times New Roman" w:hAnsi="Times New Roman" w:eastAsia="宋体" w:cs="Times New Roman"/>
          <w:spacing w:val="-2"/>
          <w:sz w:val="24"/>
          <w:szCs w:val="24"/>
          <w:highlight w:val="none"/>
          <w:lang w:val="en-US" w:eastAsia="zh-CN"/>
        </w:rPr>
        <w:t>原材料在</w:t>
      </w:r>
      <w:r>
        <w:rPr>
          <w:rFonts w:hint="default" w:ascii="Times New Roman" w:hAnsi="Times New Roman" w:eastAsia="宋体" w:cs="Times New Roman"/>
          <w:spacing w:val="-2"/>
          <w:sz w:val="24"/>
          <w:szCs w:val="24"/>
          <w:highlight w:val="none"/>
          <w:lang w:val="en-US" w:eastAsia="zh-CN"/>
        </w:rPr>
        <w:t>多功能</w:t>
      </w:r>
      <w:r>
        <w:rPr>
          <w:rFonts w:hint="default" w:ascii="Times New Roman" w:hAnsi="Times New Roman" w:eastAsia="宋体" w:cs="Times New Roman"/>
          <w:spacing w:val="-2"/>
          <w:sz w:val="24"/>
          <w:szCs w:val="24"/>
          <w:highlight w:val="none"/>
        </w:rPr>
        <w:t>混合搅拌罐</w:t>
      </w:r>
      <w:r>
        <w:rPr>
          <w:rFonts w:hint="eastAsia" w:eastAsia="宋体" w:cs="Times New Roman"/>
          <w:spacing w:val="-2"/>
          <w:sz w:val="24"/>
          <w:szCs w:val="24"/>
          <w:highlight w:val="none"/>
          <w:lang w:val="en-US" w:eastAsia="zh-CN"/>
        </w:rPr>
        <w:t>中</w:t>
      </w:r>
      <w:r>
        <w:rPr>
          <w:rFonts w:hint="default" w:ascii="Times New Roman" w:hAnsi="Times New Roman" w:eastAsia="宋体" w:cs="Times New Roman"/>
          <w:spacing w:val="-2"/>
          <w:sz w:val="24"/>
          <w:szCs w:val="24"/>
          <w:highlight w:val="none"/>
          <w:lang w:val="en-US" w:eastAsia="zh-CN"/>
        </w:rPr>
        <w:t>加热溶解、搅拌混合生成助剂</w:t>
      </w:r>
      <w:r>
        <w:rPr>
          <w:rFonts w:hint="eastAsia" w:eastAsia="宋体" w:cs="Times New Roman"/>
          <w:spacing w:val="-2"/>
          <w:sz w:val="24"/>
          <w:szCs w:val="24"/>
          <w:highlight w:val="none"/>
          <w:lang w:val="en-US" w:eastAsia="zh-CN"/>
        </w:rPr>
        <w:t>粉剂</w:t>
      </w:r>
      <w:r>
        <w:rPr>
          <w:rFonts w:hint="default" w:ascii="Times New Roman" w:hAnsi="Times New Roman" w:eastAsia="宋体" w:cs="Times New Roman"/>
          <w:spacing w:val="-2"/>
          <w:sz w:val="24"/>
          <w:szCs w:val="24"/>
          <w:highlight w:val="none"/>
          <w:lang w:val="en-US" w:eastAsia="zh-CN"/>
        </w:rPr>
        <w:t>热熔浆</w:t>
      </w:r>
      <w:r>
        <w:rPr>
          <w:rFonts w:hint="eastAsia" w:eastAsia="宋体" w:cs="Times New Roman"/>
          <w:spacing w:val="-2"/>
          <w:sz w:val="24"/>
          <w:szCs w:val="24"/>
          <w:highlight w:val="none"/>
          <w:lang w:val="en-US" w:eastAsia="zh-CN"/>
        </w:rPr>
        <w:t>（最终产品为防染粉1#），冷却时产生有机废气。</w:t>
      </w:r>
      <w:r>
        <w:rPr>
          <w:rFonts w:hint="default" w:ascii="Times New Roman" w:hAnsi="Times New Roman" w:eastAsia="宋体" w:cs="Times New Roman"/>
          <w:spacing w:val="-2"/>
          <w:sz w:val="24"/>
          <w:szCs w:val="24"/>
          <w:highlight w:val="none"/>
          <w:lang w:val="en-US" w:eastAsia="zh-CN"/>
        </w:rPr>
        <w:t>另外固体助剂生产车间还有1个3T的电加热搅拌釜生产防染剂，防染剂属于助剂水剂，方便取搅拌好的助剂</w:t>
      </w:r>
      <w:r>
        <w:rPr>
          <w:rFonts w:hint="eastAsia" w:eastAsia="宋体" w:cs="Times New Roman"/>
          <w:spacing w:val="-2"/>
          <w:sz w:val="24"/>
          <w:szCs w:val="24"/>
          <w:highlight w:val="none"/>
          <w:lang w:val="en-US" w:eastAsia="zh-CN"/>
        </w:rPr>
        <w:t>粉剂</w:t>
      </w:r>
      <w:r>
        <w:rPr>
          <w:rFonts w:hint="default" w:ascii="Times New Roman" w:hAnsi="Times New Roman" w:eastAsia="宋体" w:cs="Times New Roman"/>
          <w:spacing w:val="-2"/>
          <w:sz w:val="24"/>
          <w:szCs w:val="24"/>
          <w:highlight w:val="none"/>
          <w:lang w:val="en-US" w:eastAsia="zh-CN"/>
        </w:rPr>
        <w:t>热熔浆的20%</w:t>
      </w:r>
      <w:r>
        <w:rPr>
          <w:rFonts w:hint="eastAsia" w:eastAsia="宋体" w:cs="Times New Roman"/>
          <w:spacing w:val="-2"/>
          <w:sz w:val="24"/>
          <w:szCs w:val="24"/>
          <w:highlight w:val="none"/>
          <w:lang w:val="en-US" w:eastAsia="zh-CN"/>
        </w:rPr>
        <w:t>（防染粉1#的中间产品）</w:t>
      </w:r>
      <w:r>
        <w:rPr>
          <w:rFonts w:hint="default" w:ascii="Times New Roman" w:hAnsi="Times New Roman" w:eastAsia="宋体" w:cs="Times New Roman"/>
          <w:spacing w:val="-2"/>
          <w:sz w:val="24"/>
          <w:szCs w:val="24"/>
          <w:highlight w:val="none"/>
        </w:rPr>
        <w:t>直接通过输送管送至</w:t>
      </w:r>
      <w:r>
        <w:rPr>
          <w:rFonts w:hint="default" w:ascii="Times New Roman" w:hAnsi="Times New Roman" w:eastAsia="宋体" w:cs="Times New Roman"/>
          <w:spacing w:val="-2"/>
          <w:sz w:val="24"/>
          <w:szCs w:val="24"/>
          <w:highlight w:val="none"/>
          <w:lang w:val="en-US" w:eastAsia="zh-CN"/>
        </w:rPr>
        <w:t>3T的电加热搅拌釜，加水开稀，可以防止热熔浆携带的有机废气逸散到车间外</w:t>
      </w:r>
      <w:r>
        <w:rPr>
          <w:rFonts w:hint="default" w:ascii="Times New Roman" w:hAnsi="Times New Roman" w:eastAsia="宋体" w:cs="Times New Roman"/>
          <w:spacing w:val="-2"/>
          <w:sz w:val="24"/>
          <w:szCs w:val="24"/>
          <w:highlight w:val="none"/>
          <w:lang w:eastAsia="zh-CN"/>
        </w:rPr>
        <w:t>）</w:t>
      </w:r>
      <w:r>
        <w:rPr>
          <w:rFonts w:hint="eastAsia" w:ascii="宋体" w:hAnsi="宋体" w:eastAsia="宋体" w:cs="宋体"/>
          <w:spacing w:val="-2"/>
          <w:sz w:val="24"/>
          <w:szCs w:val="24"/>
          <w:highlight w:val="none"/>
          <w:lang w:eastAsia="zh-CN"/>
        </w:rPr>
        <w:t>。</w:t>
      </w:r>
    </w:p>
    <w:p w14:paraId="7D66C967">
      <w:pPr>
        <w:spacing w:before="1" w:line="360" w:lineRule="auto"/>
        <w:ind w:left="4" w:firstLine="481"/>
        <w:rPr>
          <w:rFonts w:hint="default" w:ascii="Times New Roman" w:eastAsia="宋体" w:cs="Times New Roman"/>
          <w:color w:val="auto"/>
          <w:highlight w:val="none"/>
          <w:u w:val="single"/>
          <w:lang w:val="en-US" w:eastAsia="zh-CN"/>
        </w:rPr>
      </w:pPr>
      <w:r>
        <w:rPr>
          <w:rFonts w:hint="eastAsia" w:ascii="宋体" w:hAnsi="宋体" w:eastAsia="宋体" w:cs="宋体"/>
          <w:spacing w:val="-2"/>
          <w:sz w:val="24"/>
          <w:szCs w:val="24"/>
          <w:highlight w:val="none"/>
          <w:lang w:val="en-US" w:eastAsia="zh-CN"/>
        </w:rPr>
        <w:t>一般固废废暂存间、危险废物暂存间位于1层西南侧，东侧挨着</w:t>
      </w:r>
      <w:r>
        <w:rPr>
          <w:rFonts w:hint="default" w:ascii="Times New Roman" w:hAnsi="Times New Roman" w:eastAsia="宋体" w:cs="Times New Roman"/>
          <w:spacing w:val="-2"/>
          <w:sz w:val="24"/>
          <w:szCs w:val="24"/>
          <w:highlight w:val="none"/>
          <w:lang w:val="en-US" w:eastAsia="zh-CN"/>
        </w:rPr>
        <w:t>酶制剂粉剂复配车间</w:t>
      </w:r>
      <w:r>
        <w:rPr>
          <w:rFonts w:hint="eastAsia" w:ascii="宋体" w:hAnsi="宋体" w:eastAsia="宋体" w:cs="宋体"/>
          <w:spacing w:val="-2"/>
          <w:sz w:val="24"/>
          <w:szCs w:val="24"/>
          <w:highlight w:val="none"/>
        </w:rPr>
        <w:t>。</w:t>
      </w:r>
    </w:p>
    <w:p w14:paraId="7E05F991">
      <w:pPr>
        <w:spacing w:before="1" w:line="360" w:lineRule="auto"/>
        <w:ind w:left="4" w:firstLine="481"/>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综上所述，本项目全厂布局紧凑，工艺流程顺畅，功能分区明确，能够满足生产和加强环境管理要求，因此本项目厂区平面布置较为合理。</w:t>
      </w:r>
    </w:p>
    <w:p w14:paraId="20FA8F53">
      <w:pPr>
        <w:pStyle w:val="5"/>
        <w:pageBreakBefore w:val="0"/>
        <w:widowControl w:val="0"/>
        <w:kinsoku/>
        <w:wordWrap/>
        <w:overflowPunct/>
        <w:topLinePunct w:val="0"/>
        <w:autoSpaceDE/>
        <w:autoSpaceDN/>
        <w:bidi w:val="0"/>
        <w:adjustRightInd/>
        <w:snapToGrid/>
        <w:spacing w:before="0" w:beforeLines="100" w:after="0" w:afterLines="100" w:afterAutospacing="0" w:line="360" w:lineRule="auto"/>
        <w:textAlignment w:val="auto"/>
        <w:rPr>
          <w:highlight w:val="none"/>
        </w:rPr>
        <w:sectPr>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0" w:charSpace="0"/>
        </w:sectPr>
      </w:pPr>
    </w:p>
    <w:p w14:paraId="48ABC3DA">
      <w:pPr>
        <w:pStyle w:val="5"/>
        <w:pageBreakBefore w:val="0"/>
        <w:widowControl w:val="0"/>
        <w:kinsoku/>
        <w:wordWrap/>
        <w:overflowPunct/>
        <w:topLinePunct w:val="0"/>
        <w:autoSpaceDE/>
        <w:autoSpaceDN/>
        <w:bidi w:val="0"/>
        <w:adjustRightInd/>
        <w:snapToGrid/>
        <w:spacing w:before="0" w:beforeLines="100" w:after="0" w:afterLines="100" w:afterAutospacing="0" w:line="360" w:lineRule="auto"/>
        <w:textAlignment w:val="auto"/>
        <w:rPr>
          <w:highlight w:val="none"/>
        </w:rPr>
      </w:pPr>
      <w:bookmarkStart w:id="102" w:name="_Toc17937"/>
      <w:r>
        <w:rPr>
          <w:highlight w:val="none"/>
        </w:rPr>
        <w:t>4</w:t>
      </w:r>
      <w:r>
        <w:rPr>
          <w:rFonts w:hint="eastAsia"/>
          <w:highlight w:val="none"/>
          <w:lang w:eastAsia="zh-CN"/>
        </w:rPr>
        <w:t>、</w:t>
      </w:r>
      <w:r>
        <w:rPr>
          <w:highlight w:val="none"/>
        </w:rPr>
        <w:t>工程分析</w:t>
      </w:r>
      <w:bookmarkEnd w:id="102"/>
    </w:p>
    <w:p w14:paraId="7E5ED96C">
      <w:pPr>
        <w:pStyle w:val="6"/>
        <w:pageBreakBefore w:val="0"/>
        <w:widowControl w:val="0"/>
        <w:kinsoku/>
        <w:wordWrap/>
        <w:overflowPunct/>
        <w:topLinePunct w:val="0"/>
        <w:autoSpaceDE/>
        <w:autoSpaceDN/>
        <w:bidi w:val="0"/>
        <w:adjustRightInd/>
        <w:snapToGrid/>
        <w:spacing w:before="0" w:beforeLines="100" w:after="0" w:afterLines="100" w:afterAutospacing="0" w:line="360" w:lineRule="auto"/>
        <w:textAlignment w:val="auto"/>
        <w:rPr>
          <w:highlight w:val="none"/>
        </w:rPr>
      </w:pPr>
      <w:bookmarkStart w:id="103" w:name="bookmark75"/>
      <w:bookmarkEnd w:id="103"/>
      <w:bookmarkStart w:id="104" w:name="_Toc13492"/>
      <w:r>
        <w:rPr>
          <w:highlight w:val="none"/>
        </w:rPr>
        <w:t>4.1</w:t>
      </w:r>
      <w:r>
        <w:rPr>
          <w:rFonts w:hint="eastAsia"/>
          <w:highlight w:val="none"/>
          <w:lang w:val="en-US" w:eastAsia="zh-CN"/>
        </w:rPr>
        <w:t xml:space="preserve"> </w:t>
      </w:r>
      <w:r>
        <w:rPr>
          <w:highlight w:val="none"/>
        </w:rPr>
        <w:t>施工期工艺流程及产排污节点</w:t>
      </w:r>
      <w:bookmarkEnd w:id="104"/>
    </w:p>
    <w:p w14:paraId="3E8B532E">
      <w:pPr>
        <w:pStyle w:val="2"/>
        <w:spacing w:before="217" w:line="219" w:lineRule="auto"/>
        <w:ind w:left="480"/>
        <w:rPr>
          <w:highlight w:val="none"/>
        </w:rPr>
      </w:pPr>
      <w:r>
        <w:rPr>
          <w:spacing w:val="-1"/>
          <w:highlight w:val="none"/>
        </w:rPr>
        <w:t>本项目施工期的工艺流程与产污环节简述如下图</w:t>
      </w:r>
      <w:r>
        <w:rPr>
          <w:spacing w:val="-43"/>
          <w:highlight w:val="none"/>
        </w:rPr>
        <w:t xml:space="preserve"> </w:t>
      </w:r>
      <w:r>
        <w:rPr>
          <w:rFonts w:ascii="Times New Roman" w:hAnsi="Times New Roman" w:eastAsia="Times New Roman" w:cs="Times New Roman"/>
          <w:spacing w:val="-1"/>
          <w:highlight w:val="none"/>
        </w:rPr>
        <w:t xml:space="preserve">4.1-1 </w:t>
      </w:r>
      <w:r>
        <w:rPr>
          <w:spacing w:val="-1"/>
          <w:highlight w:val="none"/>
        </w:rPr>
        <w:t>所示：</w:t>
      </w:r>
    </w:p>
    <w:p w14:paraId="04613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
          <w:highlight w:val="none"/>
          <w:lang w:eastAsia="zh-CN"/>
        </w:rPr>
      </w:pPr>
      <w:r>
        <w:rPr>
          <w:rFonts w:hint="eastAsia" w:eastAsia="仿宋"/>
          <w:highlight w:val="none"/>
          <w:lang w:eastAsia="zh-CN"/>
        </w:rPr>
        <w:drawing>
          <wp:inline distT="0" distB="0" distL="114300" distR="114300">
            <wp:extent cx="4248150" cy="1514475"/>
            <wp:effectExtent l="0" t="0" r="0" b="9525"/>
            <wp:docPr id="34" name="图片 34" descr="8c5a2ebe3ef379430e7a1a55723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c5a2ebe3ef379430e7a1a557233f2f"/>
                    <pic:cNvPicPr>
                      <a:picLocks noChangeAspect="1"/>
                    </pic:cNvPicPr>
                  </pic:nvPicPr>
                  <pic:blipFill>
                    <a:blip r:embed="rId18"/>
                    <a:stretch>
                      <a:fillRect/>
                    </a:stretch>
                  </pic:blipFill>
                  <pic:spPr>
                    <a:xfrm>
                      <a:off x="0" y="0"/>
                      <a:ext cx="4248150" cy="1514475"/>
                    </a:xfrm>
                    <a:prstGeom prst="rect">
                      <a:avLst/>
                    </a:prstGeom>
                  </pic:spPr>
                </pic:pic>
              </a:graphicData>
            </a:graphic>
          </wp:inline>
        </w:drawing>
      </w:r>
    </w:p>
    <w:p w14:paraId="0A9E0010">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rPr>
          <w:highlight w:val="none"/>
        </w:rPr>
      </w:pPr>
      <w:r>
        <w:rPr>
          <w:b/>
          <w:bCs/>
          <w:spacing w:val="-3"/>
          <w:highlight w:val="none"/>
        </w:rPr>
        <w:t>图</w:t>
      </w:r>
      <w:r>
        <w:rPr>
          <w:spacing w:val="-52"/>
          <w:highlight w:val="none"/>
        </w:rPr>
        <w:t xml:space="preserve"> </w:t>
      </w:r>
      <w:r>
        <w:rPr>
          <w:rFonts w:hint="eastAsia" w:eastAsia="宋体" w:cs="Times New Roman"/>
          <w:b/>
          <w:bCs/>
          <w:spacing w:val="-3"/>
          <w:highlight w:val="none"/>
          <w:lang w:val="en-US" w:eastAsia="zh-CN"/>
        </w:rPr>
        <w:t>4</w:t>
      </w:r>
      <w:r>
        <w:rPr>
          <w:rFonts w:ascii="Times New Roman" w:hAnsi="Times New Roman" w:eastAsia="Times New Roman" w:cs="Times New Roman"/>
          <w:b/>
          <w:bCs/>
          <w:spacing w:val="-3"/>
          <w:highlight w:val="none"/>
        </w:rPr>
        <w:t xml:space="preserve">.1-1    </w:t>
      </w:r>
      <w:r>
        <w:rPr>
          <w:b/>
          <w:bCs/>
          <w:spacing w:val="-3"/>
          <w:highlight w:val="none"/>
        </w:rPr>
        <w:t>项目施工期工艺流程图</w:t>
      </w:r>
    </w:p>
    <w:p w14:paraId="31F2363F">
      <w:pPr>
        <w:pStyle w:val="6"/>
        <w:bidi w:val="0"/>
        <w:rPr>
          <w:highlight w:val="none"/>
        </w:rPr>
      </w:pPr>
      <w:bookmarkStart w:id="105" w:name="_Toc10387"/>
      <w:r>
        <w:rPr>
          <w:highlight w:val="none"/>
        </w:rPr>
        <w:t>4.2</w:t>
      </w:r>
      <w:r>
        <w:rPr>
          <w:rFonts w:hint="eastAsia"/>
          <w:highlight w:val="none"/>
          <w:lang w:val="en-US" w:eastAsia="zh-CN"/>
        </w:rPr>
        <w:t xml:space="preserve"> </w:t>
      </w:r>
      <w:r>
        <w:rPr>
          <w:highlight w:val="none"/>
        </w:rPr>
        <w:t>运营期工艺流程及产排污节点</w:t>
      </w:r>
      <w:bookmarkEnd w:id="105"/>
    </w:p>
    <w:p w14:paraId="2803476E">
      <w:pPr>
        <w:spacing w:before="1" w:line="360" w:lineRule="auto"/>
        <w:ind w:left="4" w:firstLine="481"/>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本项目共生产生物酶</w:t>
      </w:r>
      <w:r>
        <w:rPr>
          <w:rFonts w:hint="eastAsia" w:eastAsia="宋体" w:cs="Times New Roman"/>
          <w:color w:val="000000" w:themeColor="text1"/>
          <w:spacing w:val="-2"/>
          <w:sz w:val="24"/>
          <w:szCs w:val="24"/>
          <w:highlight w:val="none"/>
          <w:lang w:val="en-US" w:eastAsia="zh-CN"/>
          <w14:textFill>
            <w14:solidFill>
              <w14:schemeClr w14:val="tx1"/>
            </w14:solidFill>
          </w14:textFill>
        </w:rPr>
        <w:t>制剂</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2种</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酶</w:t>
      </w:r>
      <w:r>
        <w:rPr>
          <w:rFonts w:hint="eastAsia" w:eastAsia="宋体" w:cs="Times New Roman"/>
          <w:color w:val="000000" w:themeColor="text1"/>
          <w:spacing w:val="-2"/>
          <w:sz w:val="24"/>
          <w:szCs w:val="24"/>
          <w:highlight w:val="none"/>
          <w:lang w:val="en-US" w:eastAsia="zh-CN"/>
          <w14:textFill>
            <w14:solidFill>
              <w14:schemeClr w14:val="tx1"/>
            </w14:solidFill>
          </w14:textFill>
        </w:rPr>
        <w:t>制剂</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粉剂</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和酶</w:t>
      </w:r>
      <w:r>
        <w:rPr>
          <w:rFonts w:hint="eastAsia" w:eastAsia="宋体" w:cs="Times New Roman"/>
          <w:color w:val="000000" w:themeColor="text1"/>
          <w:spacing w:val="-2"/>
          <w:sz w:val="24"/>
          <w:szCs w:val="24"/>
          <w:highlight w:val="none"/>
          <w:lang w:val="en-US" w:eastAsia="zh-CN"/>
          <w14:textFill>
            <w14:solidFill>
              <w14:schemeClr w14:val="tx1"/>
            </w14:solidFill>
          </w14:textFill>
        </w:rPr>
        <w:t>制剂</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水剂）</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，酶制品助剂</w:t>
      </w:r>
      <w:r>
        <w:rPr>
          <w:rFonts w:hint="eastAsia" w:eastAsia="宋体" w:cs="Times New Roman"/>
          <w:color w:val="000000" w:themeColor="text1"/>
          <w:spacing w:val="-2"/>
          <w:sz w:val="24"/>
          <w:szCs w:val="24"/>
          <w:highlight w:val="none"/>
          <w:lang w:val="en-US" w:eastAsia="zh-CN"/>
          <w14:textFill>
            <w14:solidFill>
              <w14:schemeClr w14:val="tx1"/>
            </w14:solidFill>
          </w14:textFill>
        </w:rPr>
        <w:t>水剂2</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种</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硅油、防染剂</w:t>
      </w:r>
      <w:r>
        <w:rPr>
          <w:rFonts w:hint="eastAsia" w:eastAsia="宋体" w:cs="Times New Roman"/>
          <w:color w:val="000000" w:themeColor="text1"/>
          <w:spacing w:val="-2"/>
          <w:sz w:val="24"/>
          <w:szCs w:val="24"/>
          <w:highlight w:val="none"/>
          <w:lang w:val="en-US" w:eastAsia="zh-CN"/>
          <w14:textFill>
            <w14:solidFill>
              <w14:schemeClr w14:val="tx1"/>
            </w14:solidFill>
          </w14:textFill>
        </w:rPr>
        <w:t>），酶制品助剂粉剂2种（</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防染粉</w:t>
      </w:r>
      <w:r>
        <w:rPr>
          <w:rFonts w:hint="eastAsia" w:eastAsia="宋体" w:cs="Times New Roman"/>
          <w:color w:val="000000" w:themeColor="text1"/>
          <w:spacing w:val="-2"/>
          <w:sz w:val="24"/>
          <w:szCs w:val="24"/>
          <w:highlight w:val="none"/>
          <w:lang w:val="en-US" w:eastAsia="zh-CN"/>
          <w14:textFill>
            <w14:solidFill>
              <w14:schemeClr w14:val="tx1"/>
            </w14:solidFill>
          </w14:textFill>
        </w:rPr>
        <w:t>1#、防染粉2#</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eastAsia" w:eastAsia="宋体" w:cs="Times New Roman"/>
          <w:color w:val="000000" w:themeColor="text1"/>
          <w:spacing w:val="-2"/>
          <w:sz w:val="24"/>
          <w:szCs w:val="24"/>
          <w:highlight w:val="none"/>
          <w:lang w:eastAsia="zh-CN"/>
          <w14:textFill>
            <w14:solidFill>
              <w14:schemeClr w14:val="tx1"/>
            </w14:solidFill>
          </w14:textFill>
        </w:rPr>
        <w:t>。</w:t>
      </w:r>
    </w:p>
    <w:p w14:paraId="7456B471">
      <w:pPr>
        <w:spacing w:before="1" w:line="360" w:lineRule="auto"/>
        <w:ind w:left="4" w:firstLine="481"/>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生物酶</w:t>
      </w:r>
      <w:r>
        <w:rPr>
          <w:rFonts w:hint="eastAsia" w:eastAsia="宋体" w:cs="Times New Roman"/>
          <w:color w:val="000000" w:themeColor="text1"/>
          <w:spacing w:val="-2"/>
          <w:sz w:val="24"/>
          <w:szCs w:val="24"/>
          <w:highlight w:val="none"/>
          <w:lang w:val="en-US" w:eastAsia="zh-CN"/>
          <w14:textFill>
            <w14:solidFill>
              <w14:schemeClr w14:val="tx1"/>
            </w14:solidFill>
          </w14:textFill>
        </w:rPr>
        <w:t>制剂2种</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酶</w:t>
      </w:r>
      <w:r>
        <w:rPr>
          <w:rFonts w:hint="eastAsia" w:eastAsia="宋体" w:cs="Times New Roman"/>
          <w:color w:val="000000" w:themeColor="text1"/>
          <w:spacing w:val="-2"/>
          <w:sz w:val="24"/>
          <w:szCs w:val="24"/>
          <w:highlight w:val="none"/>
          <w:lang w:val="en-US" w:eastAsia="zh-CN"/>
          <w14:textFill>
            <w14:solidFill>
              <w14:schemeClr w14:val="tx1"/>
            </w14:solidFill>
          </w14:textFill>
        </w:rPr>
        <w:t>制剂</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粉剂</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和酶</w:t>
      </w:r>
      <w:r>
        <w:rPr>
          <w:rFonts w:hint="eastAsia" w:eastAsia="宋体" w:cs="Times New Roman"/>
          <w:color w:val="000000" w:themeColor="text1"/>
          <w:spacing w:val="-2"/>
          <w:sz w:val="24"/>
          <w:szCs w:val="24"/>
          <w:highlight w:val="none"/>
          <w:lang w:val="en-US" w:eastAsia="zh-CN"/>
          <w14:textFill>
            <w14:solidFill>
              <w14:schemeClr w14:val="tx1"/>
            </w14:solidFill>
          </w14:textFill>
        </w:rPr>
        <w:t>制剂</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水剂）</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主要是通过简单的</w:t>
      </w:r>
      <w:r>
        <w:rPr>
          <w:rFonts w:hint="eastAsia" w:eastAsia="宋体" w:cs="Times New Roman"/>
          <w:color w:val="000000" w:themeColor="text1"/>
          <w:spacing w:val="-2"/>
          <w:sz w:val="24"/>
          <w:szCs w:val="24"/>
          <w:highlight w:val="none"/>
          <w:lang w:val="en-US" w:eastAsia="zh-CN"/>
          <w14:textFill>
            <w14:solidFill>
              <w14:schemeClr w14:val="tx1"/>
            </w14:solidFill>
          </w14:textFill>
        </w:rPr>
        <w:t>物理混合</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复配，复配生产过程中不涉及到化学反应。</w:t>
      </w:r>
    </w:p>
    <w:p w14:paraId="64E41B7D">
      <w:pPr>
        <w:spacing w:before="1" w:line="360" w:lineRule="auto"/>
        <w:ind w:left="4" w:firstLine="481"/>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酶制品助剂</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水剂</w:t>
      </w:r>
      <w:r>
        <w:rPr>
          <w:rFonts w:hint="eastAsia" w:eastAsia="宋体" w:cs="Times New Roman"/>
          <w:color w:val="000000" w:themeColor="text1"/>
          <w:spacing w:val="-2"/>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种</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硅油、防染剂</w:t>
      </w:r>
      <w:r>
        <w:rPr>
          <w:rFonts w:hint="eastAsia" w:eastAsia="宋体" w:cs="Times New Roman"/>
          <w:color w:val="000000" w:themeColor="text1"/>
          <w:spacing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主要通过加热复配</w:t>
      </w:r>
      <w:r>
        <w:rPr>
          <w:rFonts w:hint="eastAsia"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需要用电加热搅拌(温</w:t>
      </w:r>
      <w:r>
        <w:rPr>
          <w:rFonts w:hint="default" w:ascii="Times New Roman" w:hAnsi="Times New Roman" w:eastAsia="宋体" w:cs="Times New Roman"/>
          <w:color w:val="auto"/>
          <w:spacing w:val="-2"/>
          <w:sz w:val="24"/>
          <w:szCs w:val="24"/>
          <w:highlight w:val="none"/>
          <w:lang w:val="en-US" w:eastAsia="zh-CN"/>
        </w:rPr>
        <w:t>度50</w:t>
      </w:r>
      <w:r>
        <w:rPr>
          <w:rFonts w:hint="eastAsia"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2"/>
          <w:sz w:val="24"/>
          <w:szCs w:val="24"/>
          <w:highlight w:val="none"/>
          <w:lang w:val="en-US" w:eastAsia="zh-CN"/>
        </w:rPr>
        <w:t>)，</w:t>
      </w:r>
      <w:r>
        <w:rPr>
          <w:rFonts w:hint="default" w:ascii="Times New Roman" w:hAnsi="Times New Roman" w:eastAsia="宋体" w:cs="Times New Roman"/>
          <w:color w:val="auto"/>
          <w:spacing w:val="-2"/>
          <w:sz w:val="24"/>
          <w:szCs w:val="24"/>
          <w:highlight w:val="none"/>
        </w:rPr>
        <w:t>复配生产过程中</w:t>
      </w:r>
      <w:r>
        <w:rPr>
          <w:rFonts w:hint="default" w:ascii="Times New Roman" w:hAnsi="Times New Roman" w:eastAsia="宋体" w:cs="Times New Roman"/>
          <w:color w:val="auto"/>
          <w:spacing w:val="-2"/>
          <w:sz w:val="24"/>
          <w:szCs w:val="24"/>
          <w:highlight w:val="none"/>
          <w:lang w:val="en-US" w:eastAsia="zh-CN"/>
        </w:rPr>
        <w:t>不发生化学变化。</w:t>
      </w:r>
    </w:p>
    <w:p w14:paraId="1AE0B436">
      <w:pPr>
        <w:spacing w:before="1" w:line="360" w:lineRule="auto"/>
        <w:ind w:left="4" w:firstLine="481"/>
        <w:rPr>
          <w:rFonts w:hint="default" w:ascii="Times New Roman" w:hAnsi="Times New Roman" w:eastAsia="宋体" w:cs="Times New Roman"/>
          <w:color w:val="auto"/>
          <w:spacing w:val="-2"/>
          <w:sz w:val="24"/>
          <w:szCs w:val="24"/>
          <w:highlight w:val="none"/>
          <w:lang w:val="en-US" w:eastAsia="zh-CN"/>
        </w:rPr>
      </w:pPr>
      <w:r>
        <w:rPr>
          <w:rFonts w:hint="eastAsia" w:eastAsia="宋体" w:cs="Times New Roman"/>
          <w:color w:val="auto"/>
          <w:spacing w:val="-2"/>
          <w:sz w:val="24"/>
          <w:szCs w:val="24"/>
          <w:highlight w:val="none"/>
          <w:lang w:val="en-US" w:eastAsia="zh-CN"/>
        </w:rPr>
        <w:t>酶制品</w:t>
      </w:r>
      <w:r>
        <w:rPr>
          <w:rFonts w:hint="default" w:ascii="Times New Roman" w:hAnsi="Times New Roman" w:eastAsia="宋体" w:cs="Times New Roman"/>
          <w:color w:val="auto"/>
          <w:spacing w:val="-2"/>
          <w:sz w:val="24"/>
          <w:szCs w:val="24"/>
          <w:highlight w:val="none"/>
        </w:rPr>
        <w:t>助剂</w:t>
      </w:r>
      <w:r>
        <w:rPr>
          <w:rFonts w:hint="default" w:ascii="Times New Roman" w:hAnsi="Times New Roman" w:eastAsia="宋体" w:cs="Times New Roman"/>
          <w:color w:val="auto"/>
          <w:spacing w:val="-2"/>
          <w:sz w:val="24"/>
          <w:szCs w:val="24"/>
          <w:highlight w:val="none"/>
          <w:lang w:val="en-US" w:eastAsia="zh-CN"/>
        </w:rPr>
        <w:t>粉剂</w:t>
      </w:r>
      <w:r>
        <w:rPr>
          <w:rFonts w:hint="eastAsia" w:eastAsia="宋体" w:cs="Times New Roman"/>
          <w:color w:val="auto"/>
          <w:spacing w:val="-2"/>
          <w:sz w:val="24"/>
          <w:szCs w:val="24"/>
          <w:highlight w:val="none"/>
          <w:lang w:val="en-US" w:eastAsia="zh-CN"/>
        </w:rPr>
        <w:t>2种（</w:t>
      </w:r>
      <w:r>
        <w:rPr>
          <w:rFonts w:hint="default" w:ascii="Times New Roman" w:hAnsi="Times New Roman" w:eastAsia="宋体" w:cs="Times New Roman"/>
          <w:color w:val="auto"/>
          <w:spacing w:val="-2"/>
          <w:sz w:val="24"/>
          <w:szCs w:val="24"/>
          <w:highlight w:val="none"/>
          <w:lang w:val="en-US" w:eastAsia="zh-CN"/>
        </w:rPr>
        <w:t>防染粉</w:t>
      </w:r>
      <w:r>
        <w:rPr>
          <w:rFonts w:hint="eastAsia"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lang w:val="en-US" w:eastAsia="zh-CN"/>
        </w:rPr>
        <w:t>防染粉</w:t>
      </w:r>
      <w:r>
        <w:rPr>
          <w:rFonts w:hint="eastAsia"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w:t>
      </w:r>
      <w:r>
        <w:rPr>
          <w:rFonts w:hint="eastAsia" w:eastAsia="宋体" w:cs="Times New Roman"/>
          <w:color w:val="auto"/>
          <w:spacing w:val="-2"/>
          <w:sz w:val="24"/>
          <w:szCs w:val="24"/>
          <w:highlight w:val="none"/>
          <w:lang w:eastAsia="zh-CN"/>
        </w:rPr>
        <w:t>。</w:t>
      </w:r>
      <w:r>
        <w:rPr>
          <w:rFonts w:hint="eastAsia" w:eastAsia="宋体" w:cs="Times New Roman"/>
          <w:color w:val="auto"/>
          <w:kern w:val="0"/>
          <w:sz w:val="24"/>
          <w:szCs w:val="24"/>
          <w:highlight w:val="none"/>
          <w:u w:val="none"/>
          <w:lang w:val="en-US" w:eastAsia="zh-CN"/>
        </w:rPr>
        <w:t>防染粉1#由</w:t>
      </w:r>
      <w:r>
        <w:rPr>
          <w:rFonts w:hint="eastAsia" w:ascii="Times New Roman" w:hAnsi="Times New Roman" w:eastAsia="宋体" w:cs="Times New Roman"/>
          <w:color w:val="auto"/>
          <w:kern w:val="0"/>
          <w:sz w:val="24"/>
          <w:szCs w:val="24"/>
          <w:highlight w:val="none"/>
          <w:u w:val="none"/>
        </w:rPr>
        <w:t>聚乙二醇4000</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聚酯切片</w:t>
      </w:r>
      <w:r>
        <w:rPr>
          <w:rFonts w:hint="eastAsia" w:eastAsia="宋体" w:cs="Times New Roman"/>
          <w:color w:val="auto"/>
          <w:kern w:val="0"/>
          <w:sz w:val="24"/>
          <w:szCs w:val="24"/>
          <w:highlight w:val="none"/>
          <w:u w:val="none"/>
          <w:lang w:val="en-US" w:eastAsia="zh-CN"/>
        </w:rPr>
        <w:t>高温</w:t>
      </w:r>
      <w:r>
        <w:rPr>
          <w:rFonts w:hint="eastAsia" w:ascii="Times New Roman" w:hAnsi="Times New Roman" w:eastAsia="宋体" w:cs="Times New Roman"/>
          <w:color w:val="auto"/>
          <w:kern w:val="0"/>
          <w:sz w:val="24"/>
          <w:szCs w:val="24"/>
          <w:highlight w:val="none"/>
          <w:u w:val="none"/>
          <w:lang w:val="en-US" w:eastAsia="zh-CN"/>
        </w:rPr>
        <w:t>加热溶解</w:t>
      </w:r>
      <w:r>
        <w:rPr>
          <w:rFonts w:hint="eastAsia" w:eastAsia="宋体" w:cs="Times New Roman"/>
          <w:color w:val="auto"/>
          <w:kern w:val="0"/>
          <w:sz w:val="24"/>
          <w:szCs w:val="24"/>
          <w:highlight w:val="none"/>
          <w:u w:val="none"/>
          <w:lang w:val="en-US" w:eastAsia="zh-CN"/>
        </w:rPr>
        <w:t>（温度260°）</w:t>
      </w:r>
      <w:r>
        <w:rPr>
          <w:rFonts w:hint="eastAsia" w:ascii="Times New Roman" w:hAnsi="Times New Roman" w:eastAsia="宋体" w:cs="Times New Roman"/>
          <w:color w:val="auto"/>
          <w:kern w:val="0"/>
          <w:sz w:val="24"/>
          <w:szCs w:val="24"/>
          <w:highlight w:val="none"/>
          <w:u w:val="none"/>
          <w:lang w:val="en-US" w:eastAsia="zh-CN"/>
        </w:rPr>
        <w:t>，</w:t>
      </w:r>
      <w:r>
        <w:rPr>
          <w:rFonts w:hint="eastAsia" w:eastAsia="宋体" w:cs="Times New Roman"/>
          <w:color w:val="auto"/>
          <w:kern w:val="0"/>
          <w:sz w:val="24"/>
          <w:szCs w:val="24"/>
          <w:highlight w:val="none"/>
          <w:u w:val="none"/>
          <w:lang w:val="en-US" w:eastAsia="zh-CN"/>
        </w:rPr>
        <w:t>搅拌</w:t>
      </w:r>
      <w:r>
        <w:rPr>
          <w:rFonts w:hint="eastAsia" w:ascii="Times New Roman" w:hAnsi="Times New Roman" w:eastAsia="宋体" w:cs="Times New Roman"/>
          <w:color w:val="auto"/>
          <w:kern w:val="0"/>
          <w:sz w:val="24"/>
          <w:szCs w:val="24"/>
          <w:highlight w:val="none"/>
          <w:u w:val="none"/>
          <w:lang w:val="en-US" w:eastAsia="zh-CN"/>
        </w:rPr>
        <w:t>混合复配而成</w:t>
      </w:r>
      <w:r>
        <w:rPr>
          <w:rFonts w:hint="eastAsia" w:eastAsia="宋体" w:cs="Times New Roman"/>
          <w:color w:val="auto"/>
          <w:kern w:val="0"/>
          <w:sz w:val="24"/>
          <w:szCs w:val="24"/>
          <w:highlight w:val="none"/>
          <w:u w:val="none"/>
          <w:lang w:val="en-US" w:eastAsia="zh-CN"/>
        </w:rPr>
        <w:t>，过程中发生化学变化。</w:t>
      </w:r>
      <w:r>
        <w:rPr>
          <w:rFonts w:hint="default" w:ascii="Times New Roman" w:hAnsi="Times New Roman" w:eastAsia="宋体" w:cs="Times New Roman"/>
          <w:color w:val="auto"/>
          <w:spacing w:val="-2"/>
          <w:sz w:val="24"/>
          <w:szCs w:val="24"/>
          <w:highlight w:val="none"/>
          <w:lang w:val="en-US" w:eastAsia="zh-CN"/>
        </w:rPr>
        <w:t>防染粉</w:t>
      </w:r>
      <w:r>
        <w:rPr>
          <w:rFonts w:hint="eastAsia"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lang w:val="en-US" w:eastAsia="zh-CN"/>
        </w:rPr>
        <w:t>的组分是聚醚聚酯（100%）</w:t>
      </w:r>
      <w:r>
        <w:rPr>
          <w:rFonts w:hint="eastAsia" w:eastAsia="宋体" w:cs="Times New Roman"/>
          <w:color w:val="auto"/>
          <w:spacing w:val="-2"/>
          <w:sz w:val="24"/>
          <w:szCs w:val="24"/>
          <w:highlight w:val="none"/>
          <w:lang w:val="en-US" w:eastAsia="zh-CN"/>
        </w:rPr>
        <w:t>。</w:t>
      </w:r>
    </w:p>
    <w:p w14:paraId="2D85B9B7">
      <w:pPr>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eastAsia="宋体" w:cs="Times New Roman"/>
          <w:color w:val="auto"/>
          <w:kern w:val="0"/>
          <w:sz w:val="24"/>
          <w:szCs w:val="24"/>
          <w:highlight w:val="none"/>
          <w:u w:val="none"/>
          <w:lang w:val="en-US" w:eastAsia="zh-CN"/>
        </w:rPr>
        <w:t>防染粉2#由防染粉1#的10%作为原料与平平加通过物理搅拌混合复配而成（不需要加热），</w:t>
      </w:r>
      <w:r>
        <w:rPr>
          <w:rFonts w:hint="default" w:ascii="Times New Roman" w:hAnsi="Times New Roman" w:eastAsia="宋体" w:cs="Times New Roman"/>
          <w:color w:val="auto"/>
          <w:spacing w:val="-2"/>
          <w:sz w:val="24"/>
          <w:szCs w:val="24"/>
          <w:highlight w:val="none"/>
        </w:rPr>
        <w:t>复配生产过程中</w:t>
      </w:r>
      <w:r>
        <w:rPr>
          <w:rFonts w:hint="default" w:ascii="Times New Roman" w:hAnsi="Times New Roman" w:eastAsia="宋体" w:cs="Times New Roman"/>
          <w:color w:val="auto"/>
          <w:spacing w:val="-2"/>
          <w:sz w:val="24"/>
          <w:szCs w:val="24"/>
          <w:highlight w:val="none"/>
          <w:lang w:val="en-US" w:eastAsia="zh-CN"/>
        </w:rPr>
        <w:t>不发生化学变化</w:t>
      </w:r>
      <w:r>
        <w:rPr>
          <w:rFonts w:hint="eastAsia" w:eastAsia="宋体" w:cs="Times New Roman"/>
          <w:color w:val="auto"/>
          <w:kern w:val="0"/>
          <w:sz w:val="24"/>
          <w:szCs w:val="24"/>
          <w:highlight w:val="none"/>
          <w:u w:val="none"/>
          <w:lang w:val="en-US" w:eastAsia="zh-CN"/>
        </w:rPr>
        <w:t>。</w:t>
      </w:r>
    </w:p>
    <w:p w14:paraId="660B4B25">
      <w:pPr>
        <w:spacing w:before="1" w:line="360" w:lineRule="auto"/>
        <w:ind w:left="4" w:firstLine="481"/>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p>
    <w:p w14:paraId="7E99DAB6">
      <w:pPr>
        <w:pStyle w:val="7"/>
        <w:bidi w:val="0"/>
        <w:rPr>
          <w:rFonts w:hint="eastAsia"/>
          <w:highlight w:val="none"/>
        </w:rPr>
      </w:pPr>
      <w:bookmarkStart w:id="106" w:name="_Toc1619"/>
      <w:r>
        <w:rPr>
          <w:rFonts w:hint="eastAsia"/>
          <w:highlight w:val="none"/>
          <w:lang w:val="en-US" w:eastAsia="zh-CN"/>
        </w:rPr>
        <w:t>4.2.</w:t>
      </w:r>
      <w:r>
        <w:rPr>
          <w:highlight w:val="none"/>
        </w:rPr>
        <w:t>1</w:t>
      </w:r>
      <w:r>
        <w:rPr>
          <w:rFonts w:hint="eastAsia"/>
          <w:highlight w:val="none"/>
        </w:rPr>
        <w:t>生物酶制剂复配</w:t>
      </w:r>
      <w:r>
        <w:rPr>
          <w:highlight w:val="none"/>
        </w:rPr>
        <w:t>工艺流程及产污环节</w:t>
      </w:r>
      <w:bookmarkEnd w:id="106"/>
    </w:p>
    <w:p w14:paraId="4E5594B8">
      <w:pPr>
        <w:pStyle w:val="9"/>
        <w:rPr>
          <w:rFonts w:hint="default"/>
          <w:highlight w:val="none"/>
          <w:lang w:val="en-US" w:eastAsia="zh-CN"/>
        </w:rPr>
      </w:pPr>
      <w:r>
        <w:rPr>
          <w:rFonts w:hint="eastAsia"/>
          <w:highlight w:val="none"/>
          <w:lang w:val="en-US" w:eastAsia="zh-CN"/>
        </w:rPr>
        <w:t>4.2.1.1酶制剂粉剂</w:t>
      </w:r>
      <w:r>
        <w:rPr>
          <w:rFonts w:hint="eastAsia"/>
          <w:highlight w:val="none"/>
        </w:rPr>
        <w:t>复配工艺流程及产污环节</w:t>
      </w:r>
    </w:p>
    <w:p w14:paraId="4A41F73C">
      <w:pPr>
        <w:jc w:val="center"/>
        <w:rPr>
          <w:rFonts w:hint="default" w:ascii="Times New Roman" w:hAnsi="Times New Roman" w:eastAsia="黑体" w:cs="Times New Roman"/>
          <w:color w:val="auto"/>
          <w:highlight w:val="none"/>
          <w:u w:val="single"/>
          <w:lang w:val="en-US" w:eastAsia="zh-CN"/>
        </w:rPr>
      </w:pPr>
      <w:r>
        <w:rPr>
          <w:rFonts w:hint="default" w:ascii="Times New Roman" w:hAnsi="Times New Roman" w:eastAsia="黑体" w:cs="Times New Roman"/>
          <w:color w:val="auto"/>
          <w:highlight w:val="none"/>
          <w:u w:val="none"/>
          <w:lang w:val="en-US" w:eastAsia="zh-CN"/>
        </w:rPr>
        <w:drawing>
          <wp:inline distT="0" distB="0" distL="114300" distR="114300">
            <wp:extent cx="1771650" cy="2838450"/>
            <wp:effectExtent l="0" t="0" r="0" b="0"/>
            <wp:docPr id="36" name="图片 36" descr="789816b0dafdbb0a71270a013e6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89816b0dafdbb0a71270a013e60466"/>
                    <pic:cNvPicPr>
                      <a:picLocks noChangeAspect="1"/>
                    </pic:cNvPicPr>
                  </pic:nvPicPr>
                  <pic:blipFill>
                    <a:blip r:embed="rId19"/>
                    <a:stretch>
                      <a:fillRect/>
                    </a:stretch>
                  </pic:blipFill>
                  <pic:spPr>
                    <a:xfrm>
                      <a:off x="0" y="0"/>
                      <a:ext cx="1771650" cy="2838450"/>
                    </a:xfrm>
                    <a:prstGeom prst="rect">
                      <a:avLst/>
                    </a:prstGeom>
                  </pic:spPr>
                </pic:pic>
              </a:graphicData>
            </a:graphic>
          </wp:inline>
        </w:drawing>
      </w:r>
    </w:p>
    <w:p w14:paraId="4A150B84">
      <w:pPr>
        <w:jc w:val="center"/>
        <w:rPr>
          <w:rFonts w:hint="eastAsia" w:ascii="Times New Roman" w:hAnsi="Times New Roman"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t>图4.2-1酶制剂粉剂复配工艺及产污环节图</w:t>
      </w:r>
      <w:r>
        <w:rPr>
          <w:rFonts w:hint="eastAsia"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t>（生产线3#）</w:t>
      </w:r>
    </w:p>
    <w:p w14:paraId="6C721799">
      <w:pPr>
        <w:spacing w:before="1" w:line="360" w:lineRule="auto"/>
        <w:ind w:left="4" w:firstLine="481"/>
        <w:rPr>
          <w:rFonts w:hint="default" w:ascii="Times New Roman" w:hAnsi="Times New Roman" w:eastAsia="宋体" w:cs="Times New Roman"/>
          <w:b/>
          <w:bCs/>
          <w:spacing w:val="-2"/>
          <w:sz w:val="24"/>
          <w:szCs w:val="24"/>
          <w:highlight w:val="none"/>
          <w:lang w:val="en-US" w:eastAsia="zh-CN"/>
        </w:rPr>
      </w:pPr>
      <w:r>
        <w:rPr>
          <w:rFonts w:hint="default" w:ascii="Times New Roman" w:hAnsi="Times New Roman" w:eastAsia="宋体" w:cs="Times New Roman"/>
          <w:b/>
          <w:bCs/>
          <w:spacing w:val="-2"/>
          <w:sz w:val="24"/>
          <w:szCs w:val="24"/>
          <w:highlight w:val="none"/>
          <w:lang w:val="en-US" w:eastAsia="zh-CN"/>
        </w:rPr>
        <w:t>酶制剂粉剂工艺流程简述</w:t>
      </w:r>
      <w:r>
        <w:rPr>
          <w:rFonts w:hint="eastAsia" w:eastAsia="宋体" w:cs="Times New Roman"/>
          <w:b/>
          <w:bCs/>
          <w:spacing w:val="-2"/>
          <w:sz w:val="24"/>
          <w:szCs w:val="24"/>
          <w:highlight w:val="none"/>
          <w:lang w:val="en-US" w:eastAsia="zh-CN"/>
        </w:rPr>
        <w:t>：</w:t>
      </w:r>
    </w:p>
    <w:p w14:paraId="2C40F353">
      <w:pPr>
        <w:spacing w:before="1" w:line="360" w:lineRule="auto"/>
        <w:ind w:left="4" w:firstLine="481"/>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（1）称取原</w:t>
      </w:r>
      <w:r>
        <w:rPr>
          <w:rFonts w:hint="default" w:ascii="宋体" w:hAnsi="宋体" w:eastAsia="宋体" w:cs="宋体"/>
          <w:spacing w:val="-1"/>
          <w:sz w:val="24"/>
          <w:szCs w:val="24"/>
          <w:highlight w:val="none"/>
          <w:lang w:val="en-US" w:eastAsia="zh-CN"/>
        </w:rPr>
        <w:t>料：在粉剂</w:t>
      </w:r>
      <w:r>
        <w:rPr>
          <w:rFonts w:hint="eastAsia" w:ascii="宋体" w:hAnsi="宋体" w:eastAsia="宋体" w:cs="宋体"/>
          <w:spacing w:val="-1"/>
          <w:sz w:val="24"/>
          <w:szCs w:val="24"/>
          <w:highlight w:val="none"/>
          <w:lang w:val="en-US" w:eastAsia="zh-CN"/>
        </w:rPr>
        <w:t>复配</w:t>
      </w:r>
      <w:r>
        <w:rPr>
          <w:rFonts w:hint="default" w:ascii="宋体" w:hAnsi="宋体" w:eastAsia="宋体" w:cs="宋体"/>
          <w:spacing w:val="-1"/>
          <w:sz w:val="24"/>
          <w:szCs w:val="24"/>
          <w:highlight w:val="none"/>
          <w:lang w:val="en-US" w:eastAsia="zh-CN"/>
        </w:rPr>
        <w:t>车间</w:t>
      </w:r>
      <w:r>
        <w:rPr>
          <w:rFonts w:hint="default" w:ascii="Times New Roman" w:hAnsi="Times New Roman" w:eastAsia="宋体" w:cs="Times New Roman"/>
          <w:spacing w:val="-2"/>
          <w:sz w:val="24"/>
          <w:szCs w:val="24"/>
          <w:highlight w:val="none"/>
        </w:rPr>
        <w:t>根据客户要求</w:t>
      </w:r>
      <w:r>
        <w:rPr>
          <w:rFonts w:hint="default" w:ascii="宋体" w:hAnsi="宋体" w:eastAsia="宋体" w:cs="宋体"/>
          <w:spacing w:val="-1"/>
          <w:sz w:val="24"/>
          <w:szCs w:val="24"/>
          <w:highlight w:val="none"/>
        </w:rPr>
        <w:t>按配方精准称</w:t>
      </w:r>
      <w:r>
        <w:rPr>
          <w:rFonts w:hint="eastAsia" w:ascii="宋体" w:hAnsi="宋体" w:eastAsia="宋体" w:cs="宋体"/>
          <w:spacing w:val="-1"/>
          <w:sz w:val="24"/>
          <w:szCs w:val="24"/>
          <w:highlight w:val="none"/>
          <w:lang w:val="en-US" w:eastAsia="zh-CN"/>
        </w:rPr>
        <w:t>固体纤维素酶、元明粉、三聚磷酸钠</w:t>
      </w:r>
      <w:r>
        <w:rPr>
          <w:rFonts w:hint="default" w:ascii="Times New Roman" w:hAnsi="Times New Roman" w:eastAsia="宋体" w:cs="Times New Roman"/>
          <w:spacing w:val="-2"/>
          <w:sz w:val="24"/>
          <w:szCs w:val="24"/>
          <w:highlight w:val="none"/>
        </w:rPr>
        <w:t>，称取过程中会有少量粉尘产生；</w:t>
      </w:r>
    </w:p>
    <w:p w14:paraId="587103A9">
      <w:pPr>
        <w:spacing w:before="1" w:line="360" w:lineRule="auto"/>
        <w:ind w:left="4" w:firstLine="481"/>
        <w:rPr>
          <w:rFonts w:hint="eastAsia" w:ascii="Times New Roman" w:hAnsi="Times New Roman" w:eastAsia="宋体" w:cs="Times New Roman"/>
          <w:spacing w:val="-2"/>
          <w:sz w:val="24"/>
          <w:szCs w:val="24"/>
          <w:highlight w:val="none"/>
          <w:lang w:eastAsia="zh-CN"/>
        </w:rPr>
      </w:pPr>
      <w:r>
        <w:rPr>
          <w:rFonts w:hint="default" w:ascii="Times New Roman" w:hAnsi="Times New Roman" w:eastAsia="宋体" w:cs="Times New Roman"/>
          <w:spacing w:val="-2"/>
          <w:sz w:val="24"/>
          <w:szCs w:val="24"/>
          <w:highlight w:val="none"/>
        </w:rPr>
        <w:t>（2）混合搅拌：将称取的原料放入</w:t>
      </w:r>
      <w:r>
        <w:rPr>
          <w:rFonts w:hint="eastAsia" w:eastAsia="宋体" w:cs="Times New Roman"/>
          <w:spacing w:val="-2"/>
          <w:sz w:val="24"/>
          <w:szCs w:val="24"/>
          <w:highlight w:val="none"/>
          <w:lang w:val="en-US" w:eastAsia="zh-CN"/>
        </w:rPr>
        <w:t>粉剂</w:t>
      </w:r>
      <w:r>
        <w:rPr>
          <w:rFonts w:hint="default" w:ascii="Times New Roman" w:hAnsi="Times New Roman" w:eastAsia="宋体" w:cs="Times New Roman"/>
          <w:spacing w:val="-2"/>
          <w:sz w:val="24"/>
          <w:szCs w:val="24"/>
          <w:highlight w:val="none"/>
        </w:rPr>
        <w:t>搅拌</w:t>
      </w:r>
      <w:r>
        <w:rPr>
          <w:rFonts w:hint="eastAsia" w:ascii="Times New Roman" w:hAnsi="Times New Roman" w:eastAsia="宋体" w:cs="Times New Roman"/>
          <w:spacing w:val="-2"/>
          <w:sz w:val="24"/>
          <w:szCs w:val="24"/>
          <w:highlight w:val="none"/>
          <w:lang w:val="en-US" w:eastAsia="zh-CN"/>
        </w:rPr>
        <w:t>罐</w:t>
      </w:r>
      <w:r>
        <w:rPr>
          <w:rFonts w:hint="default" w:ascii="Times New Roman" w:hAnsi="Times New Roman" w:eastAsia="宋体" w:cs="Times New Roman"/>
          <w:spacing w:val="-2"/>
          <w:sz w:val="24"/>
          <w:szCs w:val="24"/>
          <w:highlight w:val="none"/>
        </w:rPr>
        <w:t>进行搅拌</w:t>
      </w:r>
      <w:r>
        <w:rPr>
          <w:rFonts w:hint="eastAsia"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搅拌设备有加盖设备，</w:t>
      </w:r>
      <w:r>
        <w:rPr>
          <w:rFonts w:hint="eastAsia" w:eastAsia="宋体" w:cs="Times New Roman"/>
          <w:spacing w:val="-2"/>
          <w:sz w:val="24"/>
          <w:szCs w:val="24"/>
          <w:highlight w:val="none"/>
          <w:lang w:val="en-US" w:eastAsia="zh-CN"/>
        </w:rPr>
        <w:t>搅拌时密闭操作，</w:t>
      </w:r>
      <w:r>
        <w:rPr>
          <w:rFonts w:hint="default" w:ascii="Times New Roman" w:hAnsi="Times New Roman" w:eastAsia="宋体" w:cs="Times New Roman"/>
          <w:spacing w:val="-2"/>
          <w:sz w:val="24"/>
          <w:szCs w:val="24"/>
          <w:highlight w:val="none"/>
        </w:rPr>
        <w:t>因此，搅拌过程中</w:t>
      </w:r>
      <w:r>
        <w:rPr>
          <w:rFonts w:hint="eastAsia" w:eastAsia="宋体" w:cs="Times New Roman"/>
          <w:spacing w:val="-2"/>
          <w:sz w:val="24"/>
          <w:szCs w:val="24"/>
          <w:highlight w:val="none"/>
          <w:lang w:val="en-US" w:eastAsia="zh-CN"/>
        </w:rPr>
        <w:t>有</w:t>
      </w:r>
      <w:r>
        <w:rPr>
          <w:rFonts w:hint="default" w:ascii="Times New Roman" w:hAnsi="Times New Roman" w:eastAsia="宋体" w:cs="Times New Roman"/>
          <w:spacing w:val="-2"/>
          <w:sz w:val="24"/>
          <w:szCs w:val="24"/>
          <w:highlight w:val="none"/>
        </w:rPr>
        <w:t>搅拌噪声；</w:t>
      </w:r>
    </w:p>
    <w:p w14:paraId="267B2884">
      <w:pPr>
        <w:spacing w:before="1" w:line="360" w:lineRule="auto"/>
        <w:ind w:left="4" w:firstLine="481"/>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（3）放料装桶：将拌合好的产品放入桶中，可能会产生少量粉尘。</w:t>
      </w:r>
    </w:p>
    <w:p w14:paraId="1F6FBD83">
      <w:pPr>
        <w:spacing w:before="1" w:line="360" w:lineRule="auto"/>
        <w:ind w:left="4" w:firstLine="481"/>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（4）检验：在实验室对成品进行成分检验，看是否拌合均匀，不合格产品将会回用到工艺进行重新搅拌。</w:t>
      </w:r>
    </w:p>
    <w:p w14:paraId="4767D3A3">
      <w:pPr>
        <w:spacing w:before="1" w:line="360" w:lineRule="auto"/>
        <w:ind w:left="4" w:firstLine="481"/>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（5）成品包装：将成品进行包装</w:t>
      </w:r>
      <w:r>
        <w:rPr>
          <w:rFonts w:hint="eastAsia" w:eastAsia="宋体" w:cs="Times New Roman"/>
          <w:spacing w:val="-2"/>
          <w:sz w:val="24"/>
          <w:szCs w:val="24"/>
          <w:highlight w:val="none"/>
          <w:lang w:eastAsia="zh-CN"/>
        </w:rPr>
        <w:t>，</w:t>
      </w:r>
      <w:r>
        <w:rPr>
          <w:rFonts w:hint="eastAsia" w:eastAsia="宋体" w:cs="Times New Roman"/>
          <w:spacing w:val="-2"/>
          <w:sz w:val="24"/>
          <w:szCs w:val="24"/>
          <w:highlight w:val="none"/>
          <w:lang w:val="en-US" w:eastAsia="zh-CN"/>
        </w:rPr>
        <w:t>产品是酶制剂粉剂</w:t>
      </w:r>
      <w:r>
        <w:rPr>
          <w:rFonts w:hint="default" w:ascii="Times New Roman" w:hAnsi="Times New Roman" w:eastAsia="宋体" w:cs="Times New Roman"/>
          <w:spacing w:val="-2"/>
          <w:sz w:val="24"/>
          <w:szCs w:val="24"/>
          <w:highlight w:val="none"/>
        </w:rPr>
        <w:t>。</w:t>
      </w:r>
    </w:p>
    <w:p w14:paraId="07E73BE9">
      <w:pPr>
        <w:pStyle w:val="9"/>
        <w:rPr>
          <w:rFonts w:hint="default"/>
          <w:highlight w:val="none"/>
          <w:lang w:val="en-US" w:eastAsia="zh-CN"/>
        </w:rPr>
      </w:pPr>
      <w:r>
        <w:rPr>
          <w:rFonts w:hint="eastAsia"/>
          <w:highlight w:val="none"/>
          <w:lang w:val="en-US" w:eastAsia="zh-CN"/>
        </w:rPr>
        <w:t>4.2.1.2酶制剂水剂</w:t>
      </w:r>
      <w:r>
        <w:rPr>
          <w:rFonts w:hint="eastAsia"/>
          <w:highlight w:val="none"/>
        </w:rPr>
        <w:t>复配工艺流程及产污环节</w:t>
      </w:r>
    </w:p>
    <w:p w14:paraId="051724FC">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29874778">
      <w:pPr>
        <w:ind w:firstLine="0" w:firstLineChars="0"/>
        <w:jc w:val="both"/>
        <w:rPr>
          <w:rFonts w:hint="eastAsia" w:ascii="Times New Roman" w:hAnsi="Times New Roman" w:eastAsia="宋体" w:cs="Times New Roman"/>
          <w:b/>
          <w:bCs/>
          <w:spacing w:val="-3"/>
          <w:kern w:val="0"/>
          <w:sz w:val="24"/>
          <w:szCs w:val="20"/>
          <w:highlight w:val="none"/>
          <w:u w:val="none"/>
          <w:lang w:val="en-US" w:eastAsia="zh-CN" w:bidi="ar-SA"/>
        </w:rPr>
      </w:pPr>
    </w:p>
    <w:p w14:paraId="18B1D581">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558B37CA">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521695D7">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4370DF98">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38DA42BD">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642A6396">
      <w:pPr>
        <w:jc w:val="center"/>
        <w:rPr>
          <w:rFonts w:hint="eastAsia" w:ascii="Times New Roman" w:hAnsi="Times New Roman" w:eastAsia="宋体" w:cs="Times New Roman"/>
          <w:b/>
          <w:bCs/>
          <w:spacing w:val="-3"/>
          <w:kern w:val="0"/>
          <w:sz w:val="24"/>
          <w:szCs w:val="20"/>
          <w:highlight w:val="none"/>
          <w:u w:val="none"/>
          <w:lang w:val="en-US" w:eastAsia="zh-CN" w:bidi="ar-SA"/>
        </w:rPr>
      </w:pPr>
      <w:r>
        <w:rPr>
          <w:rFonts w:hint="eastAsia" w:ascii="Times New Roman" w:hAnsi="Times New Roman" w:eastAsia="宋体" w:cs="Times New Roman"/>
          <w:b/>
          <w:bCs/>
          <w:spacing w:val="-3"/>
          <w:kern w:val="0"/>
          <w:sz w:val="24"/>
          <w:szCs w:val="20"/>
          <w:highlight w:val="none"/>
          <w:u w:val="none"/>
          <w:lang w:val="en-US" w:eastAsia="zh-CN" w:bidi="ar-SA"/>
        </w:rPr>
        <w:drawing>
          <wp:anchor distT="0" distB="0" distL="114300" distR="114300" simplePos="0" relativeHeight="251685888" behindDoc="0" locked="0" layoutInCell="1" allowOverlap="1">
            <wp:simplePos x="0" y="0"/>
            <wp:positionH relativeFrom="column">
              <wp:posOffset>1711960</wp:posOffset>
            </wp:positionH>
            <wp:positionV relativeFrom="paragraph">
              <wp:posOffset>-287020</wp:posOffset>
            </wp:positionV>
            <wp:extent cx="1619250" cy="2790825"/>
            <wp:effectExtent l="0" t="0" r="0" b="9525"/>
            <wp:wrapSquare wrapText="bothSides"/>
            <wp:docPr id="37" name="图片 37" descr="ae54043e0ca051de55d0a436aeef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e54043e0ca051de55d0a436aeef81c"/>
                    <pic:cNvPicPr>
                      <a:picLocks noChangeAspect="1"/>
                    </pic:cNvPicPr>
                  </pic:nvPicPr>
                  <pic:blipFill>
                    <a:blip r:embed="rId20"/>
                    <a:stretch>
                      <a:fillRect/>
                    </a:stretch>
                  </pic:blipFill>
                  <pic:spPr>
                    <a:xfrm>
                      <a:off x="0" y="0"/>
                      <a:ext cx="1619250" cy="2790825"/>
                    </a:xfrm>
                    <a:prstGeom prst="rect">
                      <a:avLst/>
                    </a:prstGeom>
                  </pic:spPr>
                </pic:pic>
              </a:graphicData>
            </a:graphic>
          </wp:anchor>
        </w:drawing>
      </w:r>
    </w:p>
    <w:p w14:paraId="4C183144">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42468904">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588EDA56">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216CB2A2">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7352D42A">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6B959CDA">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1E2DD329">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3317F370">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3AB2401B">
      <w:pPr>
        <w:jc w:val="center"/>
        <w:rPr>
          <w:rFonts w:hint="eastAsia" w:ascii="Times New Roman" w:hAnsi="Times New Roman" w:eastAsia="宋体" w:cs="Times New Roman"/>
          <w:b/>
          <w:bCs/>
          <w:spacing w:val="-3"/>
          <w:kern w:val="0"/>
          <w:sz w:val="24"/>
          <w:szCs w:val="20"/>
          <w:highlight w:val="none"/>
          <w:u w:val="none"/>
          <w:lang w:val="en-US" w:eastAsia="zh-CN" w:bidi="ar-SA"/>
        </w:rPr>
      </w:pPr>
    </w:p>
    <w:p w14:paraId="77847D33">
      <w:pPr>
        <w:jc w:val="center"/>
        <w:rPr>
          <w:rFonts w:hint="eastAsia" w:ascii="Times New Roman" w:hAnsi="Times New Roman" w:eastAsia="宋体" w:cs="Times New Roman"/>
          <w:b/>
          <w:bCs/>
          <w:spacing w:val="-3"/>
          <w:kern w:val="0"/>
          <w:sz w:val="24"/>
          <w:szCs w:val="20"/>
          <w:highlight w:val="none"/>
          <w:u w:val="none"/>
          <w:lang w:val="en-US" w:eastAsia="zh-CN" w:bidi="ar-SA"/>
        </w:rPr>
      </w:pPr>
      <w:r>
        <w:rPr>
          <w:rFonts w:hint="eastAsia" w:ascii="Times New Roman" w:hAnsi="Times New Roman" w:eastAsia="宋体" w:cs="Times New Roman"/>
          <w:b/>
          <w:bCs/>
          <w:spacing w:val="-3"/>
          <w:kern w:val="0"/>
          <w:sz w:val="24"/>
          <w:szCs w:val="20"/>
          <w:highlight w:val="none"/>
          <w:u w:val="none"/>
          <w:lang w:val="en-US" w:eastAsia="zh-CN" w:bidi="ar-SA"/>
        </w:rPr>
        <w:t>图</w:t>
      </w:r>
      <w:r>
        <w:rPr>
          <w:rFonts w:hint="eastAsia" w:eastAsia="宋体" w:cs="Times New Roman"/>
          <w:b/>
          <w:bCs/>
          <w:spacing w:val="-3"/>
          <w:kern w:val="0"/>
          <w:sz w:val="24"/>
          <w:szCs w:val="20"/>
          <w:highlight w:val="none"/>
          <w:u w:val="none"/>
          <w:lang w:val="en-US" w:eastAsia="zh-CN" w:bidi="ar-SA"/>
        </w:rPr>
        <w:t>4</w:t>
      </w:r>
      <w:r>
        <w:rPr>
          <w:rFonts w:hint="eastAsia" w:ascii="Times New Roman" w:hAnsi="Times New Roman" w:eastAsia="宋体" w:cs="Times New Roman"/>
          <w:b/>
          <w:bCs/>
          <w:spacing w:val="-3"/>
          <w:kern w:val="0"/>
          <w:sz w:val="24"/>
          <w:szCs w:val="20"/>
          <w:highlight w:val="none"/>
          <w:u w:val="none"/>
          <w:lang w:val="en-US" w:eastAsia="zh-CN" w:bidi="ar-SA"/>
        </w:rPr>
        <w:t>.</w:t>
      </w:r>
      <w:r>
        <w:rPr>
          <w:rFonts w:hint="eastAsia" w:eastAsia="宋体" w:cs="Times New Roman"/>
          <w:b/>
          <w:bCs/>
          <w:spacing w:val="-3"/>
          <w:kern w:val="0"/>
          <w:sz w:val="24"/>
          <w:szCs w:val="20"/>
          <w:highlight w:val="none"/>
          <w:u w:val="none"/>
          <w:lang w:val="en-US" w:eastAsia="zh-CN" w:bidi="ar-SA"/>
        </w:rPr>
        <w:t>2</w:t>
      </w:r>
      <w:r>
        <w:rPr>
          <w:rFonts w:hint="eastAsia" w:ascii="Times New Roman" w:hAnsi="Times New Roman" w:eastAsia="宋体" w:cs="Times New Roman"/>
          <w:b/>
          <w:bCs/>
          <w:spacing w:val="-3"/>
          <w:kern w:val="0"/>
          <w:sz w:val="24"/>
          <w:szCs w:val="20"/>
          <w:highlight w:val="none"/>
          <w:u w:val="none"/>
          <w:lang w:val="en-US" w:eastAsia="zh-CN" w:bidi="ar-SA"/>
        </w:rPr>
        <w:t>-</w:t>
      </w:r>
      <w:r>
        <w:rPr>
          <w:rFonts w:hint="eastAsia" w:eastAsia="宋体" w:cs="Times New Roman"/>
          <w:b/>
          <w:bCs/>
          <w:spacing w:val="-3"/>
          <w:kern w:val="0"/>
          <w:sz w:val="24"/>
          <w:szCs w:val="20"/>
          <w:highlight w:val="none"/>
          <w:u w:val="none"/>
          <w:lang w:val="en-US" w:eastAsia="zh-CN" w:bidi="ar-SA"/>
        </w:rPr>
        <w:t>2</w:t>
      </w:r>
      <w:r>
        <w:rPr>
          <w:rFonts w:hint="eastAsia" w:ascii="Times New Roman" w:hAnsi="Times New Roman" w:eastAsia="宋体" w:cs="Times New Roman"/>
          <w:b/>
          <w:bCs/>
          <w:spacing w:val="-3"/>
          <w:kern w:val="0"/>
          <w:sz w:val="24"/>
          <w:szCs w:val="20"/>
          <w:highlight w:val="none"/>
          <w:u w:val="none"/>
          <w:lang w:val="en-US" w:eastAsia="zh-CN" w:bidi="ar-SA"/>
        </w:rPr>
        <w:t xml:space="preserve">  酶制剂水剂复配工艺及产污环节图</w:t>
      </w:r>
      <w:r>
        <w:rPr>
          <w:rFonts w:hint="eastAsia"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t>（生产线1#）</w:t>
      </w:r>
    </w:p>
    <w:p w14:paraId="2C0C22E7">
      <w:pPr>
        <w:keepNext w:val="0"/>
        <w:keepLines w:val="0"/>
        <w:pageBreakBefore w:val="0"/>
        <w:widowControl w:val="0"/>
        <w:kinsoku/>
        <w:wordWrap/>
        <w:overflowPunct/>
        <w:topLinePunct w:val="0"/>
        <w:autoSpaceDE/>
        <w:autoSpaceDN/>
        <w:bidi w:val="0"/>
        <w:adjustRightInd/>
        <w:snapToGrid/>
        <w:spacing w:line="360" w:lineRule="auto"/>
        <w:ind w:left="0" w:leftChars="0" w:firstLine="474" w:firstLineChars="200"/>
        <w:jc w:val="both"/>
        <w:textAlignment w:val="auto"/>
        <w:rPr>
          <w:rFonts w:hint="default" w:ascii="Times New Roman" w:hAnsi="Times New Roman" w:eastAsia="宋体" w:cs="Times New Roman"/>
          <w:b/>
          <w:bCs/>
          <w:spacing w:val="-2"/>
          <w:sz w:val="24"/>
          <w:szCs w:val="24"/>
          <w:highlight w:val="none"/>
          <w:lang w:val="en-US" w:eastAsia="zh-CN"/>
        </w:rPr>
      </w:pPr>
      <w:r>
        <w:rPr>
          <w:rFonts w:hint="default" w:ascii="Times New Roman" w:hAnsi="Times New Roman" w:eastAsia="宋体" w:cs="Times New Roman"/>
          <w:b/>
          <w:bCs/>
          <w:spacing w:val="-2"/>
          <w:sz w:val="24"/>
          <w:szCs w:val="24"/>
          <w:highlight w:val="none"/>
          <w:lang w:val="en-US" w:eastAsia="zh-CN"/>
        </w:rPr>
        <w:t>酶制剂水剂工艺流程简述</w:t>
      </w:r>
      <w:r>
        <w:rPr>
          <w:rFonts w:hint="eastAsia" w:ascii="Times New Roman" w:hAnsi="Times New Roman" w:eastAsia="宋体" w:cs="Times New Roman"/>
          <w:b/>
          <w:bCs/>
          <w:spacing w:val="-2"/>
          <w:sz w:val="24"/>
          <w:szCs w:val="24"/>
          <w:highlight w:val="none"/>
          <w:lang w:val="en-US" w:eastAsia="zh-CN"/>
        </w:rPr>
        <w:t>：</w:t>
      </w:r>
    </w:p>
    <w:p w14:paraId="59827063">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72" w:firstLineChars="200"/>
        <w:jc w:val="both"/>
        <w:textAlignment w:val="auto"/>
        <w:rPr>
          <w:rFonts w:hint="eastAsia" w:ascii="Times New Roman" w:hAnsi="Times New Roman" w:eastAsia="宋体" w:cs="Times New Roman"/>
          <w:spacing w:val="-2"/>
          <w:sz w:val="24"/>
          <w:szCs w:val="24"/>
          <w:highlight w:val="none"/>
          <w:lang w:eastAsia="zh-CN"/>
        </w:rPr>
      </w:pPr>
      <w:r>
        <w:rPr>
          <w:rFonts w:hint="default" w:ascii="Times New Roman" w:hAnsi="Times New Roman" w:eastAsia="宋体" w:cs="Times New Roman"/>
          <w:spacing w:val="-2"/>
          <w:sz w:val="24"/>
          <w:szCs w:val="24"/>
          <w:highlight w:val="none"/>
        </w:rPr>
        <w:t>称取原料：在</w:t>
      </w:r>
      <w:r>
        <w:rPr>
          <w:rFonts w:hint="eastAsia" w:eastAsia="宋体" w:cs="Times New Roman"/>
          <w:spacing w:val="-2"/>
          <w:sz w:val="24"/>
          <w:szCs w:val="24"/>
          <w:highlight w:val="none"/>
          <w:lang w:val="en-US" w:eastAsia="zh-CN"/>
        </w:rPr>
        <w:t>液态产品复配车间</w:t>
      </w:r>
      <w:r>
        <w:rPr>
          <w:rFonts w:hint="default" w:ascii="Times New Roman" w:hAnsi="Times New Roman" w:eastAsia="宋体" w:cs="Times New Roman"/>
          <w:spacing w:val="-2"/>
          <w:sz w:val="24"/>
          <w:szCs w:val="24"/>
          <w:highlight w:val="none"/>
        </w:rPr>
        <w:t>根据客户要求</w:t>
      </w:r>
      <w:r>
        <w:rPr>
          <w:rFonts w:hint="default" w:ascii="宋体" w:hAnsi="宋体" w:eastAsia="宋体" w:cs="宋体"/>
          <w:spacing w:val="-1"/>
          <w:sz w:val="24"/>
          <w:szCs w:val="24"/>
          <w:highlight w:val="none"/>
        </w:rPr>
        <w:t>按配方精准称</w:t>
      </w:r>
      <w:r>
        <w:rPr>
          <w:rFonts w:hint="eastAsia" w:ascii="宋体" w:hAnsi="宋体" w:eastAsia="宋体" w:cs="宋体"/>
          <w:spacing w:val="-1"/>
          <w:sz w:val="24"/>
          <w:szCs w:val="24"/>
          <w:highlight w:val="none"/>
          <w:lang w:val="en-US" w:eastAsia="zh-CN"/>
        </w:rPr>
        <w:t>液态纤维素酶、山梨醇、盐</w:t>
      </w:r>
      <w:r>
        <w:rPr>
          <w:rFonts w:hint="eastAsia" w:ascii="Times New Roman" w:hAnsi="Times New Roman" w:eastAsia="宋体" w:cs="Times New Roman"/>
          <w:spacing w:val="-2"/>
          <w:sz w:val="24"/>
          <w:szCs w:val="24"/>
          <w:highlight w:val="none"/>
          <w:lang w:eastAsia="zh-CN"/>
        </w:rPr>
        <w:t>；</w:t>
      </w:r>
    </w:p>
    <w:p w14:paraId="1705E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（2）混合搅拌：将称取的原料放入</w:t>
      </w:r>
      <w:r>
        <w:rPr>
          <w:rFonts w:hint="eastAsia" w:eastAsia="宋体" w:cs="Times New Roman"/>
          <w:spacing w:val="-2"/>
          <w:sz w:val="24"/>
          <w:szCs w:val="24"/>
          <w:highlight w:val="none"/>
          <w:lang w:val="en-US" w:eastAsia="zh-CN"/>
        </w:rPr>
        <w:t>水剂搅拌釜</w:t>
      </w:r>
      <w:r>
        <w:rPr>
          <w:rFonts w:hint="eastAsia" w:ascii="Times New Roman" w:hAnsi="Times New Roman" w:eastAsia="宋体" w:cs="Times New Roman"/>
          <w:spacing w:val="-2"/>
          <w:sz w:val="24"/>
          <w:szCs w:val="24"/>
          <w:highlight w:val="none"/>
          <w:lang w:val="en-US" w:eastAsia="zh-CN"/>
        </w:rPr>
        <w:t>，</w:t>
      </w:r>
      <w:r>
        <w:rPr>
          <w:rFonts w:hint="eastAsia" w:ascii="宋体" w:hAnsi="宋体" w:eastAsia="宋体" w:cs="宋体"/>
          <w:spacing w:val="-1"/>
          <w:sz w:val="24"/>
          <w:szCs w:val="24"/>
          <w:highlight w:val="none"/>
          <w:lang w:val="en-US" w:eastAsia="zh-CN"/>
        </w:rPr>
        <w:t>再加入</w:t>
      </w:r>
      <w:r>
        <w:rPr>
          <w:rFonts w:hint="eastAsia" w:ascii="Times New Roman" w:hAnsi="Times New Roman" w:eastAsia="宋体" w:cs="Times New Roman"/>
          <w:spacing w:val="-2"/>
          <w:sz w:val="24"/>
          <w:szCs w:val="24"/>
          <w:highlight w:val="none"/>
          <w:lang w:val="en-US" w:eastAsia="zh-CN"/>
        </w:rPr>
        <w:t>事先由</w:t>
      </w:r>
      <w:r>
        <w:rPr>
          <w:rFonts w:hint="default" w:ascii="Times New Roman" w:hAnsi="Times New Roman" w:eastAsia="宋体" w:cs="Times New Roman"/>
          <w:spacing w:val="-2"/>
          <w:sz w:val="24"/>
          <w:szCs w:val="24"/>
          <w:highlight w:val="none"/>
          <w:lang w:val="en-US" w:eastAsia="zh-CN"/>
        </w:rPr>
        <w:t>反渗透制水设备</w:t>
      </w:r>
      <w:r>
        <w:rPr>
          <w:rFonts w:hint="default" w:ascii="Times New Roman" w:hAnsi="Times New Roman" w:eastAsia="宋体" w:cs="Times New Roman"/>
          <w:spacing w:val="-2"/>
          <w:sz w:val="24"/>
          <w:szCs w:val="24"/>
          <w:highlight w:val="none"/>
        </w:rPr>
        <w:t>净化后的</w:t>
      </w:r>
      <w:r>
        <w:rPr>
          <w:rFonts w:hint="default" w:ascii="Times New Roman" w:hAnsi="Times New Roman" w:eastAsia="宋体" w:cs="Times New Roman"/>
          <w:spacing w:val="-2"/>
          <w:sz w:val="24"/>
          <w:szCs w:val="24"/>
          <w:highlight w:val="none"/>
          <w:lang w:val="en-US" w:eastAsia="zh-CN"/>
        </w:rPr>
        <w:t>纯</w:t>
      </w:r>
      <w:r>
        <w:rPr>
          <w:rFonts w:hint="default" w:ascii="Times New Roman" w:hAnsi="Times New Roman" w:eastAsia="宋体" w:cs="Times New Roman"/>
          <w:spacing w:val="-2"/>
          <w:sz w:val="24"/>
          <w:szCs w:val="24"/>
          <w:highlight w:val="none"/>
        </w:rPr>
        <w:t>水</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一起</w:t>
      </w:r>
      <w:r>
        <w:rPr>
          <w:rFonts w:hint="eastAsia" w:eastAsia="宋体" w:cs="Times New Roman"/>
          <w:spacing w:val="-2"/>
          <w:sz w:val="24"/>
          <w:szCs w:val="24"/>
          <w:highlight w:val="none"/>
          <w:lang w:val="en-US" w:eastAsia="zh-CN"/>
        </w:rPr>
        <w:t>混合搅拌</w:t>
      </w:r>
      <w:r>
        <w:rPr>
          <w:rFonts w:hint="default" w:ascii="Times New Roman" w:hAnsi="Times New Roman" w:eastAsia="宋体" w:cs="Times New Roman"/>
          <w:spacing w:val="-2"/>
          <w:sz w:val="24"/>
          <w:szCs w:val="24"/>
          <w:highlight w:val="none"/>
        </w:rPr>
        <w:t>，搅拌设备有加盖设备，因此，搅拌过程中将会有搅拌噪声；</w:t>
      </w:r>
    </w:p>
    <w:p w14:paraId="6C754F2C">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（3）放料装桶：将拌合好的产品放入桶中，可能会产生</w:t>
      </w:r>
      <w:r>
        <w:rPr>
          <w:rFonts w:hint="eastAsia" w:eastAsia="宋体" w:cs="Times New Roman"/>
          <w:spacing w:val="-2"/>
          <w:sz w:val="24"/>
          <w:szCs w:val="24"/>
          <w:highlight w:val="none"/>
          <w:lang w:val="en-US" w:eastAsia="zh-CN"/>
        </w:rPr>
        <w:t>噪声</w:t>
      </w:r>
      <w:r>
        <w:rPr>
          <w:rFonts w:hint="default" w:ascii="Times New Roman" w:hAnsi="Times New Roman" w:eastAsia="宋体" w:cs="Times New Roman"/>
          <w:spacing w:val="-2"/>
          <w:sz w:val="24"/>
          <w:szCs w:val="24"/>
          <w:highlight w:val="none"/>
        </w:rPr>
        <w:t>。</w:t>
      </w:r>
    </w:p>
    <w:p w14:paraId="225CEA04">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（4）检验：在实验室对成品进行成分检验，看是否拌合均匀，不合格产品将会回用到工艺进行重新搅拌。</w:t>
      </w:r>
    </w:p>
    <w:p w14:paraId="0AD3BB9A">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spacing w:val="-2"/>
          <w:sz w:val="24"/>
          <w:szCs w:val="24"/>
          <w:highlight w:val="none"/>
        </w:rPr>
        <w:t>（5）成品包装：将成品进行包装</w:t>
      </w:r>
      <w:r>
        <w:rPr>
          <w:rFonts w:hint="eastAsia" w:eastAsia="宋体" w:cs="Times New Roman"/>
          <w:spacing w:val="-2"/>
          <w:sz w:val="24"/>
          <w:szCs w:val="24"/>
          <w:highlight w:val="none"/>
          <w:lang w:eastAsia="zh-CN"/>
        </w:rPr>
        <w:t>，</w:t>
      </w:r>
      <w:r>
        <w:rPr>
          <w:rFonts w:hint="eastAsia" w:eastAsia="宋体" w:cs="Times New Roman"/>
          <w:spacing w:val="-2"/>
          <w:sz w:val="24"/>
          <w:szCs w:val="24"/>
          <w:highlight w:val="none"/>
          <w:lang w:val="en-US" w:eastAsia="zh-CN"/>
        </w:rPr>
        <w:t>产品是酶制剂水剂</w:t>
      </w:r>
      <w:r>
        <w:rPr>
          <w:rFonts w:hint="default" w:ascii="Times New Roman" w:hAnsi="Times New Roman" w:eastAsia="宋体" w:cs="Times New Roman"/>
          <w:spacing w:val="-2"/>
          <w:sz w:val="24"/>
          <w:szCs w:val="24"/>
          <w:highlight w:val="none"/>
        </w:rPr>
        <w:t>。</w:t>
      </w:r>
    </w:p>
    <w:p w14:paraId="5B8CD0A1">
      <w:pPr>
        <w:pStyle w:val="7"/>
        <w:bidi w:val="0"/>
        <w:rPr>
          <w:rFonts w:hint="default" w:ascii="Times New Roman" w:hAnsi="Times New Roman" w:eastAsia="宋体" w:cs="Times New Roman"/>
          <w:highlight w:val="none"/>
          <w:lang w:val="en-US" w:eastAsia="zh-CN"/>
        </w:rPr>
      </w:pPr>
      <w:bookmarkStart w:id="107" w:name="_Toc5868"/>
      <w:r>
        <w:rPr>
          <w:rFonts w:hint="eastAsia" w:cs="Times New Roman"/>
          <w:highlight w:val="none"/>
          <w:lang w:val="en-US" w:eastAsia="zh-CN"/>
        </w:rPr>
        <w:t>4.2.2 酶制品助剂</w:t>
      </w:r>
      <w:r>
        <w:rPr>
          <w:rFonts w:hint="eastAsia" w:ascii="Times New Roman" w:hAnsi="Times New Roman" w:eastAsia="宋体" w:cs="Times New Roman"/>
          <w:highlight w:val="none"/>
          <w:lang w:val="en-US" w:eastAsia="zh-CN"/>
        </w:rPr>
        <w:t>生产工艺及产污环节</w:t>
      </w:r>
      <w:bookmarkEnd w:id="107"/>
    </w:p>
    <w:p w14:paraId="55258504">
      <w:pPr>
        <w:pStyle w:val="9"/>
        <w:rPr>
          <w:rFonts w:hint="eastAsia"/>
          <w:highlight w:val="none"/>
          <w:lang w:val="en-US" w:eastAsia="zh-CN"/>
        </w:rPr>
      </w:pPr>
      <w:r>
        <w:rPr>
          <w:rFonts w:hint="eastAsia"/>
          <w:highlight w:val="none"/>
          <w:lang w:val="en-US" w:eastAsia="zh-CN"/>
        </w:rPr>
        <w:t>4.2.2.1 酶制品助剂粉剂生产工艺及产污环节</w:t>
      </w:r>
    </w:p>
    <w:p w14:paraId="1E7C5677">
      <w:pPr>
        <w:spacing w:before="1" w:line="360" w:lineRule="auto"/>
        <w:ind w:left="4" w:firstLine="481"/>
        <w:rPr>
          <w:rFonts w:hint="default" w:ascii="Times New Roman" w:hAnsi="Times New Roman" w:eastAsia="宋体" w:cs="Times New Roman"/>
          <w:color w:val="auto"/>
          <w:spacing w:val="-2"/>
          <w:sz w:val="24"/>
          <w:szCs w:val="24"/>
          <w:highlight w:val="none"/>
          <w:lang w:val="en-US" w:eastAsia="zh-CN"/>
        </w:rPr>
      </w:pPr>
      <w:r>
        <w:rPr>
          <w:rFonts w:hint="eastAsia" w:ascii="Times New Roman" w:hAnsi="Times New Roman" w:eastAsia="宋体" w:cs="Times New Roman"/>
          <w:spacing w:val="-2"/>
          <w:sz w:val="24"/>
          <w:szCs w:val="24"/>
          <w:highlight w:val="none"/>
          <w:lang w:val="en-US" w:eastAsia="zh-CN"/>
        </w:rPr>
        <w:t>本项目酶制</w:t>
      </w:r>
      <w:r>
        <w:rPr>
          <w:rFonts w:hint="eastAsia" w:eastAsia="宋体" w:cs="Times New Roman"/>
          <w:color w:val="auto"/>
          <w:spacing w:val="-2"/>
          <w:sz w:val="24"/>
          <w:szCs w:val="24"/>
          <w:highlight w:val="none"/>
          <w:lang w:val="en-US" w:eastAsia="zh-CN"/>
        </w:rPr>
        <w:t>品</w:t>
      </w:r>
      <w:r>
        <w:rPr>
          <w:rFonts w:hint="default" w:ascii="Times New Roman" w:hAnsi="Times New Roman" w:eastAsia="宋体" w:cs="Times New Roman"/>
          <w:color w:val="auto"/>
          <w:spacing w:val="-2"/>
          <w:sz w:val="24"/>
          <w:szCs w:val="24"/>
          <w:highlight w:val="none"/>
        </w:rPr>
        <w:t>助剂</w:t>
      </w:r>
      <w:r>
        <w:rPr>
          <w:rFonts w:hint="default" w:ascii="Times New Roman" w:hAnsi="Times New Roman" w:eastAsia="宋体" w:cs="Times New Roman"/>
          <w:color w:val="auto"/>
          <w:spacing w:val="-2"/>
          <w:sz w:val="24"/>
          <w:szCs w:val="24"/>
          <w:highlight w:val="none"/>
          <w:lang w:val="en-US" w:eastAsia="zh-CN"/>
        </w:rPr>
        <w:t>粉剂</w:t>
      </w:r>
      <w:r>
        <w:rPr>
          <w:rFonts w:hint="eastAsia" w:eastAsia="宋体" w:cs="Times New Roman"/>
          <w:color w:val="auto"/>
          <w:spacing w:val="-2"/>
          <w:sz w:val="24"/>
          <w:szCs w:val="24"/>
          <w:highlight w:val="none"/>
          <w:lang w:val="en-US" w:eastAsia="zh-CN"/>
        </w:rPr>
        <w:t>2种（</w:t>
      </w:r>
      <w:r>
        <w:rPr>
          <w:rFonts w:hint="default" w:ascii="Times New Roman" w:hAnsi="Times New Roman" w:eastAsia="宋体" w:cs="Times New Roman"/>
          <w:color w:val="auto"/>
          <w:spacing w:val="-2"/>
          <w:sz w:val="24"/>
          <w:szCs w:val="24"/>
          <w:highlight w:val="none"/>
          <w:lang w:val="en-US" w:eastAsia="zh-CN"/>
        </w:rPr>
        <w:t>防染粉</w:t>
      </w:r>
      <w:r>
        <w:rPr>
          <w:rFonts w:hint="eastAsia"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lang w:val="en-US" w:eastAsia="zh-CN"/>
        </w:rPr>
        <w:t>防染粉</w:t>
      </w:r>
      <w:r>
        <w:rPr>
          <w:rFonts w:hint="eastAsia" w:eastAsia="宋体" w:cs="Times New Roman"/>
          <w:color w:val="auto"/>
          <w:spacing w:val="-2"/>
          <w:sz w:val="24"/>
          <w:szCs w:val="24"/>
          <w:highlight w:val="none"/>
          <w:lang w:val="en-US" w:eastAsia="zh-CN"/>
        </w:rPr>
        <w:t>2#</w:t>
      </w:r>
      <w:r>
        <w:rPr>
          <w:rFonts w:hint="default" w:ascii="Times New Roman" w:hAnsi="Times New Roman" w:eastAsia="宋体" w:cs="Times New Roman"/>
          <w:color w:val="auto"/>
          <w:spacing w:val="-2"/>
          <w:sz w:val="24"/>
          <w:szCs w:val="24"/>
          <w:highlight w:val="none"/>
          <w:lang w:eastAsia="zh-CN"/>
        </w:rPr>
        <w:t>）</w:t>
      </w:r>
      <w:r>
        <w:rPr>
          <w:rFonts w:hint="eastAsia" w:eastAsia="宋体" w:cs="Times New Roman"/>
          <w:color w:val="auto"/>
          <w:spacing w:val="-2"/>
          <w:sz w:val="24"/>
          <w:szCs w:val="24"/>
          <w:highlight w:val="none"/>
          <w:lang w:eastAsia="zh-CN"/>
        </w:rPr>
        <w:t>。</w:t>
      </w:r>
      <w:r>
        <w:rPr>
          <w:rFonts w:hint="eastAsia" w:eastAsia="宋体" w:cs="Times New Roman"/>
          <w:color w:val="auto"/>
          <w:kern w:val="0"/>
          <w:sz w:val="24"/>
          <w:szCs w:val="24"/>
          <w:highlight w:val="none"/>
          <w:u w:val="none"/>
          <w:lang w:val="en-US" w:eastAsia="zh-CN"/>
        </w:rPr>
        <w:t>防染粉1#由</w:t>
      </w:r>
      <w:r>
        <w:rPr>
          <w:rFonts w:hint="eastAsia" w:ascii="Times New Roman" w:hAnsi="Times New Roman" w:eastAsia="宋体" w:cs="Times New Roman"/>
          <w:color w:val="auto"/>
          <w:kern w:val="0"/>
          <w:sz w:val="24"/>
          <w:szCs w:val="24"/>
          <w:highlight w:val="none"/>
          <w:u w:val="none"/>
        </w:rPr>
        <w:t>聚乙二醇4000</w:t>
      </w:r>
      <w:r>
        <w:rPr>
          <w:rFonts w:hint="eastAsia" w:ascii="Times New Roman" w:hAnsi="Times New Roman" w:eastAsia="宋体" w:cs="Times New Roman"/>
          <w:color w:val="auto"/>
          <w:kern w:val="0"/>
          <w:sz w:val="24"/>
          <w:szCs w:val="24"/>
          <w:highlight w:val="none"/>
          <w:u w:val="none"/>
          <w:lang w:eastAsia="zh-CN"/>
        </w:rPr>
        <w:t>、</w:t>
      </w:r>
      <w:r>
        <w:rPr>
          <w:rFonts w:hint="eastAsia" w:ascii="Times New Roman" w:hAnsi="Times New Roman" w:eastAsia="宋体" w:cs="Times New Roman"/>
          <w:color w:val="auto"/>
          <w:kern w:val="0"/>
          <w:sz w:val="24"/>
          <w:szCs w:val="24"/>
          <w:highlight w:val="none"/>
          <w:u w:val="none"/>
          <w:lang w:val="en-US" w:eastAsia="zh-CN"/>
        </w:rPr>
        <w:t>聚酯切片</w:t>
      </w:r>
      <w:r>
        <w:rPr>
          <w:rFonts w:hint="eastAsia" w:eastAsia="宋体" w:cs="Times New Roman"/>
          <w:color w:val="auto"/>
          <w:kern w:val="0"/>
          <w:sz w:val="24"/>
          <w:szCs w:val="24"/>
          <w:highlight w:val="none"/>
          <w:u w:val="none"/>
          <w:lang w:val="en-US" w:eastAsia="zh-CN"/>
        </w:rPr>
        <w:t>高温</w:t>
      </w:r>
      <w:r>
        <w:rPr>
          <w:rFonts w:hint="eastAsia" w:ascii="Times New Roman" w:hAnsi="Times New Roman" w:eastAsia="宋体" w:cs="Times New Roman"/>
          <w:color w:val="auto"/>
          <w:kern w:val="0"/>
          <w:sz w:val="24"/>
          <w:szCs w:val="24"/>
          <w:highlight w:val="none"/>
          <w:u w:val="none"/>
          <w:lang w:val="en-US" w:eastAsia="zh-CN"/>
        </w:rPr>
        <w:t>加热溶解</w:t>
      </w:r>
      <w:r>
        <w:rPr>
          <w:rFonts w:hint="eastAsia" w:eastAsia="宋体" w:cs="Times New Roman"/>
          <w:color w:val="auto"/>
          <w:kern w:val="0"/>
          <w:sz w:val="24"/>
          <w:szCs w:val="24"/>
          <w:highlight w:val="none"/>
          <w:u w:val="none"/>
          <w:lang w:val="en-US" w:eastAsia="zh-CN"/>
        </w:rPr>
        <w:t>（温度260°）</w:t>
      </w:r>
      <w:r>
        <w:rPr>
          <w:rFonts w:hint="eastAsia" w:ascii="Times New Roman" w:hAnsi="Times New Roman" w:eastAsia="宋体" w:cs="Times New Roman"/>
          <w:color w:val="auto"/>
          <w:kern w:val="0"/>
          <w:sz w:val="24"/>
          <w:szCs w:val="24"/>
          <w:highlight w:val="none"/>
          <w:u w:val="none"/>
          <w:lang w:val="en-US" w:eastAsia="zh-CN"/>
        </w:rPr>
        <w:t>，</w:t>
      </w:r>
      <w:r>
        <w:rPr>
          <w:rFonts w:hint="eastAsia" w:eastAsia="宋体" w:cs="Times New Roman"/>
          <w:color w:val="auto"/>
          <w:kern w:val="0"/>
          <w:sz w:val="24"/>
          <w:szCs w:val="24"/>
          <w:highlight w:val="none"/>
          <w:u w:val="none"/>
          <w:lang w:val="en-US" w:eastAsia="zh-CN"/>
        </w:rPr>
        <w:t>搅拌</w:t>
      </w:r>
      <w:r>
        <w:rPr>
          <w:rFonts w:hint="eastAsia" w:ascii="Times New Roman" w:hAnsi="Times New Roman" w:eastAsia="宋体" w:cs="Times New Roman"/>
          <w:color w:val="auto"/>
          <w:kern w:val="0"/>
          <w:sz w:val="24"/>
          <w:szCs w:val="24"/>
          <w:highlight w:val="none"/>
          <w:u w:val="none"/>
          <w:lang w:val="en-US" w:eastAsia="zh-CN"/>
        </w:rPr>
        <w:t>混合复配而成</w:t>
      </w:r>
      <w:r>
        <w:rPr>
          <w:rFonts w:hint="eastAsia" w:eastAsia="宋体" w:cs="Times New Roman"/>
          <w:color w:val="auto"/>
          <w:kern w:val="0"/>
          <w:sz w:val="24"/>
          <w:szCs w:val="24"/>
          <w:highlight w:val="none"/>
          <w:u w:val="none"/>
          <w:lang w:val="en-US" w:eastAsia="zh-CN"/>
        </w:rPr>
        <w:t>，过程中发生化学变化。</w:t>
      </w:r>
      <w:r>
        <w:rPr>
          <w:rFonts w:hint="default" w:ascii="Times New Roman" w:hAnsi="Times New Roman" w:eastAsia="宋体" w:cs="Times New Roman"/>
          <w:color w:val="auto"/>
          <w:spacing w:val="-2"/>
          <w:sz w:val="24"/>
          <w:szCs w:val="24"/>
          <w:highlight w:val="none"/>
          <w:lang w:val="en-US" w:eastAsia="zh-CN"/>
        </w:rPr>
        <w:t>防染粉</w:t>
      </w:r>
      <w:r>
        <w:rPr>
          <w:rFonts w:hint="eastAsia" w:eastAsia="宋体" w:cs="Times New Roman"/>
          <w:color w:val="auto"/>
          <w:spacing w:val="-2"/>
          <w:sz w:val="24"/>
          <w:szCs w:val="24"/>
          <w:highlight w:val="none"/>
          <w:lang w:val="en-US" w:eastAsia="zh-CN"/>
        </w:rPr>
        <w:t>1#</w:t>
      </w:r>
      <w:r>
        <w:rPr>
          <w:rFonts w:hint="default" w:ascii="Times New Roman" w:hAnsi="Times New Roman" w:eastAsia="宋体" w:cs="Times New Roman"/>
          <w:color w:val="auto"/>
          <w:spacing w:val="-2"/>
          <w:sz w:val="24"/>
          <w:szCs w:val="24"/>
          <w:highlight w:val="none"/>
          <w:lang w:val="en-US" w:eastAsia="zh-CN"/>
        </w:rPr>
        <w:t>的组分是聚醚聚酯（100%）</w:t>
      </w:r>
      <w:r>
        <w:rPr>
          <w:rFonts w:hint="eastAsia" w:eastAsia="宋体" w:cs="Times New Roman"/>
          <w:color w:val="auto"/>
          <w:spacing w:val="-2"/>
          <w:sz w:val="24"/>
          <w:szCs w:val="24"/>
          <w:highlight w:val="none"/>
          <w:lang w:val="en-US" w:eastAsia="zh-CN"/>
        </w:rPr>
        <w:t>。</w:t>
      </w:r>
    </w:p>
    <w:p w14:paraId="0B9679B3">
      <w:pPr>
        <w:ind w:firstLine="480" w:firstLineChars="200"/>
        <w:rPr>
          <w:rFonts w:hint="eastAsia" w:eastAsia="宋体" w:cs="Times New Roman"/>
          <w:color w:val="auto"/>
          <w:kern w:val="0"/>
          <w:sz w:val="24"/>
          <w:szCs w:val="24"/>
          <w:highlight w:val="none"/>
          <w:u w:val="none"/>
          <w:lang w:val="en-US" w:eastAsia="zh-CN"/>
        </w:rPr>
      </w:pPr>
      <w:r>
        <w:rPr>
          <w:rFonts w:hint="eastAsia" w:eastAsia="宋体" w:cs="Times New Roman"/>
          <w:color w:val="auto"/>
          <w:kern w:val="0"/>
          <w:sz w:val="24"/>
          <w:szCs w:val="24"/>
          <w:highlight w:val="none"/>
          <w:u w:val="none"/>
          <w:lang w:val="en-US" w:eastAsia="zh-CN"/>
        </w:rPr>
        <w:t>防染粉2#由防染粉1#的10%作为原料与平平加通过物理搅拌混合复配而成（不需要加热），</w:t>
      </w:r>
      <w:r>
        <w:rPr>
          <w:rFonts w:hint="default" w:ascii="Times New Roman" w:hAnsi="Times New Roman" w:eastAsia="宋体" w:cs="Times New Roman"/>
          <w:color w:val="auto"/>
          <w:spacing w:val="-2"/>
          <w:sz w:val="24"/>
          <w:szCs w:val="24"/>
          <w:highlight w:val="none"/>
        </w:rPr>
        <w:t>复配生产过程中</w:t>
      </w:r>
      <w:r>
        <w:rPr>
          <w:rFonts w:hint="default" w:ascii="Times New Roman" w:hAnsi="Times New Roman" w:eastAsia="宋体" w:cs="Times New Roman"/>
          <w:color w:val="auto"/>
          <w:spacing w:val="-2"/>
          <w:sz w:val="24"/>
          <w:szCs w:val="24"/>
          <w:highlight w:val="none"/>
          <w:lang w:val="en-US" w:eastAsia="zh-CN"/>
        </w:rPr>
        <w:t>不发生化学变化</w:t>
      </w:r>
      <w:r>
        <w:rPr>
          <w:rFonts w:hint="eastAsia" w:eastAsia="宋体" w:cs="Times New Roman"/>
          <w:color w:val="auto"/>
          <w:kern w:val="0"/>
          <w:sz w:val="24"/>
          <w:szCs w:val="24"/>
          <w:highlight w:val="none"/>
          <w:u w:val="none"/>
          <w:lang w:val="en-US" w:eastAsia="zh-CN"/>
        </w:rPr>
        <w:t>。</w:t>
      </w:r>
    </w:p>
    <w:p w14:paraId="1BFE6B43">
      <w:pPr>
        <w:ind w:left="0" w:leftChars="0" w:firstLine="241" w:firstLineChars="100"/>
        <w:rPr>
          <w:rFonts w:hint="default" w:eastAsia="宋体" w:cs="Times New Roman"/>
          <w:b/>
          <w:bCs/>
          <w:color w:val="auto"/>
          <w:kern w:val="0"/>
          <w:sz w:val="24"/>
          <w:szCs w:val="24"/>
          <w:highlight w:val="none"/>
          <w:u w:val="none"/>
          <w:lang w:val="en-US" w:eastAsia="zh-CN"/>
        </w:rPr>
      </w:pPr>
      <w:r>
        <w:rPr>
          <w:rFonts w:hint="eastAsia" w:eastAsia="宋体" w:cs="Times New Roman"/>
          <w:b/>
          <w:bCs/>
          <w:color w:val="auto"/>
          <w:kern w:val="0"/>
          <w:sz w:val="24"/>
          <w:szCs w:val="24"/>
          <w:highlight w:val="none"/>
          <w:u w:val="none"/>
          <w:lang w:val="en-US" w:eastAsia="zh-CN"/>
        </w:rPr>
        <w:t>1、防染粉1#</w:t>
      </w:r>
      <w:r>
        <w:rPr>
          <w:rFonts w:hint="eastAsia" w:eastAsia="宋体"/>
          <w:b/>
          <w:bCs/>
          <w:spacing w:val="-2"/>
          <w:sz w:val="24"/>
          <w:szCs w:val="24"/>
          <w:highlight w:val="none"/>
          <w:lang w:val="en-US" w:eastAsia="zh-CN"/>
        </w:rPr>
        <w:t>复配工艺流程及产污环节</w:t>
      </w:r>
    </w:p>
    <w:p w14:paraId="62204E9B">
      <w:pPr>
        <w:ind w:left="0" w:leftChars="0" w:firstLine="0" w:firstLineChars="0"/>
        <w:rPr>
          <w:rFonts w:hint="default"/>
          <w:lang w:val="en-US" w:eastAsia="zh-CN"/>
        </w:rPr>
      </w:pPr>
    </w:p>
    <w:p w14:paraId="5F69DB2D">
      <w:pPr>
        <w:jc w:val="center"/>
        <w:rPr>
          <w:rFonts w:hint="eastAsia" w:ascii="Times New Roman" w:hAnsi="Times New Roman" w:eastAsia="仿宋" w:cs="Times New Roman"/>
          <w:color w:val="auto"/>
          <w:highlight w:val="none"/>
          <w:u w:val="none"/>
          <w:vertAlign w:val="baseline"/>
          <w:lang w:eastAsia="zh-CN"/>
        </w:rPr>
      </w:pPr>
      <w:r>
        <w:rPr>
          <w:rFonts w:hint="eastAsia" w:ascii="Times New Roman" w:hAnsi="Times New Roman" w:eastAsia="仿宋" w:cs="Times New Roman"/>
          <w:color w:val="auto"/>
          <w:highlight w:val="none"/>
          <w:u w:val="none"/>
          <w:vertAlign w:val="baseline"/>
          <w:lang w:eastAsia="zh-CN"/>
        </w:rPr>
        <w:drawing>
          <wp:inline distT="0" distB="0" distL="114300" distR="114300">
            <wp:extent cx="1638300" cy="3324225"/>
            <wp:effectExtent l="0" t="0" r="0" b="9525"/>
            <wp:docPr id="35" name="图片 35" descr="9d8bde36633cddc39a52df9f79e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d8bde36633cddc39a52df9f79ee146"/>
                    <pic:cNvPicPr>
                      <a:picLocks noChangeAspect="1"/>
                    </pic:cNvPicPr>
                  </pic:nvPicPr>
                  <pic:blipFill>
                    <a:blip r:embed="rId21"/>
                    <a:stretch>
                      <a:fillRect/>
                    </a:stretch>
                  </pic:blipFill>
                  <pic:spPr>
                    <a:xfrm>
                      <a:off x="0" y="0"/>
                      <a:ext cx="1638300" cy="3324225"/>
                    </a:xfrm>
                    <a:prstGeom prst="rect">
                      <a:avLst/>
                    </a:prstGeom>
                  </pic:spPr>
                </pic:pic>
              </a:graphicData>
            </a:graphic>
          </wp:inline>
        </w:drawing>
      </w:r>
    </w:p>
    <w:p w14:paraId="6F0C136E">
      <w:pPr>
        <w:jc w:val="center"/>
        <w:rPr>
          <w:rFonts w:hint="eastAsia" w:ascii="Times New Roman" w:hAnsi="Times New Roman" w:eastAsia="宋体" w:cs="Times New Roman"/>
          <w:b/>
          <w:bCs/>
          <w:spacing w:val="-3"/>
          <w:kern w:val="0"/>
          <w:sz w:val="24"/>
          <w:szCs w:val="20"/>
          <w:highlight w:val="none"/>
          <w:u w:val="none"/>
          <w:lang w:val="en-US" w:eastAsia="zh-CN" w:bidi="ar-SA"/>
        </w:rPr>
      </w:pPr>
      <w:r>
        <w:rPr>
          <w:rFonts w:hint="eastAsia" w:ascii="Times New Roman" w:hAnsi="Times New Roman" w:eastAsia="宋体" w:cs="Times New Roman"/>
          <w:b/>
          <w:bCs/>
          <w:spacing w:val="-3"/>
          <w:kern w:val="0"/>
          <w:sz w:val="24"/>
          <w:szCs w:val="20"/>
          <w:highlight w:val="none"/>
          <w:u w:val="none"/>
          <w:lang w:val="en-US" w:eastAsia="zh-CN" w:bidi="ar-SA"/>
        </w:rPr>
        <w:t>图</w:t>
      </w:r>
      <w:r>
        <w:rPr>
          <w:rFonts w:hint="eastAsia" w:eastAsia="宋体" w:cs="Times New Roman"/>
          <w:b/>
          <w:bCs/>
          <w:spacing w:val="-3"/>
          <w:kern w:val="0"/>
          <w:sz w:val="24"/>
          <w:szCs w:val="20"/>
          <w:highlight w:val="none"/>
          <w:u w:val="none"/>
          <w:lang w:val="en-US" w:eastAsia="zh-CN" w:bidi="ar-SA"/>
        </w:rPr>
        <w:t>4.2</w:t>
      </w:r>
      <w:r>
        <w:rPr>
          <w:rFonts w:hint="eastAsia" w:ascii="Times New Roman" w:hAnsi="Times New Roman" w:eastAsia="宋体" w:cs="Times New Roman"/>
          <w:b/>
          <w:bCs/>
          <w:spacing w:val="-3"/>
          <w:kern w:val="0"/>
          <w:sz w:val="24"/>
          <w:szCs w:val="20"/>
          <w:highlight w:val="none"/>
          <w:u w:val="none"/>
          <w:lang w:val="en-US" w:eastAsia="zh-CN" w:bidi="ar-SA"/>
        </w:rPr>
        <w:t>-</w:t>
      </w:r>
      <w:r>
        <w:rPr>
          <w:rFonts w:hint="eastAsia" w:eastAsia="宋体" w:cs="Times New Roman"/>
          <w:b/>
          <w:bCs/>
          <w:spacing w:val="-3"/>
          <w:kern w:val="0"/>
          <w:sz w:val="24"/>
          <w:szCs w:val="20"/>
          <w:highlight w:val="none"/>
          <w:u w:val="none"/>
          <w:lang w:val="en-US" w:eastAsia="zh-CN" w:bidi="ar-SA"/>
        </w:rPr>
        <w:t>3</w:t>
      </w:r>
      <w:r>
        <w:rPr>
          <w:rFonts w:hint="eastAsia" w:ascii="Times New Roman" w:hAnsi="Times New Roman" w:eastAsia="宋体" w:cs="Times New Roman"/>
          <w:b/>
          <w:bCs/>
          <w:spacing w:val="-3"/>
          <w:kern w:val="0"/>
          <w:sz w:val="24"/>
          <w:szCs w:val="20"/>
          <w:highlight w:val="none"/>
          <w:u w:val="none"/>
          <w:lang w:val="en-US" w:eastAsia="zh-CN" w:bidi="ar-SA"/>
        </w:rPr>
        <w:t xml:space="preserve">  </w:t>
      </w:r>
      <w:r>
        <w:rPr>
          <w:rFonts w:hint="eastAsia" w:eastAsia="宋体" w:cs="Times New Roman"/>
          <w:b/>
          <w:bCs/>
          <w:color w:val="auto"/>
          <w:kern w:val="0"/>
          <w:sz w:val="24"/>
          <w:szCs w:val="24"/>
          <w:highlight w:val="none"/>
          <w:u w:val="none"/>
          <w:lang w:val="en-US" w:eastAsia="zh-CN"/>
        </w:rPr>
        <w:t>防染粉1#复配</w:t>
      </w:r>
      <w:r>
        <w:rPr>
          <w:rFonts w:hint="eastAsia" w:ascii="Times New Roman" w:hAnsi="Times New Roman" w:eastAsia="宋体" w:cs="Times New Roman"/>
          <w:b/>
          <w:bCs/>
          <w:spacing w:val="-3"/>
          <w:kern w:val="0"/>
          <w:sz w:val="24"/>
          <w:szCs w:val="20"/>
          <w:highlight w:val="none"/>
          <w:u w:val="none"/>
          <w:lang w:val="en-US" w:eastAsia="zh-CN" w:bidi="ar-SA"/>
        </w:rPr>
        <w:t>工序生产工艺流程及产污环节图</w:t>
      </w:r>
      <w:r>
        <w:rPr>
          <w:rFonts w:hint="eastAsia"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t>（生产线4#）</w:t>
      </w:r>
    </w:p>
    <w:p w14:paraId="2D73783C">
      <w:pPr>
        <w:spacing w:before="1" w:line="360" w:lineRule="auto"/>
        <w:ind w:left="4" w:firstLine="481"/>
        <w:rPr>
          <w:rFonts w:hint="eastAsia" w:ascii="宋体" w:hAnsi="宋体" w:eastAsia="宋体" w:cs="宋体"/>
          <w:b/>
          <w:bCs/>
          <w:spacing w:val="-1"/>
          <w:sz w:val="24"/>
          <w:szCs w:val="24"/>
          <w:highlight w:val="none"/>
          <w:lang w:val="en-US" w:eastAsia="zh-CN"/>
        </w:rPr>
      </w:pPr>
      <w:r>
        <w:rPr>
          <w:rFonts w:hint="eastAsia" w:eastAsia="宋体" w:cs="Times New Roman"/>
          <w:b/>
          <w:bCs/>
          <w:color w:val="auto"/>
          <w:kern w:val="0"/>
          <w:sz w:val="24"/>
          <w:szCs w:val="24"/>
          <w:highlight w:val="none"/>
          <w:u w:val="none"/>
          <w:lang w:val="en-US" w:eastAsia="zh-CN"/>
        </w:rPr>
        <w:t>防染粉1#（助剂</w:t>
      </w:r>
      <w:r>
        <w:rPr>
          <w:rFonts w:hint="eastAsia" w:ascii="宋体" w:hAnsi="宋体" w:eastAsia="宋体" w:cs="宋体"/>
          <w:b/>
          <w:bCs/>
          <w:spacing w:val="-1"/>
          <w:sz w:val="24"/>
          <w:szCs w:val="24"/>
          <w:highlight w:val="none"/>
          <w:lang w:val="en-US" w:eastAsia="zh-CN"/>
        </w:rPr>
        <w:t>粉剂</w:t>
      </w:r>
      <w:r>
        <w:rPr>
          <w:rFonts w:hint="eastAsia" w:eastAsia="宋体" w:cs="Times New Roman"/>
          <w:b/>
          <w:bCs/>
          <w:color w:val="auto"/>
          <w:kern w:val="0"/>
          <w:sz w:val="24"/>
          <w:szCs w:val="24"/>
          <w:highlight w:val="none"/>
          <w:u w:val="none"/>
          <w:lang w:val="en-US" w:eastAsia="zh-CN"/>
        </w:rPr>
        <w:t>）</w:t>
      </w:r>
      <w:r>
        <w:rPr>
          <w:rFonts w:hint="eastAsia" w:ascii="宋体" w:hAnsi="宋体" w:eastAsia="宋体" w:cs="宋体"/>
          <w:b/>
          <w:bCs/>
          <w:spacing w:val="-1"/>
          <w:sz w:val="24"/>
          <w:szCs w:val="24"/>
          <w:highlight w:val="none"/>
          <w:lang w:val="en-US" w:eastAsia="zh-CN"/>
        </w:rPr>
        <w:t>工艺流程简述：</w:t>
      </w:r>
    </w:p>
    <w:p w14:paraId="6D6A0C3D">
      <w:pPr>
        <w:spacing w:before="1" w:line="360" w:lineRule="auto"/>
        <w:ind w:left="4" w:firstLine="481"/>
        <w:rPr>
          <w:rFonts w:ascii="宋体" w:hAnsi="宋体" w:eastAsia="宋体" w:cs="宋体"/>
          <w:spacing w:val="-1"/>
          <w:sz w:val="24"/>
          <w:szCs w:val="24"/>
          <w:highlight w:val="none"/>
        </w:rPr>
      </w:pPr>
      <w:r>
        <w:rPr>
          <w:rFonts w:hint="eastAsia" w:ascii="宋体" w:hAnsi="宋体" w:eastAsia="宋体" w:cs="宋体"/>
          <w:spacing w:val="-1"/>
          <w:sz w:val="24"/>
          <w:szCs w:val="24"/>
          <w:highlight w:val="none"/>
          <w:lang w:val="en-US" w:eastAsia="zh-CN"/>
        </w:rPr>
        <w:t>（1）</w:t>
      </w:r>
      <w:r>
        <w:rPr>
          <w:rFonts w:hint="default" w:ascii="宋体" w:hAnsi="宋体" w:eastAsia="宋体" w:cs="宋体"/>
          <w:spacing w:val="-1"/>
          <w:sz w:val="24"/>
          <w:szCs w:val="24"/>
          <w:highlight w:val="none"/>
        </w:rPr>
        <w:t>称取原料：</w:t>
      </w:r>
      <w:r>
        <w:rPr>
          <w:rFonts w:hint="eastAsia" w:ascii="宋体" w:hAnsi="宋体" w:eastAsia="宋体" w:cs="宋体"/>
          <w:spacing w:val="-1"/>
          <w:sz w:val="24"/>
          <w:szCs w:val="24"/>
          <w:highlight w:val="none"/>
        </w:rPr>
        <w:t>在</w:t>
      </w:r>
      <w:r>
        <w:rPr>
          <w:rFonts w:hint="eastAsia" w:ascii="宋体" w:hAnsi="宋体" w:eastAsia="宋体" w:cs="宋体"/>
          <w:spacing w:val="-1"/>
          <w:sz w:val="24"/>
          <w:szCs w:val="24"/>
          <w:highlight w:val="none"/>
          <w:lang w:val="en-US" w:eastAsia="zh-CN"/>
        </w:rPr>
        <w:t>固体助剂</w:t>
      </w:r>
      <w:r>
        <w:rPr>
          <w:rFonts w:hint="eastAsia" w:ascii="宋体" w:hAnsi="宋体" w:eastAsia="宋体" w:cs="宋体"/>
          <w:spacing w:val="-1"/>
          <w:sz w:val="24"/>
          <w:szCs w:val="24"/>
          <w:highlight w:val="none"/>
        </w:rPr>
        <w:t>车间根据客户要求</w:t>
      </w:r>
      <w:r>
        <w:rPr>
          <w:rFonts w:hint="default" w:ascii="宋体" w:hAnsi="宋体" w:eastAsia="宋体" w:cs="宋体"/>
          <w:spacing w:val="-1"/>
          <w:sz w:val="24"/>
          <w:szCs w:val="24"/>
          <w:highlight w:val="none"/>
        </w:rPr>
        <w:t>按配方精准称</w:t>
      </w:r>
      <w:r>
        <w:rPr>
          <w:rFonts w:hint="eastAsia" w:ascii="宋体" w:hAnsi="宋体" w:eastAsia="宋体" w:cs="宋体"/>
          <w:spacing w:val="-1"/>
          <w:sz w:val="24"/>
          <w:szCs w:val="24"/>
          <w:highlight w:val="none"/>
          <w:lang w:val="en-US" w:eastAsia="zh-CN"/>
        </w:rPr>
        <w:t>聚乙二醇</w:t>
      </w:r>
      <w:r>
        <w:rPr>
          <w:rFonts w:hint="eastAsia" w:ascii="宋体" w:hAnsi="宋体" w:eastAsia="宋体" w:cs="宋体"/>
          <w:spacing w:val="-1"/>
          <w:sz w:val="24"/>
          <w:szCs w:val="24"/>
          <w:highlight w:val="none"/>
        </w:rPr>
        <w:t>4000</w:t>
      </w:r>
      <w:r>
        <w:rPr>
          <w:rFonts w:hint="eastAsia" w:ascii="宋体" w:hAnsi="宋体" w:eastAsia="宋体" w:cs="宋体"/>
          <w:spacing w:val="-1"/>
          <w:sz w:val="24"/>
          <w:szCs w:val="24"/>
          <w:highlight w:val="none"/>
          <w:lang w:val="en-US" w:eastAsia="zh-CN"/>
        </w:rPr>
        <w:t>、聚酯切片</w:t>
      </w:r>
      <w:r>
        <w:rPr>
          <w:rFonts w:hint="default" w:ascii="宋体" w:hAnsi="宋体" w:eastAsia="宋体" w:cs="宋体"/>
          <w:spacing w:val="-1"/>
          <w:sz w:val="24"/>
          <w:szCs w:val="24"/>
          <w:highlight w:val="none"/>
        </w:rPr>
        <w:t>，</w:t>
      </w:r>
      <w:r>
        <w:rPr>
          <w:rFonts w:hint="eastAsia" w:ascii="宋体" w:hAnsi="宋体" w:eastAsia="宋体" w:cs="宋体"/>
          <w:spacing w:val="-1"/>
          <w:sz w:val="24"/>
          <w:szCs w:val="24"/>
          <w:highlight w:val="none"/>
        </w:rPr>
        <w:t>称取过程中会有少量粉尘产生。</w:t>
      </w:r>
    </w:p>
    <w:p w14:paraId="4DF03B0B">
      <w:pPr>
        <w:spacing w:before="1" w:line="360" w:lineRule="auto"/>
        <w:ind w:left="4" w:firstLine="481"/>
        <w:rPr>
          <w:rFonts w:hint="default" w:ascii="宋体" w:hAnsi="宋体" w:eastAsia="宋体" w:cs="宋体"/>
          <w:spacing w:val="-1"/>
          <w:sz w:val="24"/>
          <w:szCs w:val="24"/>
          <w:highlight w:val="none"/>
        </w:rPr>
      </w:pPr>
      <w:r>
        <w:rPr>
          <w:rFonts w:hint="eastAsia" w:ascii="宋体" w:hAnsi="宋体" w:eastAsia="宋体" w:cs="宋体"/>
          <w:spacing w:val="-1"/>
          <w:sz w:val="24"/>
          <w:szCs w:val="24"/>
          <w:highlight w:val="none"/>
          <w:lang w:val="en-US" w:eastAsia="zh-CN"/>
        </w:rPr>
        <w:t>（2）</w:t>
      </w:r>
      <w:r>
        <w:rPr>
          <w:rFonts w:hint="default" w:ascii="宋体" w:hAnsi="宋体" w:eastAsia="宋体" w:cs="宋体"/>
          <w:spacing w:val="-1"/>
          <w:sz w:val="24"/>
          <w:szCs w:val="24"/>
          <w:highlight w:val="none"/>
        </w:rPr>
        <w:t>加热溶解</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搅拌混合</w:t>
      </w:r>
      <w:r>
        <w:rPr>
          <w:rFonts w:hint="default" w:ascii="宋体" w:hAnsi="宋体" w:eastAsia="宋体" w:cs="宋体"/>
          <w:spacing w:val="-1"/>
          <w:sz w:val="24"/>
          <w:szCs w:val="24"/>
          <w:highlight w:val="none"/>
        </w:rPr>
        <w:t>：</w:t>
      </w:r>
      <w:r>
        <w:rPr>
          <w:rFonts w:hint="eastAsia" w:ascii="宋体" w:hAnsi="宋体" w:eastAsia="宋体" w:cs="宋体"/>
          <w:spacing w:val="-1"/>
          <w:sz w:val="24"/>
          <w:szCs w:val="24"/>
          <w:highlight w:val="none"/>
        </w:rPr>
        <w:t>将称取的原料放入密</w:t>
      </w:r>
      <w:r>
        <w:rPr>
          <w:rFonts w:hint="eastAsia" w:ascii="宋体" w:hAnsi="宋体" w:eastAsia="宋体" w:cs="宋体"/>
          <w:spacing w:val="-1"/>
          <w:sz w:val="24"/>
          <w:szCs w:val="24"/>
          <w:highlight w:val="none"/>
          <w:lang w:val="en-US" w:eastAsia="zh-CN"/>
        </w:rPr>
        <w:t>封</w:t>
      </w:r>
      <w:r>
        <w:rPr>
          <w:rFonts w:hint="eastAsia" w:ascii="宋体" w:hAnsi="宋体" w:eastAsia="宋体" w:cs="宋体"/>
          <w:spacing w:val="-1"/>
          <w:sz w:val="24"/>
          <w:szCs w:val="24"/>
          <w:highlight w:val="none"/>
        </w:rPr>
        <w:t>的</w:t>
      </w:r>
      <w:r>
        <w:rPr>
          <w:rFonts w:hint="eastAsia" w:ascii="宋体" w:hAnsi="宋体" w:eastAsia="宋体" w:cs="宋体"/>
          <w:spacing w:val="-1"/>
          <w:sz w:val="24"/>
          <w:szCs w:val="24"/>
          <w:highlight w:val="none"/>
          <w:lang w:val="en-US" w:eastAsia="zh-CN"/>
        </w:rPr>
        <w:t>多功能混合搅拌罐，密闭抽真空，</w:t>
      </w:r>
      <w:r>
        <w:rPr>
          <w:rFonts w:hint="eastAsia" w:ascii="宋体" w:hAnsi="宋体" w:eastAsia="宋体" w:cs="宋体"/>
          <w:spacing w:val="-1"/>
          <w:sz w:val="24"/>
          <w:szCs w:val="24"/>
          <w:highlight w:val="none"/>
        </w:rPr>
        <w:t>始终保持负压</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用电</w:t>
      </w:r>
      <w:r>
        <w:rPr>
          <w:rFonts w:hint="eastAsia" w:ascii="宋体" w:hAnsi="宋体" w:eastAsia="宋体" w:cs="宋体"/>
          <w:spacing w:val="-1"/>
          <w:sz w:val="24"/>
          <w:szCs w:val="24"/>
          <w:highlight w:val="none"/>
        </w:rPr>
        <w:t>加热至</w:t>
      </w:r>
      <w:r>
        <w:rPr>
          <w:rFonts w:hint="eastAsia" w:ascii="宋体" w:hAnsi="宋体" w:eastAsia="宋体" w:cs="宋体"/>
          <w:spacing w:val="-1"/>
          <w:sz w:val="24"/>
          <w:szCs w:val="24"/>
          <w:highlight w:val="none"/>
          <w:lang w:val="en-US" w:eastAsia="zh-CN"/>
        </w:rPr>
        <w:t>260</w:t>
      </w:r>
      <w:r>
        <w:rPr>
          <w:rFonts w:hint="default" w:ascii="宋体" w:hAnsi="宋体" w:eastAsia="宋体" w:cs="宋体"/>
          <w:spacing w:val="-1"/>
          <w:sz w:val="24"/>
          <w:szCs w:val="24"/>
          <w:highlight w:val="none"/>
        </w:rPr>
        <w:t>℃</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rPr>
        <w:t>实际生产中通过实验验证并优化具体</w:t>
      </w:r>
      <w:r>
        <w:rPr>
          <w:rFonts w:hint="eastAsia" w:ascii="宋体" w:hAnsi="宋体" w:eastAsia="宋体" w:cs="宋体"/>
          <w:spacing w:val="-1"/>
          <w:sz w:val="24"/>
          <w:szCs w:val="24"/>
          <w:highlight w:val="none"/>
          <w:lang w:val="en-US" w:eastAsia="zh-CN"/>
        </w:rPr>
        <w:t>加热温度</w:t>
      </w:r>
      <w:r>
        <w:rPr>
          <w:rFonts w:hint="eastAsia" w:ascii="宋体" w:hAnsi="宋体" w:eastAsia="宋体" w:cs="宋体"/>
          <w:spacing w:val="-1"/>
          <w:sz w:val="24"/>
          <w:szCs w:val="24"/>
          <w:highlight w:val="none"/>
          <w:lang w:eastAsia="zh-CN"/>
        </w:rPr>
        <w:t>），</w:t>
      </w:r>
      <w:r>
        <w:rPr>
          <w:rFonts w:hint="default" w:ascii="宋体" w:hAnsi="宋体" w:eastAsia="宋体" w:cs="宋体"/>
          <w:spacing w:val="-1"/>
          <w:sz w:val="24"/>
          <w:szCs w:val="24"/>
          <w:highlight w:val="none"/>
        </w:rPr>
        <w:t>高温加热原料，使其溶解成均匀液态，促进助剂成分融合。</w:t>
      </w:r>
    </w:p>
    <w:p w14:paraId="4B4B0D80">
      <w:pPr>
        <w:spacing w:before="1" w:line="360" w:lineRule="auto"/>
        <w:ind w:left="0" w:firstLine="0" w:firstLineChars="0"/>
        <w:rPr>
          <w:rFonts w:hint="default" w:ascii="宋体" w:hAnsi="宋体" w:eastAsia="宋体" w:cs="宋体"/>
          <w:spacing w:val="-1"/>
          <w:sz w:val="24"/>
          <w:szCs w:val="24"/>
          <w:highlight w:val="none"/>
        </w:rPr>
      </w:pPr>
      <w:r>
        <w:rPr>
          <w:rFonts w:hint="default" w:ascii="宋体" w:hAnsi="宋体" w:eastAsia="宋体" w:cs="宋体"/>
          <w:spacing w:val="-1"/>
          <w:sz w:val="24"/>
          <w:szCs w:val="24"/>
          <w:highlight w:val="none"/>
        </w:rPr>
        <w:t>在</w:t>
      </w:r>
      <w:r>
        <w:rPr>
          <w:rFonts w:hint="eastAsia" w:ascii="宋体" w:hAnsi="宋体" w:eastAsia="宋体" w:cs="宋体"/>
          <w:spacing w:val="-1"/>
          <w:sz w:val="24"/>
          <w:szCs w:val="24"/>
          <w:highlight w:val="none"/>
          <w:lang w:val="en-US" w:eastAsia="zh-CN"/>
        </w:rPr>
        <w:t>加热溶解过程中使多功能混合搅拌釜密闭负压</w:t>
      </w:r>
      <w:r>
        <w:rPr>
          <w:rFonts w:hint="default" w:ascii="宋体" w:hAnsi="宋体" w:eastAsia="宋体" w:cs="宋体"/>
          <w:spacing w:val="-1"/>
          <w:sz w:val="24"/>
          <w:szCs w:val="24"/>
          <w:highlight w:val="none"/>
        </w:rPr>
        <w:t>持续搅拌</w:t>
      </w:r>
      <w:r>
        <w:rPr>
          <w:rFonts w:hint="eastAsia" w:ascii="宋体" w:hAnsi="宋体" w:eastAsia="宋体" w:cs="宋体"/>
          <w:spacing w:val="-1"/>
          <w:sz w:val="24"/>
          <w:szCs w:val="24"/>
          <w:highlight w:val="none"/>
          <w:lang w:val="en-US" w:eastAsia="zh-CN"/>
        </w:rPr>
        <w:t>5小时</w:t>
      </w:r>
      <w:r>
        <w:rPr>
          <w:rFonts w:hint="default" w:ascii="宋体" w:hAnsi="宋体" w:eastAsia="宋体" w:cs="宋体"/>
          <w:spacing w:val="-1"/>
          <w:sz w:val="24"/>
          <w:szCs w:val="24"/>
          <w:highlight w:val="none"/>
        </w:rPr>
        <w:t>，确保各成分充分混合，形成防染粉所需的均匀体系。加热搅拌器使用能源为电源，为清洁能源。</w:t>
      </w:r>
      <w:r>
        <w:rPr>
          <w:rFonts w:hint="eastAsia" w:ascii="宋体" w:hAnsi="宋体" w:eastAsia="宋体" w:cs="宋体"/>
          <w:spacing w:val="-1"/>
          <w:sz w:val="24"/>
          <w:szCs w:val="24"/>
          <w:highlight w:val="none"/>
          <w:lang w:val="en-US" w:eastAsia="zh-CN"/>
        </w:rPr>
        <w:t>在加热溶解、搅拌混合过程中发生了化学反应，生成了防染粉1#。由于</w:t>
      </w:r>
      <w:r>
        <w:rPr>
          <w:rFonts w:hint="default" w:ascii="宋体" w:hAnsi="宋体" w:eastAsia="宋体" w:cs="宋体"/>
          <w:spacing w:val="-1"/>
          <w:sz w:val="24"/>
          <w:szCs w:val="24"/>
          <w:highlight w:val="none"/>
        </w:rPr>
        <w:t>搅拌</w:t>
      </w:r>
      <w:r>
        <w:rPr>
          <w:rFonts w:hint="eastAsia" w:ascii="宋体" w:hAnsi="宋体" w:eastAsia="宋体" w:cs="宋体"/>
          <w:spacing w:val="-1"/>
          <w:sz w:val="24"/>
          <w:szCs w:val="24"/>
          <w:highlight w:val="none"/>
          <w:lang w:val="en-US" w:eastAsia="zh-CN"/>
        </w:rPr>
        <w:t>釜内有一定的空间余量，加热搅拌过程中有机废气挥发在搅拌釜内，但由于</w:t>
      </w:r>
      <w:r>
        <w:rPr>
          <w:rFonts w:hint="default" w:ascii="宋体" w:hAnsi="宋体" w:eastAsia="宋体" w:cs="宋体"/>
          <w:spacing w:val="-1"/>
          <w:sz w:val="24"/>
          <w:szCs w:val="24"/>
          <w:highlight w:val="none"/>
        </w:rPr>
        <w:t>搅拌</w:t>
      </w:r>
      <w:r>
        <w:rPr>
          <w:rFonts w:hint="eastAsia" w:ascii="宋体" w:hAnsi="宋体" w:eastAsia="宋体" w:cs="宋体"/>
          <w:spacing w:val="-1"/>
          <w:sz w:val="24"/>
          <w:szCs w:val="24"/>
          <w:highlight w:val="none"/>
          <w:lang w:val="en-US" w:eastAsia="zh-CN"/>
        </w:rPr>
        <w:t>釜</w:t>
      </w:r>
      <w:r>
        <w:rPr>
          <w:rFonts w:hint="default" w:ascii="宋体" w:hAnsi="宋体" w:eastAsia="宋体" w:cs="宋体"/>
          <w:spacing w:val="-1"/>
          <w:sz w:val="24"/>
          <w:szCs w:val="24"/>
          <w:highlight w:val="none"/>
        </w:rPr>
        <w:t>为密封</w:t>
      </w:r>
      <w:r>
        <w:rPr>
          <w:rFonts w:hint="eastAsia" w:ascii="宋体" w:hAnsi="宋体" w:eastAsia="宋体" w:cs="宋体"/>
          <w:spacing w:val="-1"/>
          <w:sz w:val="24"/>
          <w:szCs w:val="24"/>
          <w:highlight w:val="none"/>
          <w:lang w:val="en-US" w:eastAsia="zh-CN"/>
        </w:rPr>
        <w:t>加盖</w:t>
      </w:r>
      <w:r>
        <w:rPr>
          <w:rFonts w:hint="default" w:ascii="宋体" w:hAnsi="宋体" w:eastAsia="宋体" w:cs="宋体"/>
          <w:spacing w:val="-1"/>
          <w:sz w:val="24"/>
          <w:szCs w:val="24"/>
          <w:highlight w:val="none"/>
        </w:rPr>
        <w:t>加热搅拌，</w:t>
      </w:r>
      <w:r>
        <w:rPr>
          <w:rFonts w:hint="eastAsia" w:ascii="宋体" w:hAnsi="宋体" w:eastAsia="宋体" w:cs="宋体"/>
          <w:spacing w:val="-1"/>
          <w:sz w:val="24"/>
          <w:szCs w:val="24"/>
          <w:highlight w:val="none"/>
          <w:lang w:val="en-US" w:eastAsia="zh-CN"/>
        </w:rPr>
        <w:t>因此废气暂存于搅拌釜。该</w:t>
      </w:r>
      <w:r>
        <w:rPr>
          <w:rFonts w:hint="default" w:ascii="宋体" w:hAnsi="宋体" w:eastAsia="宋体" w:cs="宋体"/>
          <w:spacing w:val="-1"/>
          <w:sz w:val="24"/>
          <w:szCs w:val="24"/>
          <w:highlight w:val="none"/>
        </w:rPr>
        <w:t>过程中</w:t>
      </w:r>
      <w:r>
        <w:rPr>
          <w:rFonts w:hint="eastAsia" w:ascii="宋体" w:hAnsi="宋体" w:eastAsia="宋体" w:cs="宋体"/>
          <w:spacing w:val="-1"/>
          <w:sz w:val="24"/>
          <w:szCs w:val="24"/>
          <w:highlight w:val="none"/>
          <w:lang w:val="en-US" w:eastAsia="zh-CN"/>
        </w:rPr>
        <w:t>主要产生</w:t>
      </w:r>
      <w:r>
        <w:rPr>
          <w:rFonts w:hint="default" w:ascii="宋体" w:hAnsi="宋体" w:eastAsia="宋体" w:cs="宋体"/>
          <w:spacing w:val="-1"/>
          <w:sz w:val="24"/>
          <w:szCs w:val="24"/>
          <w:highlight w:val="none"/>
        </w:rPr>
        <w:t>搅拌噪声</w:t>
      </w:r>
      <w:r>
        <w:rPr>
          <w:rFonts w:hint="eastAsia" w:ascii="宋体" w:hAnsi="宋体" w:eastAsia="宋体" w:cs="宋体"/>
          <w:spacing w:val="-1"/>
          <w:sz w:val="24"/>
          <w:szCs w:val="24"/>
          <w:highlight w:val="none"/>
          <w:lang w:eastAsia="zh-CN"/>
        </w:rPr>
        <w:t>。</w:t>
      </w:r>
    </w:p>
    <w:p w14:paraId="28095E48">
      <w:pPr>
        <w:spacing w:before="1" w:line="360" w:lineRule="auto"/>
        <w:ind w:left="4" w:firstLine="481"/>
        <w:rPr>
          <w:rFonts w:hint="default" w:ascii="宋体" w:hAnsi="宋体" w:eastAsia="宋体" w:cs="宋体"/>
          <w:b/>
          <w:bCs/>
          <w:spacing w:val="-1"/>
          <w:sz w:val="24"/>
          <w:szCs w:val="24"/>
          <w:highlight w:val="none"/>
          <w:lang w:val="en-US" w:eastAsia="zh-CN"/>
        </w:rPr>
      </w:pPr>
      <w:r>
        <w:rPr>
          <w:rFonts w:hint="eastAsia" w:eastAsia="宋体" w:cs="Times New Roman"/>
          <w:b/>
          <w:bCs/>
          <w:color w:val="auto"/>
          <w:kern w:val="0"/>
          <w:sz w:val="24"/>
          <w:szCs w:val="24"/>
          <w:highlight w:val="none"/>
          <w:u w:val="none"/>
          <w:lang w:val="en-US" w:eastAsia="zh-CN"/>
        </w:rPr>
        <w:t>防染粉1#（助剂</w:t>
      </w:r>
      <w:r>
        <w:rPr>
          <w:rFonts w:hint="eastAsia" w:ascii="宋体" w:hAnsi="宋体" w:eastAsia="宋体" w:cs="宋体"/>
          <w:b/>
          <w:bCs/>
          <w:spacing w:val="-1"/>
          <w:sz w:val="24"/>
          <w:szCs w:val="24"/>
          <w:highlight w:val="none"/>
          <w:lang w:val="en-US" w:eastAsia="zh-CN"/>
        </w:rPr>
        <w:t>粉剂</w:t>
      </w:r>
      <w:r>
        <w:rPr>
          <w:rFonts w:hint="eastAsia" w:eastAsia="宋体" w:cs="Times New Roman"/>
          <w:b/>
          <w:bCs/>
          <w:color w:val="auto"/>
          <w:kern w:val="0"/>
          <w:sz w:val="24"/>
          <w:szCs w:val="24"/>
          <w:highlight w:val="none"/>
          <w:u w:val="none"/>
          <w:lang w:val="en-US" w:eastAsia="zh-CN"/>
        </w:rPr>
        <w:t>）</w:t>
      </w:r>
      <w:r>
        <w:rPr>
          <w:rFonts w:hint="eastAsia" w:ascii="宋体" w:hAnsi="宋体" w:eastAsia="宋体" w:cs="宋体"/>
          <w:b/>
          <w:bCs/>
          <w:spacing w:val="-1"/>
          <w:sz w:val="24"/>
          <w:szCs w:val="24"/>
          <w:highlight w:val="none"/>
          <w:lang w:val="en-US" w:eastAsia="zh-CN"/>
        </w:rPr>
        <w:t>生产过程中主要化学反应简述：</w:t>
      </w:r>
    </w:p>
    <w:p w14:paraId="4DD37376">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ind w:leftChars="0" w:firstLine="480" w:firstLineChars="200"/>
        <w:jc w:val="both"/>
        <w:textAlignment w:val="auto"/>
        <w:outlineLvl w:val="9"/>
        <w:rPr>
          <w:rFonts w:hint="eastAsia"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本项目</w:t>
      </w:r>
      <w:r>
        <w:rPr>
          <w:rFonts w:hint="eastAsia" w:eastAsia="宋体" w:cs="Times New Roman"/>
          <w:b w:val="0"/>
          <w:bCs w:val="0"/>
          <w:color w:val="auto"/>
          <w:kern w:val="0"/>
          <w:sz w:val="24"/>
          <w:szCs w:val="24"/>
          <w:highlight w:val="none"/>
          <w:u w:val="none"/>
          <w:lang w:val="en-US" w:eastAsia="zh-CN"/>
        </w:rPr>
        <w:t>防染粉1#（助剂</w:t>
      </w:r>
      <w:r>
        <w:rPr>
          <w:rFonts w:hint="eastAsia" w:ascii="宋体" w:hAnsi="宋体" w:eastAsia="宋体" w:cs="宋体"/>
          <w:b w:val="0"/>
          <w:bCs w:val="0"/>
          <w:spacing w:val="-1"/>
          <w:sz w:val="24"/>
          <w:szCs w:val="24"/>
          <w:highlight w:val="none"/>
          <w:lang w:val="en-US" w:eastAsia="zh-CN"/>
        </w:rPr>
        <w:t>粉剂</w:t>
      </w:r>
      <w:r>
        <w:rPr>
          <w:rFonts w:hint="eastAsia" w:eastAsia="宋体" w:cs="Times New Roman"/>
          <w:b w:val="0"/>
          <w:bCs w:val="0"/>
          <w:color w:val="auto"/>
          <w:kern w:val="0"/>
          <w:sz w:val="24"/>
          <w:szCs w:val="24"/>
          <w:highlight w:val="none"/>
          <w:u w:val="none"/>
          <w:lang w:val="en-US" w:eastAsia="zh-CN"/>
        </w:rPr>
        <w:t>）</w:t>
      </w:r>
      <w:r>
        <w:rPr>
          <w:rFonts w:hint="eastAsia" w:eastAsia="宋体" w:cs="Times New Roman"/>
          <w:b w:val="0"/>
          <w:bCs w:val="0"/>
          <w:color w:val="000000"/>
          <w:kern w:val="0"/>
          <w:sz w:val="24"/>
          <w:szCs w:val="24"/>
          <w:highlight w:val="none"/>
          <w:lang w:val="en-US" w:eastAsia="zh-CN" w:bidi="ar"/>
        </w:rPr>
        <w:t>生产</w:t>
      </w:r>
      <w:r>
        <w:rPr>
          <w:rFonts w:hint="eastAsia" w:eastAsia="宋体" w:cs="Times New Roman"/>
          <w:color w:val="000000"/>
          <w:kern w:val="0"/>
          <w:sz w:val="24"/>
          <w:szCs w:val="24"/>
          <w:highlight w:val="none"/>
          <w:lang w:val="en-US" w:eastAsia="zh-CN" w:bidi="ar"/>
        </w:rPr>
        <w:t>，在</w:t>
      </w:r>
      <w:r>
        <w:rPr>
          <w:rFonts w:hint="eastAsia" w:ascii="宋体" w:hAnsi="宋体" w:eastAsia="宋体" w:cs="宋体"/>
          <w:spacing w:val="-1"/>
          <w:sz w:val="24"/>
          <w:szCs w:val="24"/>
          <w:highlight w:val="none"/>
          <w:lang w:val="en-US" w:eastAsia="zh-CN"/>
        </w:rPr>
        <w:t>多功能混合搅拌罐</w:t>
      </w:r>
      <w:r>
        <w:rPr>
          <w:rFonts w:hint="eastAsia" w:eastAsia="宋体" w:cs="Times New Roman"/>
          <w:color w:val="000000"/>
          <w:kern w:val="0"/>
          <w:sz w:val="24"/>
          <w:szCs w:val="24"/>
          <w:highlight w:val="none"/>
          <w:lang w:val="en-US" w:eastAsia="zh-CN" w:bidi="ar"/>
        </w:rPr>
        <w:t>中加入</w:t>
      </w:r>
      <w:r>
        <w:rPr>
          <w:rFonts w:hint="eastAsia" w:eastAsia="宋体" w:cs="Times New Roman"/>
          <w:i w:val="0"/>
          <w:iCs w:val="0"/>
          <w:caps w:val="0"/>
          <w:spacing w:val="0"/>
          <w:sz w:val="24"/>
          <w:szCs w:val="24"/>
          <w:highlight w:val="none"/>
          <w:shd w:val="clear" w:fill="FFFFFF"/>
          <w:lang w:val="en-US" w:eastAsia="zh-CN"/>
        </w:rPr>
        <w:t>原料</w:t>
      </w:r>
      <w:r>
        <w:rPr>
          <w:rFonts w:hint="default" w:ascii="Times New Roman" w:hAnsi="Times New Roman" w:eastAsia="Segoe UI" w:cs="Times New Roman"/>
          <w:i w:val="0"/>
          <w:iCs w:val="0"/>
          <w:caps w:val="0"/>
          <w:spacing w:val="0"/>
          <w:sz w:val="24"/>
          <w:szCs w:val="24"/>
          <w:highlight w:val="none"/>
          <w:shd w:val="clear" w:fill="FFFFFF"/>
        </w:rPr>
        <w:t>聚乙二醇</w:t>
      </w:r>
      <w:r>
        <w:rPr>
          <w:rFonts w:hint="default" w:ascii="Times New Roman" w:hAnsi="Times New Roman" w:eastAsia="宋体" w:cs="Times New Roman"/>
          <w:i w:val="0"/>
          <w:iCs w:val="0"/>
          <w:caps w:val="0"/>
          <w:spacing w:val="0"/>
          <w:sz w:val="24"/>
          <w:szCs w:val="24"/>
          <w:highlight w:val="none"/>
          <w:shd w:val="clear" w:fill="FFFFFF"/>
          <w:lang w:val="en-US" w:eastAsia="zh-CN"/>
        </w:rPr>
        <w:t>4000</w:t>
      </w:r>
      <w:r>
        <w:rPr>
          <w:rFonts w:hint="default" w:ascii="Times New Roman" w:hAnsi="Times New Roman" w:eastAsia="Segoe UI" w:cs="Times New Roman"/>
          <w:i w:val="0"/>
          <w:iCs w:val="0"/>
          <w:caps w:val="0"/>
          <w:spacing w:val="0"/>
          <w:sz w:val="24"/>
          <w:szCs w:val="24"/>
          <w:highlight w:val="none"/>
          <w:shd w:val="clear" w:fill="FFFFFF"/>
        </w:rPr>
        <w:t>及聚酯切片</w:t>
      </w:r>
      <w:r>
        <w:rPr>
          <w:rFonts w:hint="eastAsia" w:eastAsia="宋体" w:cs="Times New Roman"/>
          <w:i w:val="0"/>
          <w:iCs w:val="0"/>
          <w:caps w:val="0"/>
          <w:spacing w:val="0"/>
          <w:sz w:val="24"/>
          <w:szCs w:val="24"/>
          <w:highlight w:val="none"/>
          <w:shd w:val="clear" w:fill="FFFFFF"/>
          <w:lang w:eastAsia="zh-CN"/>
        </w:rPr>
        <w:t>，</w:t>
      </w:r>
      <w:r>
        <w:rPr>
          <w:rFonts w:hint="eastAsia" w:eastAsia="宋体" w:cs="Times New Roman"/>
          <w:i w:val="0"/>
          <w:iCs w:val="0"/>
          <w:caps w:val="0"/>
          <w:spacing w:val="0"/>
          <w:sz w:val="24"/>
          <w:szCs w:val="24"/>
          <w:highlight w:val="none"/>
          <w:shd w:val="clear" w:fill="FFFFFF"/>
          <w:lang w:val="en-US" w:eastAsia="zh-CN"/>
        </w:rPr>
        <w:t>密闭加热搅拌（260</w:t>
      </w:r>
      <w:r>
        <w:rPr>
          <w:rFonts w:hint="default" w:ascii="Times New Roman" w:hAnsi="Times New Roman" w:eastAsia="宋体" w:cs="Times New Roman"/>
          <w:i w:val="0"/>
          <w:iCs w:val="0"/>
          <w:caps w:val="0"/>
          <w:spacing w:val="0"/>
          <w:sz w:val="24"/>
          <w:szCs w:val="24"/>
          <w:highlight w:val="none"/>
          <w:shd w:val="clear" w:fill="FFFFFF"/>
          <w:lang w:val="en-US" w:eastAsia="zh-CN"/>
        </w:rPr>
        <w:t>℃</w:t>
      </w:r>
      <w:r>
        <w:rPr>
          <w:rFonts w:hint="eastAsia" w:eastAsia="宋体" w:cs="Times New Roman"/>
          <w:i w:val="0"/>
          <w:iCs w:val="0"/>
          <w:caps w:val="0"/>
          <w:spacing w:val="0"/>
          <w:sz w:val="24"/>
          <w:szCs w:val="24"/>
          <w:highlight w:val="none"/>
          <w:shd w:val="clear" w:fill="FFFFFF"/>
          <w:lang w:val="en-US" w:eastAsia="zh-CN"/>
        </w:rPr>
        <w:t>）</w:t>
      </w:r>
      <w:r>
        <w:rPr>
          <w:rFonts w:hint="default" w:ascii="Times New Roman" w:hAnsi="Times New Roman" w:eastAsia="Segoe UI" w:cs="Times New Roman"/>
          <w:i w:val="0"/>
          <w:iCs w:val="0"/>
          <w:caps w:val="0"/>
          <w:spacing w:val="0"/>
          <w:sz w:val="24"/>
          <w:szCs w:val="24"/>
          <w:highlight w:val="none"/>
          <w:shd w:val="clear" w:fill="FFFFFF"/>
        </w:rPr>
        <w:t xml:space="preserve"> </w:t>
      </w:r>
      <w:r>
        <w:rPr>
          <w:rFonts w:hint="eastAsia" w:eastAsia="宋体" w:cs="Times New Roman"/>
          <w:i w:val="0"/>
          <w:iCs w:val="0"/>
          <w:caps w:val="0"/>
          <w:spacing w:val="0"/>
          <w:sz w:val="24"/>
          <w:szCs w:val="24"/>
          <w:highlight w:val="none"/>
          <w:shd w:val="clear" w:fill="FFFFFF"/>
          <w:lang w:eastAsia="zh-CN"/>
        </w:rPr>
        <w:t>，</w:t>
      </w:r>
      <w:r>
        <w:rPr>
          <w:rFonts w:hint="eastAsia" w:ascii="Times New Roman" w:hAnsi="Times New Roman" w:eastAsia="宋体"/>
          <w:color w:val="auto"/>
          <w:sz w:val="24"/>
          <w:highlight w:val="none"/>
          <w:u w:val="none" w:color="auto"/>
        </w:rPr>
        <w:t>发生化学反应</w:t>
      </w:r>
      <w:r>
        <w:rPr>
          <w:rFonts w:hint="eastAsia" w:eastAsia="宋体" w:cs="Times New Roman"/>
          <w:i w:val="0"/>
          <w:iCs w:val="0"/>
          <w:caps w:val="0"/>
          <w:spacing w:val="0"/>
          <w:sz w:val="24"/>
          <w:szCs w:val="24"/>
          <w:highlight w:val="none"/>
          <w:shd w:val="clear" w:fill="FFFFFF"/>
          <w:lang w:val="en-US" w:eastAsia="zh-CN"/>
        </w:rPr>
        <w:t>生成</w:t>
      </w:r>
      <w:r>
        <w:rPr>
          <w:rFonts w:hint="default" w:ascii="Times New Roman" w:hAnsi="Times New Roman" w:eastAsia="宋体" w:cs="Times New Roman"/>
          <w:color w:val="000000"/>
          <w:kern w:val="0"/>
          <w:sz w:val="24"/>
          <w:szCs w:val="24"/>
          <w:highlight w:val="none"/>
          <w:lang w:val="en-US" w:eastAsia="zh-CN" w:bidi="ar"/>
        </w:rPr>
        <w:t>产品是防染粉</w:t>
      </w:r>
      <w:r>
        <w:rPr>
          <w:rFonts w:hint="eastAsia" w:eastAsia="宋体" w:cs="Times New Roman"/>
          <w:color w:val="000000"/>
          <w:kern w:val="0"/>
          <w:sz w:val="24"/>
          <w:szCs w:val="24"/>
          <w:highlight w:val="none"/>
          <w:lang w:val="en-US" w:eastAsia="zh-CN" w:bidi="ar"/>
        </w:rPr>
        <w:t>1#</w:t>
      </w:r>
      <w:r>
        <w:rPr>
          <w:rFonts w:hint="default" w:ascii="Times New Roman" w:hAnsi="Times New Roman" w:eastAsia="宋体" w:cs="Times New Roman"/>
          <w:color w:val="000000"/>
          <w:kern w:val="0"/>
          <w:sz w:val="24"/>
          <w:szCs w:val="24"/>
          <w:highlight w:val="none"/>
          <w:lang w:val="en-US" w:eastAsia="zh-CN" w:bidi="ar"/>
        </w:rPr>
        <w:t>（其组分是</w:t>
      </w:r>
      <w:r>
        <w:rPr>
          <w:rFonts w:hint="default" w:ascii="Times New Roman" w:hAnsi="Times New Roman" w:eastAsia="Segoe UI" w:cs="Times New Roman"/>
          <w:i w:val="0"/>
          <w:iCs w:val="0"/>
          <w:caps w:val="0"/>
          <w:spacing w:val="0"/>
          <w:sz w:val="24"/>
          <w:szCs w:val="24"/>
          <w:highlight w:val="none"/>
          <w:shd w:val="clear" w:fill="FFFFFF"/>
        </w:rPr>
        <w:t>聚醚聚酯</w:t>
      </w:r>
      <w:r>
        <w:rPr>
          <w:rFonts w:hint="default" w:ascii="Times New Roman" w:hAnsi="Times New Roman" w:eastAsia="宋体" w:cs="Times New Roman"/>
          <w:i w:val="0"/>
          <w:iCs w:val="0"/>
          <w:caps w:val="0"/>
          <w:spacing w:val="0"/>
          <w:sz w:val="24"/>
          <w:szCs w:val="24"/>
          <w:highlight w:val="none"/>
          <w:shd w:val="clear" w:fill="FFFFFF"/>
          <w:lang w:eastAsia="zh-CN"/>
        </w:rPr>
        <w:t>，</w:t>
      </w:r>
      <w:r>
        <w:rPr>
          <w:rFonts w:hint="default" w:ascii="Times New Roman" w:hAnsi="Times New Roman" w:eastAsia="宋体" w:cs="Times New Roman"/>
          <w:i w:val="0"/>
          <w:iCs w:val="0"/>
          <w:caps w:val="0"/>
          <w:spacing w:val="0"/>
          <w:sz w:val="24"/>
          <w:szCs w:val="24"/>
          <w:highlight w:val="none"/>
          <w:shd w:val="clear" w:fill="FFFFFF"/>
          <w:lang w:val="en-US" w:eastAsia="zh-CN"/>
        </w:rPr>
        <w:t>含量为100%</w:t>
      </w:r>
      <w:r>
        <w:rPr>
          <w:rFonts w:hint="default" w:ascii="Times New Roman" w:hAnsi="Times New Roman" w:eastAsia="宋体" w:cs="Times New Roman"/>
          <w:color w:val="000000"/>
          <w:kern w:val="0"/>
          <w:sz w:val="24"/>
          <w:szCs w:val="24"/>
          <w:highlight w:val="none"/>
          <w:lang w:val="en-US" w:eastAsia="zh-CN" w:bidi="ar"/>
        </w:rPr>
        <w:t>）</w:t>
      </w:r>
      <w:r>
        <w:rPr>
          <w:rFonts w:hint="eastAsia" w:eastAsia="宋体" w:cs="Times New Roman"/>
          <w:color w:val="000000"/>
          <w:kern w:val="0"/>
          <w:sz w:val="24"/>
          <w:szCs w:val="24"/>
          <w:highlight w:val="none"/>
          <w:lang w:val="en-US" w:eastAsia="zh-CN" w:bidi="ar"/>
        </w:rPr>
        <w:t>。</w:t>
      </w:r>
    </w:p>
    <w:p w14:paraId="117235D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ind w:leftChars="0" w:firstLine="482" w:firstLineChars="200"/>
        <w:jc w:val="both"/>
        <w:textAlignment w:val="auto"/>
        <w:outlineLvl w:val="9"/>
        <w:rPr>
          <w:rFonts w:hint="default" w:ascii="Times New Roman" w:hAnsi="Times New Roman" w:eastAsia="宋体" w:cs="Times New Roman"/>
          <w:b/>
          <w:bCs/>
          <w:i w:val="0"/>
          <w:iCs w:val="0"/>
          <w:caps w:val="0"/>
          <w:spacing w:val="0"/>
          <w:sz w:val="24"/>
          <w:szCs w:val="24"/>
          <w:highlight w:val="none"/>
          <w:shd w:val="clear" w:fill="FFFFFF"/>
          <w:lang w:val="en-US" w:eastAsia="zh-CN"/>
        </w:rPr>
      </w:pPr>
      <w:r>
        <w:rPr>
          <w:rFonts w:hint="eastAsia" w:eastAsia="宋体" w:cs="Times New Roman"/>
          <w:b/>
          <w:bCs/>
          <w:i w:val="0"/>
          <w:iCs w:val="0"/>
          <w:caps w:val="0"/>
          <w:spacing w:val="0"/>
          <w:sz w:val="24"/>
          <w:szCs w:val="24"/>
          <w:highlight w:val="none"/>
          <w:shd w:val="clear" w:fill="FFFFFF"/>
          <w:lang w:val="en-US" w:eastAsia="zh-CN"/>
        </w:rPr>
        <w:t>1）</w:t>
      </w:r>
      <w:r>
        <w:rPr>
          <w:rFonts w:hint="default" w:ascii="Times New Roman" w:hAnsi="Times New Roman" w:eastAsia="宋体" w:cs="Times New Roman"/>
          <w:b/>
          <w:bCs/>
          <w:i w:val="0"/>
          <w:iCs w:val="0"/>
          <w:caps w:val="0"/>
          <w:spacing w:val="0"/>
          <w:sz w:val="24"/>
          <w:szCs w:val="24"/>
          <w:highlight w:val="none"/>
          <w:shd w:val="clear" w:fill="FFFFFF"/>
          <w:lang w:val="en-US" w:eastAsia="zh-CN"/>
        </w:rPr>
        <w:t>简化表达：</w:t>
      </w:r>
    </w:p>
    <w:p w14:paraId="51030D9A">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ind w:leftChars="0" w:firstLine="480" w:firstLineChars="200"/>
        <w:jc w:val="both"/>
        <w:textAlignment w:val="auto"/>
        <w:outlineLvl w:val="9"/>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i w:val="0"/>
          <w:iCs w:val="0"/>
          <w:caps w:val="0"/>
          <w:spacing w:val="0"/>
          <w:sz w:val="24"/>
          <w:szCs w:val="24"/>
          <w:highlight w:val="none"/>
          <w:shd w:val="clear" w:fill="FFFFFF"/>
          <w:lang w:val="en-US" w:eastAsia="zh-CN"/>
        </w:rPr>
        <w:t>聚乙二醇</w:t>
      </w:r>
      <w:r>
        <w:rPr>
          <w:rFonts w:hint="eastAsia" w:ascii="Times New Roman" w:hAnsi="Times New Roman" w:eastAsia="宋体" w:cs="Times New Roman"/>
          <w:b w:val="0"/>
          <w:bCs w:val="0"/>
          <w:i w:val="0"/>
          <w:iCs w:val="0"/>
          <w:caps w:val="0"/>
          <w:spacing w:val="0"/>
          <w:sz w:val="24"/>
          <w:szCs w:val="24"/>
          <w:highlight w:val="none"/>
          <w:shd w:val="clear" w:fill="FFFFFF"/>
          <w:lang w:val="en-US" w:eastAsia="zh-CN"/>
        </w:rPr>
        <w:t>4000</w:t>
      </w:r>
      <w:r>
        <w:rPr>
          <w:rFonts w:hint="default" w:ascii="Times New Roman" w:hAnsi="Times New Roman" w:eastAsia="Segoe UI" w:cs="Times New Roman"/>
          <w:b w:val="0"/>
          <w:bCs w:val="0"/>
          <w:i w:val="0"/>
          <w:iCs w:val="0"/>
          <w:caps w:val="0"/>
          <w:color w:val="222222"/>
          <w:spacing w:val="0"/>
          <w:sz w:val="24"/>
          <w:szCs w:val="24"/>
          <w:highlight w:val="none"/>
          <w:shd w:val="clear" w:fill="FFFFFF"/>
        </w:rPr>
        <w:t>：通常表示为</w:t>
      </w:r>
      <w:r>
        <w:rPr>
          <w:rFonts w:hint="default" w:ascii="Times New Roman" w:hAnsi="Times New Roman" w:eastAsia="KaTeX_Math" w:cs="Times New Roman"/>
          <w:b w:val="0"/>
          <w:bCs w:val="0"/>
          <w:i/>
          <w:iCs/>
          <w:caps w:val="0"/>
          <w:color w:val="222222"/>
          <w:spacing w:val="0"/>
          <w:sz w:val="25"/>
          <w:szCs w:val="25"/>
          <w:highlight w:val="none"/>
          <w:shd w:val="clear" w:fill="FFFFFF"/>
        </w:rPr>
        <w:t>HO</w:t>
      </w:r>
      <w:r>
        <w:rPr>
          <w:rFonts w:hint="default" w:ascii="Times New Roman" w:hAnsi="Times New Roman" w:eastAsia="Times New Roman" w:cs="Times New Roman"/>
          <w:b w:val="0"/>
          <w:bCs w:val="0"/>
          <w:i w:val="0"/>
          <w:iCs w:val="0"/>
          <w:caps w:val="0"/>
          <w:color w:val="222222"/>
          <w:spacing w:val="0"/>
          <w:sz w:val="25"/>
          <w:szCs w:val="25"/>
          <w:highlight w:val="none"/>
          <w:shd w:val="clear" w:fill="FFFFFF"/>
        </w:rPr>
        <w:t>−(</w:t>
      </w:r>
      <w:r>
        <w:rPr>
          <w:rFonts w:hint="default" w:ascii="Times New Roman" w:hAnsi="Times New Roman" w:eastAsia="KaTeX_Math" w:cs="Times New Roman"/>
          <w:b w:val="0"/>
          <w:bCs w:val="0"/>
          <w:i/>
          <w:iCs/>
          <w:caps w:val="0"/>
          <w:color w:val="222222"/>
          <w:spacing w:val="0"/>
          <w:sz w:val="25"/>
          <w:szCs w:val="25"/>
          <w:highlight w:val="none"/>
          <w:shd w:val="clear" w:fill="FFFFFF"/>
        </w:rPr>
        <w:t>CH</w:t>
      </w:r>
      <w:r>
        <w:rPr>
          <w:rFonts w:hint="default" w:ascii="Times New Roman" w:hAnsi="Times New Roman" w:eastAsia="Times New Roman" w:cs="Times New Roman"/>
          <w:b w:val="0"/>
          <w:bCs w:val="0"/>
          <w:i w:val="0"/>
          <w:iCs w:val="0"/>
          <w:caps w:val="0"/>
          <w:color w:val="222222"/>
          <w:spacing w:val="0"/>
          <w:sz w:val="14"/>
          <w:szCs w:val="14"/>
          <w:highlight w:val="none"/>
          <w:shd w:val="clear" w:fill="FFFFFF"/>
        </w:rPr>
        <w:t>2</w:t>
      </w:r>
      <w:r>
        <w:rPr>
          <w:rFonts w:hint="default" w:ascii="Times New Roman" w:hAnsi="Times New Roman" w:eastAsia="Times New Roman" w:cs="Times New Roman"/>
          <w:b w:val="0"/>
          <w:bCs w:val="0"/>
          <w:i w:val="0"/>
          <w:iCs w:val="0"/>
          <w:caps w:val="0"/>
          <w:color w:val="222222"/>
          <w:spacing w:val="0"/>
          <w:sz w:val="1"/>
          <w:szCs w:val="1"/>
          <w:highlight w:val="none"/>
          <w:shd w:val="clear" w:fill="FFFFFF"/>
        </w:rPr>
        <w:t>​</w:t>
      </w:r>
      <w:r>
        <w:rPr>
          <w:rFonts w:hint="default" w:ascii="Times New Roman" w:hAnsi="Times New Roman" w:eastAsia="KaTeX_Math" w:cs="Times New Roman"/>
          <w:b w:val="0"/>
          <w:bCs w:val="0"/>
          <w:i/>
          <w:iCs/>
          <w:caps w:val="0"/>
          <w:color w:val="222222"/>
          <w:spacing w:val="0"/>
          <w:sz w:val="25"/>
          <w:szCs w:val="25"/>
          <w:highlight w:val="none"/>
          <w:shd w:val="clear" w:fill="FFFFFF"/>
        </w:rPr>
        <w:t>CH</w:t>
      </w:r>
      <w:r>
        <w:rPr>
          <w:rFonts w:hint="default" w:ascii="Times New Roman" w:hAnsi="Times New Roman" w:eastAsia="Times New Roman" w:cs="Times New Roman"/>
          <w:b w:val="0"/>
          <w:bCs w:val="0"/>
          <w:i w:val="0"/>
          <w:iCs w:val="0"/>
          <w:caps w:val="0"/>
          <w:color w:val="222222"/>
          <w:spacing w:val="0"/>
          <w:sz w:val="14"/>
          <w:szCs w:val="14"/>
          <w:highlight w:val="none"/>
          <w:shd w:val="clear" w:fill="FFFFFF"/>
        </w:rPr>
        <w:t>2</w:t>
      </w:r>
      <w:r>
        <w:rPr>
          <w:rFonts w:hint="default" w:ascii="Times New Roman" w:hAnsi="Times New Roman" w:eastAsia="Times New Roman" w:cs="Times New Roman"/>
          <w:b w:val="0"/>
          <w:bCs w:val="0"/>
          <w:i w:val="0"/>
          <w:iCs w:val="0"/>
          <w:caps w:val="0"/>
          <w:color w:val="222222"/>
          <w:spacing w:val="0"/>
          <w:sz w:val="1"/>
          <w:szCs w:val="1"/>
          <w:highlight w:val="none"/>
          <w:shd w:val="clear" w:fill="FFFFFF"/>
        </w:rPr>
        <w:t>​</w:t>
      </w:r>
      <w:r>
        <w:rPr>
          <w:rFonts w:hint="default" w:ascii="Times New Roman" w:hAnsi="Times New Roman" w:eastAsia="KaTeX_Math" w:cs="Times New Roman"/>
          <w:b w:val="0"/>
          <w:bCs w:val="0"/>
          <w:i/>
          <w:iCs/>
          <w:caps w:val="0"/>
          <w:color w:val="222222"/>
          <w:spacing w:val="0"/>
          <w:sz w:val="25"/>
          <w:szCs w:val="25"/>
          <w:highlight w:val="none"/>
          <w:shd w:val="clear" w:fill="FFFFFF"/>
        </w:rPr>
        <w:t>O</w:t>
      </w:r>
      <w:r>
        <w:rPr>
          <w:rFonts w:hint="default" w:ascii="Times New Roman" w:hAnsi="Times New Roman" w:eastAsia="Times New Roman" w:cs="Times New Roman"/>
          <w:b w:val="0"/>
          <w:bCs w:val="0"/>
          <w:i w:val="0"/>
          <w:iCs w:val="0"/>
          <w:caps w:val="0"/>
          <w:color w:val="222222"/>
          <w:spacing w:val="0"/>
          <w:sz w:val="25"/>
          <w:szCs w:val="25"/>
          <w:highlight w:val="none"/>
          <w:shd w:val="clear" w:fill="FFFFFF"/>
        </w:rPr>
        <w:t>)</w:t>
      </w:r>
      <w:r>
        <w:rPr>
          <w:rFonts w:hint="default" w:ascii="Times New Roman" w:hAnsi="Times New Roman" w:eastAsia="KaTeX_Math" w:cs="Times New Roman"/>
          <w:b w:val="0"/>
          <w:bCs w:val="0"/>
          <w:i/>
          <w:iCs/>
          <w:caps w:val="0"/>
          <w:color w:val="222222"/>
          <w:spacing w:val="0"/>
          <w:sz w:val="14"/>
          <w:szCs w:val="14"/>
          <w:highlight w:val="none"/>
          <w:shd w:val="clear" w:fill="FFFFFF"/>
        </w:rPr>
        <w:t>n</w:t>
      </w:r>
      <w:r>
        <w:rPr>
          <w:rFonts w:hint="default" w:ascii="Times New Roman" w:hAnsi="Times New Roman" w:eastAsia="Times New Roman" w:cs="Times New Roman"/>
          <w:b w:val="0"/>
          <w:bCs w:val="0"/>
          <w:i w:val="0"/>
          <w:iCs w:val="0"/>
          <w:caps w:val="0"/>
          <w:color w:val="222222"/>
          <w:spacing w:val="0"/>
          <w:sz w:val="1"/>
          <w:szCs w:val="1"/>
          <w:highlight w:val="none"/>
          <w:shd w:val="clear" w:fill="FFFFFF"/>
        </w:rPr>
        <w:t>​</w:t>
      </w:r>
      <w:r>
        <w:rPr>
          <w:rFonts w:hint="default" w:ascii="Times New Roman" w:hAnsi="Times New Roman" w:eastAsia="Times New Roman" w:cs="Times New Roman"/>
          <w:b w:val="0"/>
          <w:bCs w:val="0"/>
          <w:i w:val="0"/>
          <w:iCs w:val="0"/>
          <w:caps w:val="0"/>
          <w:color w:val="222222"/>
          <w:spacing w:val="0"/>
          <w:sz w:val="25"/>
          <w:szCs w:val="25"/>
          <w:highlight w:val="none"/>
          <w:shd w:val="clear" w:fill="FFFFFF"/>
        </w:rPr>
        <w:t>−</w:t>
      </w:r>
      <w:r>
        <w:rPr>
          <w:rFonts w:hint="default" w:ascii="Times New Roman" w:hAnsi="Times New Roman" w:eastAsia="KaTeX_Math" w:cs="Times New Roman"/>
          <w:b w:val="0"/>
          <w:bCs w:val="0"/>
          <w:i/>
          <w:iCs/>
          <w:caps w:val="0"/>
          <w:color w:val="222222"/>
          <w:spacing w:val="0"/>
          <w:sz w:val="25"/>
          <w:szCs w:val="25"/>
          <w:highlight w:val="none"/>
          <w:shd w:val="clear" w:fill="FFFFFF"/>
        </w:rPr>
        <w:t>H</w:t>
      </w:r>
      <w:r>
        <w:rPr>
          <w:rFonts w:hint="default" w:ascii="Times New Roman" w:hAnsi="Times New Roman" w:eastAsia="Segoe UI" w:cs="Times New Roman"/>
          <w:b w:val="0"/>
          <w:bCs w:val="0"/>
          <w:i w:val="0"/>
          <w:iCs w:val="0"/>
          <w:caps w:val="0"/>
          <w:color w:val="222222"/>
          <w:spacing w:val="0"/>
          <w:sz w:val="24"/>
          <w:szCs w:val="24"/>
          <w:highlight w:val="none"/>
          <w:shd w:val="clear" w:fill="FFFFFF"/>
        </w:rPr>
        <w:t>。</w:t>
      </w:r>
      <w:r>
        <w:rPr>
          <w:rFonts w:hint="eastAsia" w:eastAsia="宋体" w:cs="Times New Roman"/>
          <w:b w:val="0"/>
          <w:bCs w:val="0"/>
          <w:i w:val="0"/>
          <w:iCs w:val="0"/>
          <w:caps w:val="0"/>
          <w:color w:val="222222"/>
          <w:spacing w:val="0"/>
          <w:sz w:val="24"/>
          <w:szCs w:val="24"/>
          <w:highlight w:val="none"/>
          <w:shd w:val="clear" w:fill="FFFFFF"/>
          <w:lang w:eastAsia="zh-CN"/>
        </w:rPr>
        <w:t>n 代表氧乙烯基(-CHCH2O-)的重复单元数），</w:t>
      </w:r>
      <w:r>
        <w:rPr>
          <w:rFonts w:hint="eastAsia" w:eastAsia="宋体" w:cs="Times New Roman"/>
          <w:b w:val="0"/>
          <w:bCs w:val="0"/>
          <w:i w:val="0"/>
          <w:iCs w:val="0"/>
          <w:caps w:val="0"/>
          <w:color w:val="222222"/>
          <w:spacing w:val="0"/>
          <w:sz w:val="24"/>
          <w:szCs w:val="24"/>
          <w:highlight w:val="none"/>
          <w:shd w:val="clear" w:fill="FFFFFF"/>
          <w:lang w:val="en-US" w:eastAsia="zh-CN"/>
        </w:rPr>
        <w:t>n的平均值为90.</w:t>
      </w:r>
    </w:p>
    <w:p w14:paraId="1F588B4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firstLine="480" w:firstLineChars="200"/>
        <w:jc w:val="both"/>
        <w:textAlignment w:val="auto"/>
        <w:outlineLvl w:val="9"/>
        <w:rPr>
          <w:rFonts w:hint="default" w:ascii="Segoe UI" w:hAnsi="Segoe UI" w:eastAsia="宋体" w:cs="Segoe UI"/>
          <w:b w:val="0"/>
          <w:bCs w:val="0"/>
          <w:i w:val="0"/>
          <w:iCs w:val="0"/>
          <w:caps w:val="0"/>
          <w:spacing w:val="0"/>
          <w:kern w:val="2"/>
          <w:sz w:val="24"/>
          <w:szCs w:val="24"/>
          <w:highlight w:val="none"/>
          <w:shd w:val="clear" w:fill="FFFFFF"/>
          <w:lang w:val="en-US" w:eastAsia="zh-CN" w:bidi="ar-SA"/>
        </w:rPr>
      </w:pPr>
      <w:r>
        <w:rPr>
          <w:rStyle w:val="26"/>
          <w:rFonts w:hint="default" w:ascii="Times New Roman" w:hAnsi="Times New Roman" w:eastAsia="Segoe UI" w:cs="Times New Roman"/>
          <w:b w:val="0"/>
          <w:bCs w:val="0"/>
          <w:i w:val="0"/>
          <w:iCs w:val="0"/>
          <w:caps w:val="0"/>
          <w:color w:val="222222"/>
          <w:spacing w:val="0"/>
          <w:sz w:val="24"/>
          <w:szCs w:val="24"/>
          <w:highlight w:val="none"/>
          <w:shd w:val="clear" w:fill="FFFFFF"/>
        </w:rPr>
        <w:t>聚酯切片</w:t>
      </w:r>
      <w:r>
        <w:rPr>
          <w:rFonts w:hint="default" w:ascii="Times New Roman" w:hAnsi="Times New Roman" w:eastAsia="Segoe UI" w:cs="Times New Roman"/>
          <w:b w:val="0"/>
          <w:bCs w:val="0"/>
          <w:i w:val="0"/>
          <w:iCs w:val="0"/>
          <w:caps w:val="0"/>
          <w:color w:val="222222"/>
          <w:spacing w:val="0"/>
          <w:sz w:val="24"/>
          <w:szCs w:val="24"/>
          <w:highlight w:val="none"/>
          <w:shd w:val="clear" w:fill="FFFFFF"/>
        </w:rPr>
        <w:t>：</w:t>
      </w:r>
      <w:r>
        <w:rPr>
          <w:rFonts w:hint="eastAsia" w:ascii="Times New Roman" w:hAnsi="Times New Roman" w:eastAsia="宋体" w:cs="Times New Roman"/>
          <w:b w:val="0"/>
          <w:bCs w:val="0"/>
          <w:i w:val="0"/>
          <w:iCs w:val="0"/>
          <w:caps w:val="0"/>
          <w:color w:val="222222"/>
          <w:spacing w:val="0"/>
          <w:sz w:val="24"/>
          <w:szCs w:val="24"/>
          <w:highlight w:val="none"/>
          <w:shd w:val="clear" w:fill="FFFFFF"/>
          <w:lang w:val="en-US" w:eastAsia="zh-CN"/>
        </w:rPr>
        <w:t>根据建设单位提供的</w:t>
      </w:r>
      <w:r>
        <w:rPr>
          <w:rFonts w:hint="eastAsia" w:ascii="Times New Roman" w:hAnsi="Times New Roman" w:eastAsia="宋体" w:cs="Times New Roman"/>
          <w:i w:val="0"/>
          <w:iCs w:val="0"/>
          <w:caps w:val="0"/>
          <w:color w:val="222222"/>
          <w:spacing w:val="0"/>
          <w:sz w:val="24"/>
          <w:szCs w:val="24"/>
          <w:highlight w:val="none"/>
          <w:shd w:val="clear" w:fill="FFFFFF"/>
          <w:lang w:val="en-US" w:eastAsia="zh-CN"/>
        </w:rPr>
        <w:t>该材料的化学组分是</w:t>
      </w:r>
      <w:r>
        <w:rPr>
          <w:rFonts w:hint="default" w:ascii="Times New Roman" w:hAnsi="Times New Roman" w:eastAsia="Segoe UI" w:cs="Times New Roman"/>
          <w:i w:val="0"/>
          <w:iCs w:val="0"/>
          <w:caps w:val="0"/>
          <w:color w:val="222222"/>
          <w:spacing w:val="0"/>
          <w:sz w:val="24"/>
          <w:szCs w:val="24"/>
          <w:highlight w:val="none"/>
          <w:shd w:val="clear" w:fill="FFFFFF"/>
        </w:rPr>
        <w:t>聚对苯二甲酸乙二</w:t>
      </w:r>
      <w:r>
        <w:rPr>
          <w:rFonts w:hint="eastAsia" w:ascii="Times New Roman" w:hAnsi="Times New Roman" w:eastAsia="宋体" w:cs="Times New Roman"/>
          <w:i w:val="0"/>
          <w:iCs w:val="0"/>
          <w:caps w:val="0"/>
          <w:color w:val="222222"/>
          <w:spacing w:val="0"/>
          <w:sz w:val="24"/>
          <w:szCs w:val="24"/>
          <w:highlight w:val="none"/>
          <w:shd w:val="clear" w:fill="FFFFFF"/>
          <w:lang w:val="en-US" w:eastAsia="zh-CN"/>
        </w:rPr>
        <w:t>醇</w:t>
      </w:r>
      <w:r>
        <w:rPr>
          <w:rFonts w:hint="default" w:ascii="Times New Roman" w:hAnsi="Times New Roman" w:eastAsia="Segoe UI" w:cs="Times New Roman"/>
          <w:i w:val="0"/>
          <w:iCs w:val="0"/>
          <w:caps w:val="0"/>
          <w:color w:val="222222"/>
          <w:spacing w:val="0"/>
          <w:sz w:val="24"/>
          <w:szCs w:val="24"/>
          <w:highlight w:val="none"/>
          <w:shd w:val="clear" w:fill="FFFFFF"/>
        </w:rPr>
        <w:t>酯（PET），其重复单元可表示为</w:t>
      </w:r>
      <w:r>
        <w:rPr>
          <w:rFonts w:hint="default" w:ascii="Times New Roman" w:hAnsi="Times New Roman" w:eastAsia="Times New Roman" w:cs="Times New Roman"/>
          <w:i w:val="0"/>
          <w:iCs w:val="0"/>
          <w:caps w:val="0"/>
          <w:color w:val="222222"/>
          <w:spacing w:val="0"/>
          <w:sz w:val="25"/>
          <w:szCs w:val="25"/>
          <w:highlight w:val="none"/>
          <w:shd w:val="clear" w:fill="FFFFFF"/>
        </w:rPr>
        <w:t>−[</w:t>
      </w:r>
      <w:r>
        <w:rPr>
          <w:rFonts w:hint="default" w:ascii="Times New Roman" w:hAnsi="Times New Roman" w:eastAsia="KaTeX_Math" w:cs="Times New Roman"/>
          <w:i/>
          <w:iCs/>
          <w:caps w:val="0"/>
          <w:color w:val="222222"/>
          <w:spacing w:val="0"/>
          <w:sz w:val="25"/>
          <w:szCs w:val="25"/>
          <w:highlight w:val="none"/>
          <w:shd w:val="clear" w:fill="FFFFFF"/>
        </w:rPr>
        <w:t>OCC</w:t>
      </w:r>
      <w:r>
        <w:rPr>
          <w:rFonts w:hint="default" w:ascii="Times New Roman" w:hAnsi="Times New Roman" w:eastAsia="Times New Roman" w:cs="Times New Roman"/>
          <w:i w:val="0"/>
          <w:iCs w:val="0"/>
          <w:caps w:val="0"/>
          <w:color w:val="222222"/>
          <w:spacing w:val="0"/>
          <w:sz w:val="14"/>
          <w:szCs w:val="14"/>
          <w:highlight w:val="none"/>
          <w:shd w:val="clear" w:fill="FFFFFF"/>
        </w:rPr>
        <w:t>6</w:t>
      </w:r>
      <w:r>
        <w:rPr>
          <w:rFonts w:hint="default" w:ascii="Times New Roman" w:hAnsi="Times New Roman" w:eastAsia="Times New Roman" w:cs="Times New Roman"/>
          <w:i w:val="0"/>
          <w:iCs w:val="0"/>
          <w:caps w:val="0"/>
          <w:color w:val="222222"/>
          <w:spacing w:val="0"/>
          <w:sz w:val="1"/>
          <w:szCs w:val="1"/>
          <w:highlight w:val="none"/>
          <w:shd w:val="clear" w:fill="FFFFFF"/>
        </w:rPr>
        <w:t>​</w:t>
      </w:r>
      <w:r>
        <w:rPr>
          <w:rFonts w:hint="default" w:ascii="Times New Roman" w:hAnsi="Times New Roman" w:eastAsia="KaTeX_Math" w:cs="Times New Roman"/>
          <w:i/>
          <w:iCs/>
          <w:caps w:val="0"/>
          <w:color w:val="222222"/>
          <w:spacing w:val="0"/>
          <w:sz w:val="25"/>
          <w:szCs w:val="25"/>
          <w:highlight w:val="none"/>
          <w:shd w:val="clear" w:fill="FFFFFF"/>
        </w:rPr>
        <w:t>H</w:t>
      </w:r>
      <w:r>
        <w:rPr>
          <w:rFonts w:hint="default" w:ascii="Times New Roman" w:hAnsi="Times New Roman" w:eastAsia="Times New Roman" w:cs="Times New Roman"/>
          <w:i w:val="0"/>
          <w:iCs w:val="0"/>
          <w:caps w:val="0"/>
          <w:color w:val="222222"/>
          <w:spacing w:val="0"/>
          <w:sz w:val="14"/>
          <w:szCs w:val="14"/>
          <w:highlight w:val="none"/>
          <w:shd w:val="clear" w:fill="FFFFFF"/>
        </w:rPr>
        <w:t>4</w:t>
      </w:r>
      <w:r>
        <w:rPr>
          <w:rFonts w:hint="default" w:ascii="Times New Roman" w:hAnsi="Times New Roman" w:eastAsia="Times New Roman" w:cs="Times New Roman"/>
          <w:i w:val="0"/>
          <w:iCs w:val="0"/>
          <w:caps w:val="0"/>
          <w:color w:val="222222"/>
          <w:spacing w:val="0"/>
          <w:sz w:val="1"/>
          <w:szCs w:val="1"/>
          <w:highlight w:val="none"/>
          <w:shd w:val="clear" w:fill="FFFFFF"/>
        </w:rPr>
        <w:t>​</w:t>
      </w:r>
      <w:r>
        <w:rPr>
          <w:rFonts w:hint="default" w:ascii="Times New Roman" w:hAnsi="Times New Roman" w:eastAsia="KaTeX_Math" w:cs="Times New Roman"/>
          <w:i/>
          <w:iCs/>
          <w:caps w:val="0"/>
          <w:color w:val="222222"/>
          <w:spacing w:val="0"/>
          <w:sz w:val="25"/>
          <w:szCs w:val="25"/>
          <w:highlight w:val="none"/>
          <w:shd w:val="clear" w:fill="FFFFFF"/>
        </w:rPr>
        <w:t>COOCH</w:t>
      </w:r>
      <w:r>
        <w:rPr>
          <w:rFonts w:hint="default" w:ascii="Times New Roman" w:hAnsi="Times New Roman" w:eastAsia="Times New Roman" w:cs="Times New Roman"/>
          <w:i w:val="0"/>
          <w:iCs w:val="0"/>
          <w:caps w:val="0"/>
          <w:color w:val="222222"/>
          <w:spacing w:val="0"/>
          <w:sz w:val="14"/>
          <w:szCs w:val="14"/>
          <w:highlight w:val="none"/>
          <w:shd w:val="clear" w:fill="FFFFFF"/>
        </w:rPr>
        <w:t>2</w:t>
      </w:r>
      <w:r>
        <w:rPr>
          <w:rFonts w:hint="default" w:ascii="Times New Roman" w:hAnsi="Times New Roman" w:eastAsia="Times New Roman" w:cs="Times New Roman"/>
          <w:i w:val="0"/>
          <w:iCs w:val="0"/>
          <w:caps w:val="0"/>
          <w:color w:val="222222"/>
          <w:spacing w:val="0"/>
          <w:sz w:val="1"/>
          <w:szCs w:val="1"/>
          <w:highlight w:val="none"/>
          <w:shd w:val="clear" w:fill="FFFFFF"/>
        </w:rPr>
        <w:t>​</w:t>
      </w:r>
      <w:r>
        <w:rPr>
          <w:rFonts w:hint="default" w:ascii="Times New Roman" w:hAnsi="Times New Roman" w:eastAsia="KaTeX_Math" w:cs="Times New Roman"/>
          <w:i/>
          <w:iCs/>
          <w:caps w:val="0"/>
          <w:color w:val="222222"/>
          <w:spacing w:val="0"/>
          <w:sz w:val="25"/>
          <w:szCs w:val="25"/>
          <w:highlight w:val="none"/>
          <w:shd w:val="clear" w:fill="FFFFFF"/>
        </w:rPr>
        <w:t>CH</w:t>
      </w:r>
      <w:r>
        <w:rPr>
          <w:rFonts w:hint="default" w:ascii="Times New Roman" w:hAnsi="Times New Roman" w:eastAsia="Times New Roman" w:cs="Times New Roman"/>
          <w:i w:val="0"/>
          <w:iCs w:val="0"/>
          <w:caps w:val="0"/>
          <w:color w:val="222222"/>
          <w:spacing w:val="0"/>
          <w:sz w:val="14"/>
          <w:szCs w:val="14"/>
          <w:highlight w:val="none"/>
          <w:shd w:val="clear" w:fill="FFFFFF"/>
        </w:rPr>
        <w:t>2</w:t>
      </w:r>
      <w:r>
        <w:rPr>
          <w:rFonts w:hint="default" w:ascii="Times New Roman" w:hAnsi="Times New Roman" w:eastAsia="Times New Roman" w:cs="Times New Roman"/>
          <w:i w:val="0"/>
          <w:iCs w:val="0"/>
          <w:caps w:val="0"/>
          <w:color w:val="222222"/>
          <w:spacing w:val="0"/>
          <w:sz w:val="1"/>
          <w:szCs w:val="1"/>
          <w:highlight w:val="none"/>
          <w:shd w:val="clear" w:fill="FFFFFF"/>
        </w:rPr>
        <w:t>​</w:t>
      </w:r>
      <w:r>
        <w:rPr>
          <w:rFonts w:hint="default" w:ascii="Times New Roman" w:hAnsi="Times New Roman" w:eastAsia="KaTeX_Math" w:cs="Times New Roman"/>
          <w:i/>
          <w:iCs/>
          <w:caps w:val="0"/>
          <w:color w:val="222222"/>
          <w:spacing w:val="0"/>
          <w:sz w:val="25"/>
          <w:szCs w:val="25"/>
          <w:highlight w:val="none"/>
          <w:shd w:val="clear" w:fill="FFFFFF"/>
        </w:rPr>
        <w:t>O</w:t>
      </w:r>
      <w:r>
        <w:rPr>
          <w:rFonts w:hint="default" w:ascii="Times New Roman" w:hAnsi="Times New Roman" w:eastAsia="Times New Roman" w:cs="Times New Roman"/>
          <w:i w:val="0"/>
          <w:iCs w:val="0"/>
          <w:caps w:val="0"/>
          <w:color w:val="222222"/>
          <w:spacing w:val="0"/>
          <w:sz w:val="25"/>
          <w:szCs w:val="25"/>
          <w:highlight w:val="none"/>
          <w:shd w:val="clear" w:fill="FFFFFF"/>
        </w:rPr>
        <w:t>]</w:t>
      </w:r>
      <w:r>
        <w:rPr>
          <w:rFonts w:hint="default" w:ascii="Times New Roman" w:hAnsi="Times New Roman" w:eastAsia="KaTeX_Math" w:cs="Times New Roman"/>
          <w:i/>
          <w:iCs/>
          <w:caps w:val="0"/>
          <w:color w:val="222222"/>
          <w:spacing w:val="0"/>
          <w:sz w:val="14"/>
          <w:szCs w:val="14"/>
          <w:highlight w:val="none"/>
          <w:shd w:val="clear" w:fill="FFFFFF"/>
        </w:rPr>
        <w:t>p</w:t>
      </w:r>
      <w:r>
        <w:rPr>
          <w:rFonts w:hint="default" w:ascii="Times New Roman" w:hAnsi="Times New Roman" w:eastAsia="Times New Roman" w:cs="Times New Roman"/>
          <w:i w:val="0"/>
          <w:iCs w:val="0"/>
          <w:caps w:val="0"/>
          <w:color w:val="222222"/>
          <w:spacing w:val="0"/>
          <w:sz w:val="1"/>
          <w:szCs w:val="1"/>
          <w:highlight w:val="none"/>
          <w:shd w:val="clear" w:fill="FFFFFF"/>
        </w:rPr>
        <w:t>​</w:t>
      </w:r>
      <w:r>
        <w:rPr>
          <w:rFonts w:hint="default" w:ascii="Times New Roman" w:hAnsi="Times New Roman" w:eastAsia="Times New Roman" w:cs="Times New Roman"/>
          <w:i w:val="0"/>
          <w:iCs w:val="0"/>
          <w:caps w:val="0"/>
          <w:color w:val="222222"/>
          <w:spacing w:val="0"/>
          <w:sz w:val="25"/>
          <w:szCs w:val="25"/>
          <w:highlight w:val="none"/>
          <w:shd w:val="clear" w:fill="FFFFFF"/>
        </w:rPr>
        <w:t>−</w:t>
      </w:r>
      <w:r>
        <w:rPr>
          <w:rFonts w:hint="default" w:ascii="Times New Roman" w:hAnsi="Times New Roman" w:eastAsia="Segoe UI" w:cs="Times New Roman"/>
          <w:i w:val="0"/>
          <w:iCs w:val="0"/>
          <w:caps w:val="0"/>
          <w:color w:val="222222"/>
          <w:spacing w:val="0"/>
          <w:sz w:val="24"/>
          <w:szCs w:val="24"/>
          <w:highlight w:val="none"/>
          <w:shd w:val="clear" w:fill="FFFFFF"/>
        </w:rPr>
        <w:t>。</w:t>
      </w:r>
      <w:r>
        <w:rPr>
          <w:rFonts w:hint="eastAsia" w:eastAsia="宋体" w:cs="Times New Roman"/>
          <w:i w:val="0"/>
          <w:iCs w:val="0"/>
          <w:caps w:val="0"/>
          <w:color w:val="222222"/>
          <w:spacing w:val="0"/>
          <w:sz w:val="24"/>
          <w:szCs w:val="24"/>
          <w:highlight w:val="none"/>
          <w:shd w:val="clear" w:fill="FFFFFF"/>
          <w:lang w:val="en-US" w:eastAsia="zh-CN"/>
        </w:rPr>
        <w:t>p的值通常在100-250之间。</w:t>
      </w:r>
    </w:p>
    <w:p w14:paraId="5F3C541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0" w:afterAutospacing="0"/>
        <w:ind w:left="0" w:leftChars="0" w:firstLine="480" w:firstLineChars="200"/>
        <w:jc w:val="both"/>
        <w:textAlignment w:val="auto"/>
        <w:rPr>
          <w:rFonts w:hint="default" w:ascii="Times New Roman" w:hAnsi="Times New Roman" w:eastAsia="宋体" w:cs="Times New Roman"/>
          <w:b w:val="0"/>
          <w:bCs w:val="0"/>
          <w:i w:val="0"/>
          <w:iCs w:val="0"/>
          <w:caps w:val="0"/>
          <w:spacing w:val="0"/>
          <w:kern w:val="2"/>
          <w:sz w:val="24"/>
          <w:szCs w:val="24"/>
          <w:highlight w:val="none"/>
          <w:shd w:val="clear" w:fill="FFFFFF"/>
          <w:lang w:val="en-US" w:eastAsia="zh-CN" w:bidi="ar-SA"/>
        </w:rPr>
      </w:pPr>
      <w:r>
        <w:rPr>
          <w:rFonts w:hint="eastAsia" w:eastAsia="宋体" w:cs="Times New Roman"/>
          <w:b w:val="0"/>
          <w:bCs w:val="0"/>
          <w:i w:val="0"/>
          <w:iCs w:val="0"/>
          <w:caps w:val="0"/>
          <w:spacing w:val="0"/>
          <w:kern w:val="2"/>
          <w:sz w:val="24"/>
          <w:szCs w:val="24"/>
          <w:highlight w:val="none"/>
          <w:shd w:val="clear" w:fill="FFFFFF"/>
          <w:lang w:val="en-US" w:eastAsia="zh-CN" w:bidi="ar-SA"/>
        </w:rPr>
        <w:t>2）</w:t>
      </w:r>
      <w:r>
        <w:rPr>
          <w:rFonts w:hint="default" w:ascii="Times New Roman" w:hAnsi="Times New Roman" w:eastAsia="宋体" w:cs="Times New Roman"/>
          <w:b w:val="0"/>
          <w:bCs w:val="0"/>
          <w:i w:val="0"/>
          <w:iCs w:val="0"/>
          <w:caps w:val="0"/>
          <w:spacing w:val="0"/>
          <w:kern w:val="2"/>
          <w:sz w:val="24"/>
          <w:szCs w:val="24"/>
          <w:highlight w:val="none"/>
          <w:shd w:val="clear" w:fill="FFFFFF"/>
          <w:lang w:val="en-US" w:eastAsia="zh-CN" w:bidi="ar-SA"/>
        </w:rPr>
        <w:t>具体反应原理</w:t>
      </w:r>
      <w:r>
        <w:rPr>
          <w:rFonts w:hint="eastAsia" w:eastAsia="宋体" w:cs="Times New Roman"/>
          <w:b w:val="0"/>
          <w:bCs w:val="0"/>
          <w:i w:val="0"/>
          <w:iCs w:val="0"/>
          <w:caps w:val="0"/>
          <w:spacing w:val="0"/>
          <w:kern w:val="2"/>
          <w:sz w:val="24"/>
          <w:szCs w:val="24"/>
          <w:highlight w:val="none"/>
          <w:shd w:val="clear" w:fill="FFFFFF"/>
          <w:lang w:val="en-US" w:eastAsia="zh-CN" w:bidi="ar-SA"/>
        </w:rPr>
        <w:t>，</w:t>
      </w:r>
      <w:r>
        <w:rPr>
          <w:rFonts w:hint="eastAsia" w:eastAsia="宋体" w:cs="Times New Roman"/>
          <w:b/>
          <w:bCs/>
          <w:i w:val="0"/>
          <w:iCs w:val="0"/>
          <w:caps w:val="0"/>
          <w:spacing w:val="0"/>
          <w:kern w:val="2"/>
          <w:sz w:val="24"/>
          <w:szCs w:val="24"/>
          <w:highlight w:val="none"/>
          <w:shd w:val="clear" w:fill="FFFFFF"/>
          <w:lang w:val="en-US" w:eastAsia="zh-CN" w:bidi="ar-SA"/>
        </w:rPr>
        <w:t>采用简化的通用反应式表示如下：</w:t>
      </w:r>
    </w:p>
    <w:p w14:paraId="6161613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222222"/>
          <w:spacing w:val="0"/>
          <w:sz w:val="24"/>
          <w:szCs w:val="24"/>
          <w:highlight w:val="none"/>
          <w:shd w:val="clear" w:fill="FFFFFF"/>
        </w:rPr>
      </w:pPr>
      <w:r>
        <w:rPr>
          <w:rFonts w:hint="default" w:ascii="Times New Roman" w:hAnsi="Times New Roman" w:eastAsia="宋体" w:cs="Times New Roman"/>
          <w:b w:val="0"/>
          <w:bCs w:val="0"/>
          <w:i w:val="0"/>
          <w:iCs w:val="0"/>
          <w:caps w:val="0"/>
          <w:color w:val="222222"/>
          <w:spacing w:val="0"/>
          <w:sz w:val="24"/>
          <w:szCs w:val="24"/>
          <w:highlight w:val="none"/>
          <w:shd w:val="clear" w:fill="FFFFFF"/>
        </w:rPr>
        <w:drawing>
          <wp:inline distT="0" distB="0" distL="114300" distR="114300">
            <wp:extent cx="5562600" cy="654050"/>
            <wp:effectExtent l="0" t="0" r="0" b="12700"/>
            <wp:docPr id="54" name="图片 54" descr="72172de153eabb57d11d5ada6667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2172de153eabb57d11d5ada6667cc9"/>
                    <pic:cNvPicPr>
                      <a:picLocks noChangeAspect="1"/>
                    </pic:cNvPicPr>
                  </pic:nvPicPr>
                  <pic:blipFill>
                    <a:blip r:embed="rId22"/>
                    <a:stretch>
                      <a:fillRect/>
                    </a:stretch>
                  </pic:blipFill>
                  <pic:spPr>
                    <a:xfrm>
                      <a:off x="0" y="0"/>
                      <a:ext cx="5562600" cy="654050"/>
                    </a:xfrm>
                    <a:prstGeom prst="rect">
                      <a:avLst/>
                    </a:prstGeom>
                  </pic:spPr>
                </pic:pic>
              </a:graphicData>
            </a:graphic>
          </wp:inline>
        </w:drawing>
      </w:r>
    </w:p>
    <w:p w14:paraId="0B66260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val="0"/>
          <w:bCs w:val="0"/>
          <w:i w:val="0"/>
          <w:iCs w:val="0"/>
          <w:caps w:val="0"/>
          <w:color w:val="222222"/>
          <w:spacing w:val="0"/>
          <w:sz w:val="24"/>
          <w:szCs w:val="24"/>
          <w:highlight w:val="none"/>
          <w:shd w:val="clear" w:fill="FFFFFF"/>
        </w:rPr>
      </w:pPr>
    </w:p>
    <w:p w14:paraId="703340ED">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firstLine="240" w:firstLineChars="100"/>
        <w:jc w:val="both"/>
        <w:textAlignment w:val="auto"/>
        <w:rPr>
          <w:rStyle w:val="26"/>
          <w:rFonts w:hint="default" w:ascii="Times New Roman" w:hAnsi="Times New Roman" w:eastAsia="宋体" w:cs="Times New Roman"/>
          <w:b w:val="0"/>
          <w:bCs w:val="0"/>
          <w:i w:val="0"/>
          <w:iCs w:val="0"/>
          <w:caps w:val="0"/>
          <w:color w:val="222222"/>
          <w:spacing w:val="0"/>
          <w:sz w:val="24"/>
          <w:szCs w:val="24"/>
          <w:highlight w:val="none"/>
          <w:shd w:val="clear" w:fill="FFFFFF"/>
          <w:lang w:val="en-US" w:eastAsia="zh-CN"/>
        </w:rPr>
      </w:pPr>
      <w:r>
        <w:rPr>
          <w:rStyle w:val="26"/>
          <w:rFonts w:hint="default" w:ascii="Times New Roman" w:hAnsi="Times New Roman" w:eastAsia="宋体" w:cs="Times New Roman"/>
          <w:b w:val="0"/>
          <w:bCs w:val="0"/>
          <w:i w:val="0"/>
          <w:iCs w:val="0"/>
          <w:caps w:val="0"/>
          <w:color w:val="222222"/>
          <w:spacing w:val="0"/>
          <w:sz w:val="24"/>
          <w:szCs w:val="24"/>
          <w:highlight w:val="none"/>
          <w:shd w:val="clear" w:fill="FFFFFF"/>
        </w:rPr>
        <w:t>在 </w:t>
      </w:r>
      <w:r>
        <w:rPr>
          <w:rStyle w:val="26"/>
          <w:rFonts w:hint="eastAsia" w:eastAsia="宋体" w:cs="Times New Roman"/>
          <w:b w:val="0"/>
          <w:bCs w:val="0"/>
          <w:i w:val="0"/>
          <w:iCs w:val="0"/>
          <w:caps w:val="0"/>
          <w:color w:val="222222"/>
          <w:spacing w:val="0"/>
          <w:sz w:val="24"/>
          <w:szCs w:val="24"/>
          <w:highlight w:val="none"/>
          <w:shd w:val="clear" w:fill="FFFFFF"/>
          <w:lang w:val="en-US" w:eastAsia="zh-CN"/>
        </w:rPr>
        <w:t>高温</w:t>
      </w:r>
      <w:r>
        <w:rPr>
          <w:rStyle w:val="26"/>
          <w:rFonts w:hint="default" w:ascii="Times New Roman" w:hAnsi="Times New Roman" w:eastAsia="宋体" w:cs="Times New Roman"/>
          <w:b w:val="0"/>
          <w:bCs w:val="0"/>
          <w:i w:val="0"/>
          <w:iCs w:val="0"/>
          <w:caps w:val="0"/>
          <w:color w:val="222222"/>
          <w:spacing w:val="0"/>
          <w:sz w:val="24"/>
          <w:szCs w:val="24"/>
          <w:highlight w:val="none"/>
          <w:shd w:val="clear" w:fill="FFFFFF"/>
        </w:rPr>
        <w:t>2</w:t>
      </w:r>
      <w:r>
        <w:rPr>
          <w:rStyle w:val="26"/>
          <w:rFonts w:hint="eastAsia" w:eastAsia="宋体" w:cs="Times New Roman"/>
          <w:b w:val="0"/>
          <w:bCs w:val="0"/>
          <w:i w:val="0"/>
          <w:iCs w:val="0"/>
          <w:caps w:val="0"/>
          <w:color w:val="222222"/>
          <w:spacing w:val="0"/>
          <w:sz w:val="24"/>
          <w:szCs w:val="24"/>
          <w:highlight w:val="none"/>
          <w:shd w:val="clear" w:fill="FFFFFF"/>
          <w:lang w:val="en-US" w:eastAsia="zh-CN"/>
        </w:rPr>
        <w:t>6</w:t>
      </w:r>
      <w:r>
        <w:rPr>
          <w:rStyle w:val="26"/>
          <w:rFonts w:hint="default" w:ascii="Times New Roman" w:hAnsi="Times New Roman" w:eastAsia="宋体" w:cs="Times New Roman"/>
          <w:b w:val="0"/>
          <w:bCs w:val="0"/>
          <w:i w:val="0"/>
          <w:iCs w:val="0"/>
          <w:caps w:val="0"/>
          <w:color w:val="222222"/>
          <w:spacing w:val="0"/>
          <w:sz w:val="24"/>
          <w:szCs w:val="24"/>
          <w:highlight w:val="none"/>
          <w:shd w:val="clear" w:fill="FFFFFF"/>
        </w:rPr>
        <w:t>0℃ 下，PET 和聚乙二醇 4000发生酯交换反应</w:t>
      </w:r>
      <w:r>
        <w:rPr>
          <w:rStyle w:val="26"/>
          <w:rFonts w:hint="eastAsia" w:eastAsia="宋体" w:cs="Times New Roman"/>
          <w:b w:val="0"/>
          <w:bCs w:val="0"/>
          <w:i w:val="0"/>
          <w:iCs w:val="0"/>
          <w:caps w:val="0"/>
          <w:color w:val="222222"/>
          <w:spacing w:val="0"/>
          <w:sz w:val="24"/>
          <w:szCs w:val="24"/>
          <w:highlight w:val="none"/>
          <w:shd w:val="clear" w:fill="FFFFFF"/>
          <w:lang w:eastAsia="zh-CN"/>
        </w:rPr>
        <w:t>，</w:t>
      </w:r>
      <w:r>
        <w:rPr>
          <w:rStyle w:val="26"/>
          <w:rFonts w:hint="eastAsia" w:eastAsia="宋体" w:cs="Times New Roman"/>
          <w:b w:val="0"/>
          <w:bCs w:val="0"/>
          <w:i w:val="0"/>
          <w:iCs w:val="0"/>
          <w:caps w:val="0"/>
          <w:color w:val="222222"/>
          <w:spacing w:val="0"/>
          <w:sz w:val="24"/>
          <w:szCs w:val="24"/>
          <w:highlight w:val="none"/>
          <w:shd w:val="clear" w:fill="FFFFFF"/>
          <w:lang w:val="en-US" w:eastAsia="zh-CN"/>
        </w:rPr>
        <w:t>最终生成聚醚聚酯和乙二醇。聚醚聚酯为本项目产品</w:t>
      </w:r>
      <w:r>
        <w:rPr>
          <w:rFonts w:hint="eastAsia" w:eastAsia="宋体" w:cs="Times New Roman"/>
          <w:b w:val="0"/>
          <w:bCs w:val="0"/>
          <w:color w:val="auto"/>
          <w:kern w:val="0"/>
          <w:sz w:val="24"/>
          <w:szCs w:val="24"/>
          <w:highlight w:val="none"/>
          <w:u w:val="none"/>
          <w:lang w:val="en-US" w:eastAsia="zh-CN"/>
        </w:rPr>
        <w:t>防染粉1#，乙二醇在高温260°下属于气态形式。</w:t>
      </w:r>
    </w:p>
    <w:p w14:paraId="3D7C5AB5">
      <w:pPr>
        <w:spacing w:before="1" w:line="360" w:lineRule="auto"/>
        <w:ind w:left="4" w:firstLine="481"/>
        <w:rPr>
          <w:rFonts w:hint="default" w:ascii="Times New Roman" w:hAnsi="Times New Roman" w:eastAsia="宋体" w:cs="Times New Roman"/>
          <w:b w:val="0"/>
          <w:bCs w:val="0"/>
          <w:spacing w:val="-1"/>
          <w:sz w:val="24"/>
          <w:szCs w:val="24"/>
          <w:highlight w:val="none"/>
          <w:lang w:val="en-US" w:eastAsia="zh-CN"/>
        </w:rPr>
      </w:pPr>
      <w:r>
        <w:rPr>
          <w:rFonts w:hint="eastAsia" w:ascii="宋体" w:hAnsi="宋体" w:eastAsia="宋体" w:cs="宋体"/>
          <w:b w:val="0"/>
          <w:bCs w:val="0"/>
          <w:spacing w:val="-1"/>
          <w:sz w:val="24"/>
          <w:szCs w:val="24"/>
          <w:highlight w:val="none"/>
          <w:lang w:val="en-US" w:eastAsia="zh-CN"/>
        </w:rPr>
        <w:t>（3</w:t>
      </w:r>
      <w:r>
        <w:rPr>
          <w:rFonts w:hint="default" w:ascii="Times New Roman" w:hAnsi="Times New Roman" w:eastAsia="宋体" w:cs="Times New Roman"/>
          <w:b w:val="0"/>
          <w:bCs w:val="0"/>
          <w:spacing w:val="-1"/>
          <w:sz w:val="24"/>
          <w:szCs w:val="24"/>
          <w:highlight w:val="none"/>
          <w:lang w:val="en-US" w:eastAsia="zh-CN"/>
        </w:rPr>
        <w:t>）</w:t>
      </w:r>
      <w:r>
        <w:rPr>
          <w:rFonts w:hint="default" w:ascii="Times New Roman" w:hAnsi="Times New Roman" w:eastAsia="宋体" w:cs="Times New Roman"/>
          <w:b w:val="0"/>
          <w:bCs w:val="0"/>
          <w:spacing w:val="-1"/>
          <w:sz w:val="24"/>
          <w:szCs w:val="24"/>
          <w:highlight w:val="none"/>
        </w:rPr>
        <w:t>冷却放料</w:t>
      </w:r>
      <w:r>
        <w:rPr>
          <w:rFonts w:hint="default" w:ascii="Times New Roman" w:hAnsi="Times New Roman" w:eastAsia="宋体" w:cs="Times New Roman"/>
          <w:b w:val="0"/>
          <w:bCs w:val="0"/>
          <w:spacing w:val="-1"/>
          <w:sz w:val="24"/>
          <w:szCs w:val="24"/>
          <w:highlight w:val="none"/>
          <w:lang w:val="en-US" w:eastAsia="zh-CN"/>
        </w:rPr>
        <w:t>装盘</w:t>
      </w:r>
      <w:r>
        <w:rPr>
          <w:rFonts w:hint="default" w:ascii="Times New Roman" w:hAnsi="Times New Roman" w:eastAsia="宋体" w:cs="Times New Roman"/>
          <w:b w:val="0"/>
          <w:bCs w:val="0"/>
          <w:spacing w:val="-1"/>
          <w:sz w:val="24"/>
          <w:szCs w:val="24"/>
          <w:highlight w:val="none"/>
        </w:rPr>
        <w:t>：</w:t>
      </w:r>
      <w:r>
        <w:rPr>
          <w:rFonts w:hint="default" w:ascii="Times New Roman" w:hAnsi="Times New Roman" w:eastAsia="宋体" w:cs="Times New Roman"/>
          <w:b w:val="0"/>
          <w:bCs w:val="0"/>
          <w:spacing w:val="-1"/>
          <w:sz w:val="24"/>
          <w:szCs w:val="24"/>
          <w:highlight w:val="none"/>
          <w:lang w:val="en-US" w:eastAsia="zh-CN"/>
        </w:rPr>
        <w:t>待搅拌釜完成搅拌，设备</w:t>
      </w:r>
      <w:r>
        <w:rPr>
          <w:rFonts w:hint="default" w:ascii="Times New Roman" w:hAnsi="Times New Roman" w:eastAsia="宋体" w:cs="Times New Roman"/>
          <w:b w:val="0"/>
          <w:bCs w:val="0"/>
          <w:spacing w:val="-1"/>
          <w:sz w:val="24"/>
          <w:szCs w:val="24"/>
          <w:highlight w:val="none"/>
        </w:rPr>
        <w:t>降温</w:t>
      </w:r>
      <w:r>
        <w:rPr>
          <w:rFonts w:hint="default" w:ascii="Times New Roman" w:hAnsi="Times New Roman" w:eastAsia="宋体" w:cs="Times New Roman"/>
          <w:b w:val="0"/>
          <w:bCs w:val="0"/>
          <w:spacing w:val="-1"/>
          <w:sz w:val="24"/>
          <w:szCs w:val="24"/>
          <w:highlight w:val="none"/>
          <w:lang w:val="en-US" w:eastAsia="zh-CN"/>
        </w:rPr>
        <w:t>冷却到150</w:t>
      </w:r>
      <w:r>
        <w:rPr>
          <w:rFonts w:hint="default" w:ascii="Times New Roman" w:hAnsi="Times New Roman" w:eastAsia="宋体" w:cs="Times New Roman"/>
          <w:b w:val="0"/>
          <w:bCs w:val="0"/>
          <w:spacing w:val="-1"/>
          <w:sz w:val="24"/>
          <w:szCs w:val="24"/>
          <w:highlight w:val="none"/>
        </w:rPr>
        <w:t>℃</w:t>
      </w:r>
      <w:r>
        <w:rPr>
          <w:rFonts w:hint="default" w:ascii="Times New Roman" w:hAnsi="Times New Roman" w:eastAsia="宋体" w:cs="Times New Roman"/>
          <w:b w:val="0"/>
          <w:bCs w:val="0"/>
          <w:spacing w:val="-1"/>
          <w:sz w:val="24"/>
          <w:szCs w:val="24"/>
          <w:highlight w:val="none"/>
          <w:lang w:val="en-US" w:eastAsia="zh-CN"/>
        </w:rPr>
        <w:t>后开始放料装盘（设备降温采用循环冷却水）</w:t>
      </w:r>
      <w:r>
        <w:rPr>
          <w:rFonts w:hint="default" w:ascii="Times New Roman" w:hAnsi="Times New Roman" w:eastAsia="宋体" w:cs="Times New Roman"/>
          <w:b w:val="0"/>
          <w:bCs w:val="0"/>
          <w:spacing w:val="-1"/>
          <w:sz w:val="24"/>
          <w:szCs w:val="24"/>
          <w:highlight w:val="none"/>
        </w:rPr>
        <w:t>，</w:t>
      </w:r>
      <w:r>
        <w:rPr>
          <w:rFonts w:hint="default" w:ascii="Times New Roman" w:hAnsi="Times New Roman" w:eastAsia="宋体" w:cs="Times New Roman"/>
          <w:b w:val="0"/>
          <w:bCs w:val="0"/>
          <w:spacing w:val="-1"/>
          <w:sz w:val="24"/>
          <w:szCs w:val="24"/>
          <w:highlight w:val="none"/>
          <w:lang w:val="en-US" w:eastAsia="zh-CN"/>
        </w:rPr>
        <w:t>热浆通过不锈钢盘盛装静置2-5小时</w:t>
      </w:r>
      <w:r>
        <w:rPr>
          <w:rFonts w:hint="default" w:ascii="Times New Roman" w:hAnsi="Times New Roman" w:eastAsia="宋体" w:cs="Times New Roman"/>
          <w:b w:val="0"/>
          <w:bCs w:val="0"/>
          <w:spacing w:val="-1"/>
          <w:sz w:val="24"/>
          <w:szCs w:val="24"/>
          <w:highlight w:val="none"/>
        </w:rPr>
        <w:t>，</w:t>
      </w:r>
      <w:r>
        <w:rPr>
          <w:rFonts w:hint="default" w:ascii="Times New Roman" w:hAnsi="Times New Roman" w:eastAsia="宋体" w:cs="Times New Roman"/>
          <w:b w:val="0"/>
          <w:bCs w:val="0"/>
          <w:spacing w:val="-1"/>
          <w:sz w:val="24"/>
          <w:szCs w:val="24"/>
          <w:highlight w:val="none"/>
          <w:lang w:val="en-US" w:eastAsia="zh-CN"/>
        </w:rPr>
        <w:t>待热浆完全冷却凝固后</w:t>
      </w:r>
      <w:r>
        <w:rPr>
          <w:rFonts w:hint="default" w:ascii="Times New Roman" w:hAnsi="Times New Roman" w:eastAsia="宋体" w:cs="Times New Roman"/>
          <w:b w:val="0"/>
          <w:bCs w:val="0"/>
          <w:spacing w:val="-1"/>
          <w:sz w:val="24"/>
          <w:szCs w:val="24"/>
          <w:highlight w:val="none"/>
        </w:rPr>
        <w:t>放</w:t>
      </w:r>
      <w:r>
        <w:rPr>
          <w:rFonts w:hint="default" w:ascii="Times New Roman" w:hAnsi="Times New Roman" w:eastAsia="宋体" w:cs="Times New Roman"/>
          <w:b w:val="0"/>
          <w:bCs w:val="0"/>
          <w:spacing w:val="-1"/>
          <w:sz w:val="24"/>
          <w:szCs w:val="24"/>
          <w:highlight w:val="none"/>
          <w:lang w:val="en-US" w:eastAsia="zh-CN"/>
        </w:rPr>
        <w:t>至冷库冷冻保存，冷库温度为负18</w:t>
      </w:r>
      <w:r>
        <w:rPr>
          <w:rFonts w:hint="default" w:ascii="Times New Roman" w:hAnsi="Times New Roman" w:eastAsia="宋体" w:cs="Times New Roman"/>
          <w:b w:val="0"/>
          <w:bCs w:val="0"/>
          <w:spacing w:val="-1"/>
          <w:sz w:val="24"/>
          <w:szCs w:val="24"/>
          <w:highlight w:val="none"/>
        </w:rPr>
        <w:t>℃</w:t>
      </w:r>
      <w:r>
        <w:rPr>
          <w:rFonts w:hint="default" w:ascii="Times New Roman" w:hAnsi="Times New Roman" w:eastAsia="宋体" w:cs="Times New Roman"/>
          <w:b w:val="0"/>
          <w:bCs w:val="0"/>
          <w:spacing w:val="-1"/>
          <w:sz w:val="24"/>
          <w:szCs w:val="24"/>
          <w:highlight w:val="none"/>
          <w:lang w:eastAsia="zh-CN"/>
        </w:rPr>
        <w:t>。</w:t>
      </w:r>
      <w:r>
        <w:rPr>
          <w:rFonts w:hint="default" w:ascii="Times New Roman" w:hAnsi="Times New Roman" w:eastAsia="宋体" w:cs="Times New Roman"/>
          <w:b w:val="0"/>
          <w:bCs w:val="0"/>
          <w:spacing w:val="-1"/>
          <w:sz w:val="24"/>
          <w:szCs w:val="24"/>
          <w:highlight w:val="none"/>
          <w:lang w:val="en-US" w:eastAsia="zh-CN"/>
        </w:rPr>
        <w:t>在冷却放料阶段产生有机废气（含乙二醇等挥发性有机物）。冷却水循环利用不外排，定期补充损耗。</w:t>
      </w:r>
    </w:p>
    <w:p w14:paraId="13BD84E8">
      <w:pPr>
        <w:spacing w:before="1" w:line="360" w:lineRule="auto"/>
        <w:ind w:left="4" w:firstLine="481"/>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lang w:val="en-US" w:eastAsia="zh-CN"/>
        </w:rPr>
        <w:t>（4）</w:t>
      </w:r>
      <w:r>
        <w:rPr>
          <w:rFonts w:hint="default" w:ascii="Times New Roman" w:hAnsi="Times New Roman" w:eastAsia="宋体" w:cs="Times New Roman"/>
          <w:spacing w:val="-1"/>
          <w:sz w:val="24"/>
          <w:szCs w:val="24"/>
          <w:highlight w:val="none"/>
        </w:rPr>
        <w:t>颗粒打粉</w:t>
      </w:r>
      <w:r>
        <w:rPr>
          <w:rFonts w:hint="default" w:ascii="Times New Roman" w:hAnsi="Times New Roman" w:eastAsia="宋体" w:cs="Times New Roman"/>
          <w:spacing w:val="-1"/>
          <w:sz w:val="24"/>
          <w:szCs w:val="24"/>
          <w:highlight w:val="none"/>
          <w:lang w:val="en-US" w:eastAsia="zh-CN"/>
        </w:rPr>
        <w:t>包装</w:t>
      </w: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pacing w:val="-1"/>
          <w:sz w:val="24"/>
          <w:szCs w:val="24"/>
          <w:highlight w:val="none"/>
          <w:lang w:val="en-US" w:eastAsia="zh-CN"/>
        </w:rPr>
        <w:t>将</w:t>
      </w:r>
      <w:r>
        <w:rPr>
          <w:rFonts w:hint="default" w:ascii="Times New Roman" w:hAnsi="Times New Roman" w:eastAsia="宋体" w:cs="Times New Roman"/>
          <w:spacing w:val="-1"/>
          <w:sz w:val="24"/>
          <w:szCs w:val="24"/>
          <w:highlight w:val="none"/>
        </w:rPr>
        <w:t>冷</w:t>
      </w:r>
      <w:r>
        <w:rPr>
          <w:rFonts w:hint="default" w:ascii="Times New Roman" w:hAnsi="Times New Roman" w:eastAsia="宋体" w:cs="Times New Roman"/>
          <w:spacing w:val="-1"/>
          <w:sz w:val="24"/>
          <w:szCs w:val="24"/>
          <w:highlight w:val="none"/>
          <w:lang w:val="en-US" w:eastAsia="zh-CN"/>
        </w:rPr>
        <w:t>冻结实</w:t>
      </w:r>
      <w:r>
        <w:rPr>
          <w:rFonts w:hint="default" w:ascii="Times New Roman" w:hAnsi="Times New Roman" w:eastAsia="宋体" w:cs="Times New Roman"/>
          <w:spacing w:val="-1"/>
          <w:sz w:val="24"/>
          <w:szCs w:val="24"/>
          <w:highlight w:val="none"/>
        </w:rPr>
        <w:t>的物料</w:t>
      </w:r>
      <w:r>
        <w:rPr>
          <w:rFonts w:hint="default" w:ascii="Times New Roman" w:hAnsi="Times New Roman" w:eastAsia="宋体" w:cs="Times New Roman"/>
          <w:spacing w:val="-1"/>
          <w:sz w:val="24"/>
          <w:szCs w:val="24"/>
          <w:highlight w:val="none"/>
          <w:lang w:val="en-US" w:eastAsia="zh-CN"/>
        </w:rPr>
        <w:t>进入打粉间（冷库2）通过打粉机</w:t>
      </w:r>
      <w:r>
        <w:rPr>
          <w:rFonts w:hint="default" w:ascii="Times New Roman" w:hAnsi="Times New Roman" w:eastAsia="宋体" w:cs="Times New Roman"/>
          <w:spacing w:val="-1"/>
          <w:sz w:val="24"/>
          <w:szCs w:val="24"/>
          <w:highlight w:val="none"/>
        </w:rPr>
        <w:t>粉碎成粉剂，按规格包装，便于存储和运输。过程中将会产生打料粉尘和噪声。</w:t>
      </w:r>
    </w:p>
    <w:p w14:paraId="19311399">
      <w:pPr>
        <w:spacing w:before="1" w:line="360" w:lineRule="auto"/>
        <w:ind w:left="4" w:firstLine="481"/>
        <w:rPr>
          <w:rFonts w:hint="default" w:ascii="宋体" w:hAnsi="宋体" w:eastAsia="宋体" w:cs="宋体"/>
          <w:spacing w:val="-1"/>
          <w:sz w:val="24"/>
          <w:szCs w:val="24"/>
          <w:highlight w:val="none"/>
        </w:rPr>
      </w:pPr>
      <w:r>
        <w:rPr>
          <w:rFonts w:hint="default" w:ascii="Times New Roman" w:hAnsi="Times New Roman" w:eastAsia="宋体" w:cs="Times New Roman"/>
          <w:spacing w:val="-1"/>
          <w:sz w:val="24"/>
          <w:szCs w:val="24"/>
          <w:highlight w:val="none"/>
          <w:lang w:val="en-US" w:eastAsia="zh-CN"/>
        </w:rPr>
        <w:t>（5）</w:t>
      </w:r>
      <w:r>
        <w:rPr>
          <w:rFonts w:hint="default" w:ascii="Times New Roman" w:hAnsi="Times New Roman" w:eastAsia="宋体" w:cs="Times New Roman"/>
          <w:spacing w:val="-1"/>
          <w:sz w:val="24"/>
          <w:szCs w:val="24"/>
          <w:highlight w:val="none"/>
        </w:rPr>
        <w:t>成品检验出货：对包装后的防染粉进行质量检测（</w:t>
      </w:r>
      <w:r>
        <w:rPr>
          <w:rFonts w:hint="default" w:ascii="宋体" w:hAnsi="宋体" w:eastAsia="宋体" w:cs="宋体"/>
          <w:spacing w:val="-1"/>
          <w:sz w:val="24"/>
          <w:szCs w:val="24"/>
          <w:highlight w:val="none"/>
        </w:rPr>
        <w:t>如纯度），合格后出货</w:t>
      </w:r>
      <w:r>
        <w:rPr>
          <w:rFonts w:hint="eastAsia" w:ascii="宋体" w:hAnsi="宋体" w:eastAsia="宋体" w:cs="宋体"/>
          <w:spacing w:val="-1"/>
          <w:sz w:val="24"/>
          <w:szCs w:val="24"/>
          <w:highlight w:val="none"/>
          <w:lang w:eastAsia="zh-CN"/>
        </w:rPr>
        <w:t>，</w:t>
      </w:r>
      <w:r>
        <w:rPr>
          <w:rFonts w:hint="eastAsia" w:ascii="宋体" w:hAnsi="宋体" w:eastAsia="宋体" w:cs="宋体"/>
          <w:spacing w:val="-1"/>
          <w:sz w:val="24"/>
          <w:szCs w:val="24"/>
          <w:highlight w:val="none"/>
          <w:lang w:val="en-US" w:eastAsia="zh-CN"/>
        </w:rPr>
        <w:t xml:space="preserve">产品是防染粉 </w:t>
      </w:r>
      <w:r>
        <w:rPr>
          <w:rFonts w:hint="default" w:ascii="宋体" w:hAnsi="宋体" w:eastAsia="宋体" w:cs="宋体"/>
          <w:spacing w:val="-1"/>
          <w:sz w:val="24"/>
          <w:szCs w:val="24"/>
          <w:highlight w:val="none"/>
        </w:rPr>
        <w:t>。</w:t>
      </w:r>
    </w:p>
    <w:p w14:paraId="34B5BE8B">
      <w:pPr>
        <w:spacing w:before="1" w:line="360" w:lineRule="auto"/>
        <w:ind w:left="4" w:firstLine="481"/>
        <w:rPr>
          <w:rFonts w:hint="eastAsia" w:ascii="宋体" w:hAnsi="宋体" w:eastAsia="宋体" w:cs="宋体"/>
          <w:spacing w:val="-1"/>
          <w:sz w:val="24"/>
          <w:szCs w:val="24"/>
          <w:highlight w:val="yellow"/>
          <w:lang w:val="en-US" w:eastAsia="zh-CN"/>
        </w:rPr>
      </w:pPr>
      <w:r>
        <w:rPr>
          <w:rFonts w:hint="eastAsia" w:eastAsia="宋体"/>
          <w:b/>
          <w:bCs/>
          <w:spacing w:val="-2"/>
          <w:sz w:val="24"/>
          <w:szCs w:val="24"/>
          <w:highlight w:val="yellow"/>
          <w:lang w:val="en-US" w:eastAsia="zh-CN"/>
        </w:rPr>
        <w:t>2、防染粉2#复配工艺流程及产污环节</w:t>
      </w:r>
    </w:p>
    <w:p w14:paraId="240C781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spacing w:val="-1"/>
          <w:sz w:val="24"/>
          <w:szCs w:val="24"/>
          <w:highlight w:val="none"/>
          <w:lang w:val="en-US" w:eastAsia="zh-CN"/>
        </w:rPr>
      </w:pPr>
      <w:r>
        <w:rPr>
          <w:rFonts w:hint="default" w:ascii="宋体" w:hAnsi="宋体" w:eastAsia="宋体" w:cs="宋体"/>
          <w:spacing w:val="-1"/>
          <w:sz w:val="24"/>
          <w:szCs w:val="24"/>
          <w:highlight w:val="none"/>
          <w:lang w:val="en-US" w:eastAsia="zh-CN"/>
        </w:rPr>
        <w:drawing>
          <wp:inline distT="0" distB="0" distL="114300" distR="114300">
            <wp:extent cx="1943100" cy="2486025"/>
            <wp:effectExtent l="0" t="0" r="0" b="9525"/>
            <wp:docPr id="53" name="图片 53" descr="b62752bb5d1bb5efdb9e07ba456b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b62752bb5d1bb5efdb9e07ba456b615"/>
                    <pic:cNvPicPr>
                      <a:picLocks noChangeAspect="1"/>
                    </pic:cNvPicPr>
                  </pic:nvPicPr>
                  <pic:blipFill>
                    <a:blip r:embed="rId23"/>
                    <a:stretch>
                      <a:fillRect/>
                    </a:stretch>
                  </pic:blipFill>
                  <pic:spPr>
                    <a:xfrm>
                      <a:off x="0" y="0"/>
                      <a:ext cx="1943100" cy="2486025"/>
                    </a:xfrm>
                    <a:prstGeom prst="rect">
                      <a:avLst/>
                    </a:prstGeom>
                  </pic:spPr>
                </pic:pic>
              </a:graphicData>
            </a:graphic>
          </wp:inline>
        </w:drawing>
      </w:r>
    </w:p>
    <w:p w14:paraId="42EF74B9">
      <w:pPr>
        <w:jc w:val="center"/>
        <w:rPr>
          <w:rFonts w:hint="eastAsia" w:ascii="Times New Roman" w:hAnsi="Times New Roman" w:eastAsia="宋体" w:cs="Times New Roman"/>
          <w:b/>
          <w:bCs/>
          <w:spacing w:val="-3"/>
          <w:kern w:val="0"/>
          <w:sz w:val="24"/>
          <w:szCs w:val="20"/>
          <w:highlight w:val="none"/>
          <w:u w:val="none"/>
          <w:lang w:val="en-US" w:eastAsia="zh-CN" w:bidi="ar-SA"/>
        </w:rPr>
      </w:pPr>
      <w:r>
        <w:rPr>
          <w:rFonts w:hint="eastAsia" w:ascii="Times New Roman" w:hAnsi="Times New Roman" w:eastAsia="宋体" w:cs="Times New Roman"/>
          <w:b/>
          <w:bCs/>
          <w:spacing w:val="-3"/>
          <w:kern w:val="0"/>
          <w:sz w:val="24"/>
          <w:szCs w:val="20"/>
          <w:highlight w:val="none"/>
          <w:u w:val="none"/>
          <w:lang w:val="en-US" w:eastAsia="zh-CN" w:bidi="ar-SA"/>
        </w:rPr>
        <w:t>图</w:t>
      </w:r>
      <w:r>
        <w:rPr>
          <w:rFonts w:hint="eastAsia" w:eastAsia="宋体" w:cs="Times New Roman"/>
          <w:b/>
          <w:bCs/>
          <w:spacing w:val="-3"/>
          <w:kern w:val="0"/>
          <w:sz w:val="24"/>
          <w:szCs w:val="20"/>
          <w:highlight w:val="none"/>
          <w:u w:val="none"/>
          <w:lang w:val="en-US" w:eastAsia="zh-CN" w:bidi="ar-SA"/>
        </w:rPr>
        <w:t>4.2</w:t>
      </w:r>
      <w:r>
        <w:rPr>
          <w:rFonts w:hint="eastAsia" w:ascii="Times New Roman" w:hAnsi="Times New Roman" w:eastAsia="宋体" w:cs="Times New Roman"/>
          <w:b/>
          <w:bCs/>
          <w:spacing w:val="-3"/>
          <w:kern w:val="0"/>
          <w:sz w:val="24"/>
          <w:szCs w:val="20"/>
          <w:highlight w:val="none"/>
          <w:u w:val="none"/>
          <w:lang w:val="en-US" w:eastAsia="zh-CN" w:bidi="ar-SA"/>
        </w:rPr>
        <w:t>-</w:t>
      </w:r>
      <w:r>
        <w:rPr>
          <w:rFonts w:hint="eastAsia" w:eastAsia="宋体" w:cs="Times New Roman"/>
          <w:b/>
          <w:bCs/>
          <w:spacing w:val="-3"/>
          <w:kern w:val="0"/>
          <w:sz w:val="24"/>
          <w:szCs w:val="20"/>
          <w:highlight w:val="none"/>
          <w:u w:val="none"/>
          <w:lang w:val="en-US" w:eastAsia="zh-CN" w:bidi="ar-SA"/>
        </w:rPr>
        <w:t>4</w:t>
      </w:r>
      <w:r>
        <w:rPr>
          <w:rFonts w:hint="eastAsia" w:ascii="Times New Roman" w:hAnsi="Times New Roman" w:eastAsia="宋体" w:cs="Times New Roman"/>
          <w:b/>
          <w:bCs/>
          <w:spacing w:val="-3"/>
          <w:kern w:val="0"/>
          <w:sz w:val="24"/>
          <w:szCs w:val="20"/>
          <w:highlight w:val="none"/>
          <w:u w:val="none"/>
          <w:lang w:val="en-US" w:eastAsia="zh-CN" w:bidi="ar-SA"/>
        </w:rPr>
        <w:t xml:space="preserve">  </w:t>
      </w:r>
      <w:r>
        <w:rPr>
          <w:rFonts w:hint="eastAsia" w:eastAsia="宋体" w:cs="Times New Roman"/>
          <w:b/>
          <w:bCs/>
          <w:color w:val="auto"/>
          <w:kern w:val="0"/>
          <w:sz w:val="24"/>
          <w:szCs w:val="24"/>
          <w:highlight w:val="none"/>
          <w:u w:val="none"/>
          <w:lang w:val="en-US" w:eastAsia="zh-CN"/>
        </w:rPr>
        <w:t>防染粉2#复配</w:t>
      </w:r>
      <w:r>
        <w:rPr>
          <w:rFonts w:hint="eastAsia" w:ascii="Times New Roman" w:hAnsi="Times New Roman" w:eastAsia="宋体" w:cs="Times New Roman"/>
          <w:b/>
          <w:bCs/>
          <w:spacing w:val="-3"/>
          <w:kern w:val="0"/>
          <w:sz w:val="24"/>
          <w:szCs w:val="20"/>
          <w:highlight w:val="none"/>
          <w:u w:val="none"/>
          <w:lang w:val="en-US" w:eastAsia="zh-CN" w:bidi="ar-SA"/>
        </w:rPr>
        <w:t>工序生产工艺流程及产污环节图</w:t>
      </w:r>
      <w:r>
        <w:rPr>
          <w:rFonts w:hint="eastAsia"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t>（生产线3#）</w:t>
      </w:r>
    </w:p>
    <w:p w14:paraId="4C0923AC">
      <w:pPr>
        <w:spacing w:before="1" w:line="360" w:lineRule="auto"/>
        <w:ind w:left="0" w:leftChars="0" w:firstLine="0" w:firstLineChars="0"/>
        <w:rPr>
          <w:rFonts w:hint="eastAsia" w:ascii="宋体" w:hAnsi="宋体" w:eastAsia="宋体" w:cs="宋体"/>
          <w:b/>
          <w:bCs/>
          <w:spacing w:val="-1"/>
          <w:sz w:val="24"/>
          <w:szCs w:val="24"/>
          <w:highlight w:val="none"/>
          <w:lang w:val="en-US" w:eastAsia="zh-CN"/>
        </w:rPr>
      </w:pPr>
      <w:r>
        <w:rPr>
          <w:rFonts w:hint="eastAsia" w:eastAsia="宋体" w:cs="Times New Roman"/>
          <w:b/>
          <w:bCs/>
          <w:color w:val="auto"/>
          <w:kern w:val="0"/>
          <w:sz w:val="24"/>
          <w:szCs w:val="24"/>
          <w:highlight w:val="none"/>
          <w:u w:val="none"/>
          <w:lang w:val="en-US" w:eastAsia="zh-CN"/>
        </w:rPr>
        <w:t>防染粉2#（助剂</w:t>
      </w:r>
      <w:r>
        <w:rPr>
          <w:rFonts w:hint="eastAsia" w:ascii="宋体" w:hAnsi="宋体" w:eastAsia="宋体" w:cs="宋体"/>
          <w:b/>
          <w:bCs/>
          <w:spacing w:val="-1"/>
          <w:sz w:val="24"/>
          <w:szCs w:val="24"/>
          <w:highlight w:val="none"/>
          <w:lang w:val="en-US" w:eastAsia="zh-CN"/>
        </w:rPr>
        <w:t>粉剂</w:t>
      </w:r>
      <w:r>
        <w:rPr>
          <w:rFonts w:hint="eastAsia" w:eastAsia="宋体" w:cs="Times New Roman"/>
          <w:b/>
          <w:bCs/>
          <w:color w:val="auto"/>
          <w:kern w:val="0"/>
          <w:sz w:val="24"/>
          <w:szCs w:val="24"/>
          <w:highlight w:val="none"/>
          <w:u w:val="none"/>
          <w:lang w:val="en-US" w:eastAsia="zh-CN"/>
        </w:rPr>
        <w:t>）</w:t>
      </w:r>
      <w:r>
        <w:rPr>
          <w:rFonts w:hint="eastAsia" w:ascii="宋体" w:hAnsi="宋体" w:eastAsia="宋体" w:cs="宋体"/>
          <w:b/>
          <w:bCs/>
          <w:spacing w:val="-1"/>
          <w:sz w:val="24"/>
          <w:szCs w:val="24"/>
          <w:highlight w:val="none"/>
          <w:lang w:val="en-US" w:eastAsia="zh-CN"/>
        </w:rPr>
        <w:t>工艺流程简述：</w:t>
      </w:r>
    </w:p>
    <w:p w14:paraId="7C1951B5">
      <w:pPr>
        <w:ind w:firstLine="480" w:firstLineChars="200"/>
        <w:rPr>
          <w:rFonts w:hint="eastAsia" w:eastAsia="宋体" w:cs="Times New Roman"/>
          <w:color w:val="auto"/>
          <w:kern w:val="0"/>
          <w:sz w:val="24"/>
          <w:szCs w:val="24"/>
          <w:highlight w:val="none"/>
          <w:u w:val="none"/>
          <w:lang w:val="en-US" w:eastAsia="zh-CN"/>
        </w:rPr>
      </w:pPr>
    </w:p>
    <w:p w14:paraId="48011A46">
      <w:pPr>
        <w:ind w:firstLine="480" w:firstLineChars="200"/>
        <w:rPr>
          <w:rFonts w:hint="default" w:eastAsia="宋体" w:cs="Times New Roman"/>
          <w:color w:val="auto"/>
          <w:kern w:val="0"/>
          <w:sz w:val="24"/>
          <w:szCs w:val="24"/>
          <w:highlight w:val="none"/>
          <w:u w:val="none"/>
          <w:lang w:val="en-US" w:eastAsia="zh-CN"/>
        </w:rPr>
      </w:pPr>
      <w:r>
        <w:rPr>
          <w:rFonts w:hint="eastAsia" w:eastAsia="宋体" w:cs="Times New Roman"/>
          <w:color w:val="auto"/>
          <w:kern w:val="0"/>
          <w:sz w:val="24"/>
          <w:szCs w:val="24"/>
          <w:highlight w:val="none"/>
          <w:u w:val="none"/>
          <w:lang w:val="en-US" w:eastAsia="zh-CN"/>
        </w:rPr>
        <w:t>（1）称取原料：</w:t>
      </w:r>
      <w:r>
        <w:rPr>
          <w:rFonts w:hint="default" w:ascii="宋体" w:hAnsi="宋体" w:eastAsia="宋体" w:cs="宋体"/>
          <w:spacing w:val="-1"/>
          <w:sz w:val="24"/>
          <w:szCs w:val="24"/>
          <w:highlight w:val="none"/>
          <w:lang w:val="en-US" w:eastAsia="zh-CN"/>
        </w:rPr>
        <w:t>在粉剂</w:t>
      </w:r>
      <w:r>
        <w:rPr>
          <w:rFonts w:hint="eastAsia" w:ascii="宋体" w:hAnsi="宋体" w:eastAsia="宋体" w:cs="宋体"/>
          <w:spacing w:val="-1"/>
          <w:sz w:val="24"/>
          <w:szCs w:val="24"/>
          <w:highlight w:val="none"/>
          <w:lang w:val="en-US" w:eastAsia="zh-CN"/>
        </w:rPr>
        <w:t>复配</w:t>
      </w:r>
      <w:r>
        <w:rPr>
          <w:rFonts w:hint="default" w:ascii="宋体" w:hAnsi="宋体" w:eastAsia="宋体" w:cs="宋体"/>
          <w:spacing w:val="-1"/>
          <w:sz w:val="24"/>
          <w:szCs w:val="24"/>
          <w:highlight w:val="none"/>
          <w:lang w:val="en-US" w:eastAsia="zh-CN"/>
        </w:rPr>
        <w:t>车间</w:t>
      </w:r>
      <w:r>
        <w:rPr>
          <w:rFonts w:hint="eastAsia" w:ascii="宋体" w:hAnsi="宋体" w:eastAsia="宋体" w:cs="宋体"/>
          <w:spacing w:val="-1"/>
          <w:sz w:val="24"/>
          <w:szCs w:val="24"/>
          <w:highlight w:val="none"/>
          <w:lang w:val="en-US" w:eastAsia="zh-CN"/>
        </w:rPr>
        <w:t>，称取</w:t>
      </w:r>
      <w:r>
        <w:rPr>
          <w:rFonts w:hint="eastAsia" w:eastAsia="宋体" w:cs="Times New Roman"/>
          <w:color w:val="auto"/>
          <w:kern w:val="0"/>
          <w:sz w:val="24"/>
          <w:szCs w:val="24"/>
          <w:highlight w:val="none"/>
          <w:u w:val="none"/>
          <w:lang w:val="en-US" w:eastAsia="zh-CN"/>
        </w:rPr>
        <w:t>防染粉1#的10%作为原料与平平加通过物理搅拌混合复配而成（不需要加热），</w:t>
      </w:r>
      <w:r>
        <w:rPr>
          <w:rFonts w:hint="default" w:ascii="Times New Roman" w:hAnsi="Times New Roman" w:eastAsia="宋体" w:cs="Times New Roman"/>
          <w:color w:val="auto"/>
          <w:spacing w:val="-2"/>
          <w:sz w:val="24"/>
          <w:szCs w:val="24"/>
          <w:highlight w:val="none"/>
        </w:rPr>
        <w:t>复配生产过程中</w:t>
      </w:r>
      <w:r>
        <w:rPr>
          <w:rFonts w:hint="default" w:ascii="Times New Roman" w:hAnsi="Times New Roman" w:eastAsia="宋体" w:cs="Times New Roman"/>
          <w:color w:val="auto"/>
          <w:spacing w:val="-2"/>
          <w:sz w:val="24"/>
          <w:szCs w:val="24"/>
          <w:highlight w:val="none"/>
          <w:lang w:val="en-US" w:eastAsia="zh-CN"/>
        </w:rPr>
        <w:t>不发生化学变化</w:t>
      </w:r>
      <w:r>
        <w:rPr>
          <w:rFonts w:hint="eastAsia" w:eastAsia="宋体" w:cs="Times New Roman"/>
          <w:color w:val="auto"/>
          <w:kern w:val="0"/>
          <w:sz w:val="24"/>
          <w:szCs w:val="24"/>
          <w:highlight w:val="none"/>
          <w:u w:val="none"/>
          <w:lang w:val="en-US" w:eastAsia="zh-CN"/>
        </w:rPr>
        <w:t>。</w:t>
      </w:r>
    </w:p>
    <w:p w14:paraId="2FE03820">
      <w:pPr>
        <w:spacing w:before="1" w:line="360" w:lineRule="auto"/>
        <w:ind w:left="4" w:firstLine="481"/>
        <w:rPr>
          <w:rFonts w:hint="eastAsia" w:ascii="Times New Roman" w:hAnsi="Times New Roman" w:eastAsia="宋体" w:cs="Times New Roman"/>
          <w:spacing w:val="-2"/>
          <w:sz w:val="24"/>
          <w:szCs w:val="24"/>
          <w:highlight w:val="none"/>
          <w:lang w:eastAsia="zh-CN"/>
        </w:rPr>
      </w:pPr>
      <w:r>
        <w:rPr>
          <w:rFonts w:hint="default" w:ascii="Times New Roman" w:hAnsi="Times New Roman" w:eastAsia="宋体" w:cs="Times New Roman"/>
          <w:spacing w:val="-2"/>
          <w:sz w:val="24"/>
          <w:szCs w:val="24"/>
          <w:highlight w:val="none"/>
        </w:rPr>
        <w:t>（2）混合搅拌：将称取的原料放入</w:t>
      </w:r>
      <w:r>
        <w:rPr>
          <w:rFonts w:hint="eastAsia" w:eastAsia="宋体" w:cs="Times New Roman"/>
          <w:spacing w:val="-2"/>
          <w:sz w:val="24"/>
          <w:szCs w:val="24"/>
          <w:highlight w:val="none"/>
          <w:lang w:val="en-US" w:eastAsia="zh-CN"/>
        </w:rPr>
        <w:t>粉剂</w:t>
      </w:r>
      <w:r>
        <w:rPr>
          <w:rFonts w:hint="default" w:ascii="Times New Roman" w:hAnsi="Times New Roman" w:eastAsia="宋体" w:cs="Times New Roman"/>
          <w:spacing w:val="-2"/>
          <w:sz w:val="24"/>
          <w:szCs w:val="24"/>
          <w:highlight w:val="none"/>
        </w:rPr>
        <w:t>搅拌</w:t>
      </w:r>
      <w:r>
        <w:rPr>
          <w:rFonts w:hint="eastAsia" w:ascii="Times New Roman" w:hAnsi="Times New Roman" w:eastAsia="宋体" w:cs="Times New Roman"/>
          <w:spacing w:val="-2"/>
          <w:sz w:val="24"/>
          <w:szCs w:val="24"/>
          <w:highlight w:val="none"/>
          <w:lang w:val="en-US" w:eastAsia="zh-CN"/>
        </w:rPr>
        <w:t>罐</w:t>
      </w:r>
      <w:r>
        <w:rPr>
          <w:rFonts w:hint="default" w:ascii="Times New Roman" w:hAnsi="Times New Roman" w:eastAsia="宋体" w:cs="Times New Roman"/>
          <w:spacing w:val="-2"/>
          <w:sz w:val="24"/>
          <w:szCs w:val="24"/>
          <w:highlight w:val="none"/>
        </w:rPr>
        <w:t>进行搅拌</w:t>
      </w:r>
      <w:r>
        <w:rPr>
          <w:rFonts w:hint="eastAsia"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搅拌设备有加盖设备，</w:t>
      </w:r>
      <w:r>
        <w:rPr>
          <w:rFonts w:hint="eastAsia" w:eastAsia="宋体" w:cs="Times New Roman"/>
          <w:spacing w:val="-2"/>
          <w:sz w:val="24"/>
          <w:szCs w:val="24"/>
          <w:highlight w:val="none"/>
          <w:lang w:val="en-US" w:eastAsia="zh-CN"/>
        </w:rPr>
        <w:t>搅拌时密闭操作，</w:t>
      </w:r>
      <w:r>
        <w:rPr>
          <w:rFonts w:hint="default" w:ascii="Times New Roman" w:hAnsi="Times New Roman" w:eastAsia="宋体" w:cs="Times New Roman"/>
          <w:spacing w:val="-2"/>
          <w:sz w:val="24"/>
          <w:szCs w:val="24"/>
          <w:highlight w:val="none"/>
        </w:rPr>
        <w:t>因此，搅拌过程中</w:t>
      </w:r>
      <w:r>
        <w:rPr>
          <w:rFonts w:hint="eastAsia" w:eastAsia="宋体" w:cs="Times New Roman"/>
          <w:spacing w:val="-2"/>
          <w:sz w:val="24"/>
          <w:szCs w:val="24"/>
          <w:highlight w:val="none"/>
          <w:lang w:val="en-US" w:eastAsia="zh-CN"/>
        </w:rPr>
        <w:t>有</w:t>
      </w:r>
      <w:r>
        <w:rPr>
          <w:rFonts w:hint="default" w:ascii="Times New Roman" w:hAnsi="Times New Roman" w:eastAsia="宋体" w:cs="Times New Roman"/>
          <w:spacing w:val="-2"/>
          <w:sz w:val="24"/>
          <w:szCs w:val="24"/>
          <w:highlight w:val="none"/>
        </w:rPr>
        <w:t>搅拌噪声；</w:t>
      </w:r>
    </w:p>
    <w:p w14:paraId="57A4EC5F">
      <w:pPr>
        <w:spacing w:before="1" w:line="360" w:lineRule="auto"/>
        <w:ind w:left="4" w:firstLine="481"/>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（3）放料装桶：将拌合好的产品放入桶中，可能会产生少量粉尘</w:t>
      </w:r>
      <w:r>
        <w:rPr>
          <w:rFonts w:hint="eastAsia" w:eastAsia="宋体" w:cs="Times New Roman"/>
          <w:spacing w:val="-2"/>
          <w:sz w:val="24"/>
          <w:szCs w:val="24"/>
          <w:highlight w:val="none"/>
          <w:lang w:eastAsia="zh-CN"/>
        </w:rPr>
        <w:t>、</w:t>
      </w:r>
      <w:r>
        <w:rPr>
          <w:rFonts w:hint="eastAsia" w:eastAsia="宋体" w:cs="Times New Roman"/>
          <w:spacing w:val="-2"/>
          <w:sz w:val="24"/>
          <w:szCs w:val="24"/>
          <w:highlight w:val="none"/>
          <w:lang w:val="en-US" w:eastAsia="zh-CN"/>
        </w:rPr>
        <w:t>有机废气和噪声</w:t>
      </w:r>
      <w:r>
        <w:rPr>
          <w:rFonts w:hint="default" w:ascii="Times New Roman" w:hAnsi="Times New Roman" w:eastAsia="宋体" w:cs="Times New Roman"/>
          <w:spacing w:val="-2"/>
          <w:sz w:val="24"/>
          <w:szCs w:val="24"/>
          <w:highlight w:val="none"/>
        </w:rPr>
        <w:t>。</w:t>
      </w:r>
    </w:p>
    <w:p w14:paraId="0C951D77">
      <w:pPr>
        <w:spacing w:before="1" w:line="360" w:lineRule="auto"/>
        <w:ind w:left="4" w:firstLine="481"/>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（4）检验：在实验室对成品进行成分检验，看是否拌合均匀，不合格产品将会回用到工艺进行重新搅拌。</w:t>
      </w:r>
    </w:p>
    <w:p w14:paraId="29465430">
      <w:pPr>
        <w:keepNext w:val="0"/>
        <w:keepLines w:val="0"/>
        <w:pageBreakBefore w:val="0"/>
        <w:widowControl w:val="0"/>
        <w:kinsoku/>
        <w:wordWrap/>
        <w:overflowPunct/>
        <w:topLinePunct w:val="0"/>
        <w:autoSpaceDE/>
        <w:autoSpaceDN/>
        <w:bidi w:val="0"/>
        <w:adjustRightInd/>
        <w:snapToGrid/>
        <w:spacing w:line="240" w:lineRule="auto"/>
        <w:ind w:left="0" w:firstLine="472" w:firstLineChars="200"/>
        <w:jc w:val="both"/>
        <w:textAlignment w:val="auto"/>
        <w:rPr>
          <w:rFonts w:hint="default" w:ascii="宋体" w:hAnsi="宋体" w:eastAsia="宋体" w:cs="宋体"/>
          <w:spacing w:val="-1"/>
          <w:sz w:val="24"/>
          <w:szCs w:val="24"/>
          <w:highlight w:val="none"/>
          <w:lang w:val="en-US" w:eastAsia="zh-CN"/>
        </w:rPr>
      </w:pPr>
      <w:r>
        <w:rPr>
          <w:rFonts w:hint="default" w:ascii="Times New Roman" w:hAnsi="Times New Roman" w:eastAsia="宋体" w:cs="Times New Roman"/>
          <w:spacing w:val="-2"/>
          <w:sz w:val="24"/>
          <w:szCs w:val="24"/>
          <w:highlight w:val="none"/>
        </w:rPr>
        <w:t>（5）成品包装：将成品进行包装</w:t>
      </w:r>
      <w:r>
        <w:rPr>
          <w:rFonts w:hint="eastAsia" w:eastAsia="宋体" w:cs="Times New Roman"/>
          <w:spacing w:val="-2"/>
          <w:sz w:val="24"/>
          <w:szCs w:val="24"/>
          <w:highlight w:val="none"/>
          <w:lang w:eastAsia="zh-CN"/>
        </w:rPr>
        <w:t>，</w:t>
      </w:r>
      <w:r>
        <w:rPr>
          <w:rFonts w:hint="eastAsia" w:eastAsia="宋体" w:cs="Times New Roman"/>
          <w:spacing w:val="-2"/>
          <w:sz w:val="24"/>
          <w:szCs w:val="24"/>
          <w:highlight w:val="none"/>
          <w:lang w:val="en-US" w:eastAsia="zh-CN"/>
        </w:rPr>
        <w:t>产</w:t>
      </w:r>
      <w:r>
        <w:rPr>
          <w:rFonts w:hint="eastAsia" w:ascii="Times New Roman" w:hAnsi="Times New Roman" w:eastAsia="宋体" w:cs="Times New Roman"/>
          <w:spacing w:val="-2"/>
          <w:sz w:val="24"/>
          <w:szCs w:val="24"/>
          <w:highlight w:val="none"/>
          <w:lang w:val="en-US" w:eastAsia="zh-CN"/>
        </w:rPr>
        <w:t>品是防染粉2#（助剂粉剂）</w:t>
      </w:r>
      <w:r>
        <w:rPr>
          <w:rFonts w:hint="default" w:ascii="Times New Roman" w:hAnsi="Times New Roman" w:eastAsia="宋体" w:cs="Times New Roman"/>
          <w:spacing w:val="-2"/>
          <w:sz w:val="24"/>
          <w:szCs w:val="24"/>
          <w:highlight w:val="none"/>
        </w:rPr>
        <w:t>。</w:t>
      </w:r>
    </w:p>
    <w:p w14:paraId="0AF2C144">
      <w:pPr>
        <w:pStyle w:val="9"/>
        <w:rPr>
          <w:rFonts w:hint="eastAsia"/>
          <w:highlight w:val="none"/>
          <w:lang w:val="en-US" w:eastAsia="zh-CN"/>
        </w:rPr>
      </w:pPr>
      <w:r>
        <w:rPr>
          <w:rFonts w:hint="eastAsia"/>
          <w:highlight w:val="none"/>
          <w:lang w:val="en-US" w:eastAsia="zh-CN"/>
        </w:rPr>
        <w:t>4.2.2.2酶制品助剂水剂复配工艺流程及产污环节</w:t>
      </w:r>
    </w:p>
    <w:p w14:paraId="0307F606">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eastAsia="宋体" w:cs="Times New Roman"/>
          <w:spacing w:val="-2"/>
          <w:sz w:val="24"/>
          <w:szCs w:val="24"/>
          <w:highlight w:val="none"/>
          <w:lang w:val="en-US" w:eastAsia="zh-CN"/>
        </w:rPr>
      </w:pPr>
      <w:r>
        <w:rPr>
          <w:rFonts w:hint="eastAsia" w:eastAsia="宋体" w:cs="Times New Roman"/>
          <w:spacing w:val="-2"/>
          <w:sz w:val="24"/>
          <w:szCs w:val="24"/>
          <w:highlight w:val="none"/>
          <w:lang w:val="en-US" w:eastAsia="zh-CN"/>
        </w:rPr>
        <w:t>本项目酶制品助剂水剂产品有两种，包括硅油和防染剂。均通过电加热复配（温度50℃），复配过程不发生化学变化，加热是促进液态物质的溶解，方便充分融合。</w:t>
      </w:r>
    </w:p>
    <w:p w14:paraId="15D8451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eastAsia="宋体" w:cs="Times New Roman"/>
          <w:b/>
          <w:bCs/>
          <w:spacing w:val="-2"/>
          <w:sz w:val="24"/>
          <w:szCs w:val="24"/>
          <w:highlight w:val="none"/>
          <w:lang w:val="en-US" w:eastAsia="zh-CN"/>
        </w:rPr>
      </w:pPr>
      <w:r>
        <w:rPr>
          <w:rFonts w:hint="eastAsia" w:eastAsia="宋体" w:cs="Times New Roman"/>
          <w:b/>
          <w:bCs/>
          <w:spacing w:val="-2"/>
          <w:sz w:val="24"/>
          <w:szCs w:val="24"/>
          <w:highlight w:val="none"/>
          <w:lang w:val="en-US" w:eastAsia="zh-CN"/>
        </w:rPr>
        <w:t>1、硅油</w:t>
      </w:r>
      <w:r>
        <w:rPr>
          <w:rFonts w:hint="eastAsia" w:eastAsia="宋体"/>
          <w:b/>
          <w:bCs/>
          <w:spacing w:val="-2"/>
          <w:sz w:val="24"/>
          <w:szCs w:val="24"/>
          <w:highlight w:val="none"/>
          <w:lang w:val="en-US" w:eastAsia="zh-CN"/>
        </w:rPr>
        <w:t>复配工艺流程及产污环节</w:t>
      </w:r>
    </w:p>
    <w:p w14:paraId="7E3A70A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spacing w:val="-2"/>
          <w:sz w:val="24"/>
          <w:szCs w:val="24"/>
          <w:highlight w:val="none"/>
          <w:lang w:eastAsia="zh-CN"/>
        </w:rPr>
      </w:pPr>
      <w:r>
        <w:rPr>
          <w:rFonts w:hint="eastAsia" w:eastAsia="宋体" w:cs="Times New Roman"/>
          <w:spacing w:val="-2"/>
          <w:sz w:val="24"/>
          <w:szCs w:val="24"/>
          <w:highlight w:val="none"/>
          <w:lang w:val="en-US" w:eastAsia="zh-CN"/>
        </w:rPr>
        <w:t xml:space="preserve"> </w:t>
      </w:r>
      <w:r>
        <w:rPr>
          <w:rFonts w:hint="eastAsia" w:ascii="Times New Roman" w:hAnsi="Times New Roman" w:eastAsia="宋体" w:cs="Times New Roman"/>
          <w:spacing w:val="-2"/>
          <w:sz w:val="24"/>
          <w:szCs w:val="24"/>
          <w:highlight w:val="none"/>
          <w:lang w:eastAsia="zh-CN"/>
        </w:rPr>
        <w:drawing>
          <wp:inline distT="0" distB="0" distL="114300" distR="114300">
            <wp:extent cx="1619250" cy="2209800"/>
            <wp:effectExtent l="0" t="0" r="0" b="0"/>
            <wp:docPr id="56" name="图片 56" descr="874510218bee1953035dedcebbf1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874510218bee1953035dedcebbf1f3c"/>
                    <pic:cNvPicPr>
                      <a:picLocks noChangeAspect="1"/>
                    </pic:cNvPicPr>
                  </pic:nvPicPr>
                  <pic:blipFill>
                    <a:blip r:embed="rId24"/>
                    <a:stretch>
                      <a:fillRect/>
                    </a:stretch>
                  </pic:blipFill>
                  <pic:spPr>
                    <a:xfrm>
                      <a:off x="0" y="0"/>
                      <a:ext cx="1619250" cy="2209800"/>
                    </a:xfrm>
                    <a:prstGeom prst="rect">
                      <a:avLst/>
                    </a:prstGeom>
                  </pic:spPr>
                </pic:pic>
              </a:graphicData>
            </a:graphic>
          </wp:inline>
        </w:drawing>
      </w:r>
    </w:p>
    <w:p w14:paraId="5BEF1BC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pacing w:val="-2"/>
          <w:sz w:val="24"/>
          <w:szCs w:val="24"/>
          <w:highlight w:val="none"/>
          <w:u w:val="none"/>
          <w:lang w:val="en-US" w:eastAsia="zh-CN"/>
        </w:rPr>
      </w:pPr>
      <w:r>
        <w:rPr>
          <w:rFonts w:hint="eastAsia" w:eastAsia="宋体" w:cs="Times New Roman"/>
          <w:b/>
          <w:bCs/>
          <w:spacing w:val="-2"/>
          <w:sz w:val="24"/>
          <w:szCs w:val="24"/>
          <w:highlight w:val="none"/>
          <w:u w:val="none"/>
          <w:lang w:val="en-US" w:eastAsia="zh-CN"/>
        </w:rPr>
        <w:t>图4.2-4 硅油</w:t>
      </w:r>
      <w:r>
        <w:rPr>
          <w:rFonts w:hint="eastAsia" w:eastAsia="宋体"/>
          <w:b/>
          <w:bCs/>
          <w:spacing w:val="-2"/>
          <w:sz w:val="24"/>
          <w:szCs w:val="24"/>
          <w:highlight w:val="none"/>
          <w:u w:val="none"/>
          <w:lang w:val="en-US" w:eastAsia="zh-CN"/>
        </w:rPr>
        <w:t>复配工艺流程及产污环节图</w:t>
      </w:r>
      <w:r>
        <w:rPr>
          <w:rFonts w:hint="eastAsia"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t>（生产线2#）</w:t>
      </w:r>
    </w:p>
    <w:p w14:paraId="3B2E95B3">
      <w:pPr>
        <w:keepNext w:val="0"/>
        <w:keepLines w:val="0"/>
        <w:pageBreakBefore w:val="0"/>
        <w:widowControl w:val="0"/>
        <w:kinsoku/>
        <w:wordWrap/>
        <w:overflowPunct/>
        <w:topLinePunct w:val="0"/>
        <w:autoSpaceDE/>
        <w:autoSpaceDN/>
        <w:bidi w:val="0"/>
        <w:adjustRightInd/>
        <w:snapToGrid/>
        <w:spacing w:line="360" w:lineRule="auto"/>
        <w:ind w:left="0" w:leftChars="0" w:firstLine="474" w:firstLineChars="200"/>
        <w:jc w:val="both"/>
        <w:textAlignment w:val="auto"/>
        <w:rPr>
          <w:rFonts w:hint="default" w:ascii="Times New Roman" w:hAnsi="Times New Roman" w:eastAsia="宋体" w:cs="Times New Roman"/>
          <w:b/>
          <w:bCs/>
          <w:spacing w:val="-2"/>
          <w:kern w:val="2"/>
          <w:sz w:val="24"/>
          <w:szCs w:val="24"/>
          <w:highlight w:val="none"/>
          <w:lang w:val="en-US" w:eastAsia="zh-CN"/>
        </w:rPr>
      </w:pPr>
      <w:r>
        <w:rPr>
          <w:rFonts w:hint="default" w:eastAsia="宋体" w:cs="Times New Roman"/>
          <w:b/>
          <w:bCs/>
          <w:spacing w:val="-2"/>
          <w:sz w:val="24"/>
          <w:szCs w:val="24"/>
          <w:highlight w:val="none"/>
          <w:lang w:val="en-US" w:eastAsia="zh-CN"/>
        </w:rPr>
        <w:t>硅油的</w:t>
      </w:r>
      <w:r>
        <w:rPr>
          <w:rFonts w:hint="default" w:ascii="Times New Roman" w:hAnsi="Times New Roman" w:eastAsia="宋体" w:cs="Times New Roman"/>
          <w:b/>
          <w:bCs/>
          <w:spacing w:val="-2"/>
          <w:sz w:val="24"/>
          <w:szCs w:val="24"/>
          <w:highlight w:val="none"/>
          <w:lang w:val="en-US" w:eastAsia="zh-CN"/>
        </w:rPr>
        <w:t>复配工艺流程简述</w:t>
      </w:r>
      <w:r>
        <w:rPr>
          <w:rFonts w:hint="default" w:eastAsia="宋体" w:cs="Times New Roman"/>
          <w:b/>
          <w:bCs/>
          <w:spacing w:val="-2"/>
          <w:sz w:val="24"/>
          <w:szCs w:val="24"/>
          <w:highlight w:val="none"/>
          <w:lang w:val="en-US" w:eastAsia="zh-CN"/>
        </w:rPr>
        <w:t>：</w:t>
      </w:r>
    </w:p>
    <w:p w14:paraId="0936070A">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spacing w:val="-2"/>
          <w:kern w:val="2"/>
          <w:sz w:val="24"/>
          <w:szCs w:val="24"/>
          <w:highlight w:val="none"/>
          <w:lang w:val="en-US" w:eastAsia="zh-CN" w:bidi="ar-SA"/>
        </w:rPr>
      </w:pPr>
      <w:r>
        <w:rPr>
          <w:rFonts w:hint="default" w:ascii="Times New Roman" w:hAnsi="Times New Roman" w:eastAsia="宋体" w:cs="Times New Roman"/>
          <w:spacing w:val="-2"/>
          <w:kern w:val="2"/>
          <w:sz w:val="24"/>
          <w:szCs w:val="24"/>
          <w:highlight w:val="none"/>
          <w:lang w:val="en-US" w:eastAsia="zh-CN" w:bidi="ar-SA"/>
        </w:rPr>
        <w:t>（1）称料混合搅拌：</w:t>
      </w:r>
      <w:r>
        <w:rPr>
          <w:rFonts w:hint="default" w:eastAsia="宋体" w:cs="Times New Roman"/>
          <w:spacing w:val="-2"/>
          <w:sz w:val="24"/>
          <w:szCs w:val="24"/>
          <w:highlight w:val="none"/>
          <w:lang w:val="en-US" w:eastAsia="zh-CN"/>
        </w:rPr>
        <w:t>硅油的生产是在液态产品复配</w:t>
      </w:r>
      <w:r>
        <w:rPr>
          <w:rFonts w:hint="eastAsia" w:ascii="Times New Roman" w:hAnsi="Times New Roman" w:eastAsia="宋体" w:cs="Times New Roman"/>
          <w:spacing w:val="-2"/>
          <w:sz w:val="24"/>
          <w:szCs w:val="24"/>
          <w:highlight w:val="none"/>
          <w:lang w:val="en-US" w:eastAsia="zh-CN"/>
        </w:rPr>
        <w:t>车间，</w:t>
      </w:r>
      <w:r>
        <w:rPr>
          <w:rFonts w:hint="default" w:ascii="Times New Roman" w:eastAsia="宋体" w:cs="Times New Roman"/>
          <w:spacing w:val="-2"/>
          <w:sz w:val="24"/>
          <w:szCs w:val="24"/>
          <w:highlight w:val="none"/>
          <w:u w:val="none"/>
        </w:rPr>
        <w:t>根据客户要求称取</w:t>
      </w:r>
      <w:r>
        <w:rPr>
          <w:rFonts w:hint="default" w:ascii="Times New Roman" w:eastAsia="宋体" w:cs="Times New Roman"/>
          <w:spacing w:val="-2"/>
          <w:sz w:val="24"/>
          <w:szCs w:val="24"/>
          <w:highlight w:val="none"/>
          <w:u w:val="none"/>
          <w:lang w:val="en-US" w:eastAsia="zh-CN"/>
        </w:rPr>
        <w:t>硅油至</w:t>
      </w:r>
      <w:r>
        <w:rPr>
          <w:rFonts w:hint="eastAsia" w:ascii="Times New Roman" w:hAnsi="Times New Roman" w:eastAsia="宋体" w:cs="Times New Roman"/>
          <w:spacing w:val="-2"/>
          <w:sz w:val="24"/>
          <w:szCs w:val="24"/>
          <w:highlight w:val="none"/>
          <w:lang w:val="en-US" w:eastAsia="zh-CN"/>
        </w:rPr>
        <w:t>2T的</w:t>
      </w:r>
      <w:r>
        <w:rPr>
          <w:rFonts w:hint="default" w:ascii="Times New Roman" w:hAnsi="Times New Roman" w:eastAsia="宋体" w:cs="Times New Roman"/>
          <w:spacing w:val="-2"/>
          <w:sz w:val="24"/>
          <w:szCs w:val="24"/>
          <w:highlight w:val="none"/>
          <w:lang w:val="en-US" w:eastAsia="zh-CN"/>
        </w:rPr>
        <w:t>简易电加热混合搅拌釜</w:t>
      </w:r>
      <w:r>
        <w:rPr>
          <w:rFonts w:hint="eastAsia" w:ascii="Times New Roman" w:hAnsi="Times New Roman" w:eastAsia="宋体" w:cs="Times New Roman"/>
          <w:spacing w:val="-2"/>
          <w:sz w:val="24"/>
          <w:szCs w:val="24"/>
          <w:highlight w:val="none"/>
          <w:lang w:val="en-US" w:eastAsia="zh-CN"/>
        </w:rPr>
        <w:t>中</w:t>
      </w:r>
      <w:r>
        <w:rPr>
          <w:rFonts w:hint="default" w:eastAsia="宋体" w:cs="Times New Roman"/>
          <w:spacing w:val="-2"/>
          <w:sz w:val="24"/>
          <w:szCs w:val="24"/>
          <w:highlight w:val="none"/>
          <w:lang w:val="en-US" w:eastAsia="zh-CN"/>
        </w:rPr>
        <w:t>，再加入</w:t>
      </w:r>
      <w:r>
        <w:rPr>
          <w:rFonts w:hint="eastAsia" w:ascii="Times New Roman" w:hAnsi="Times New Roman" w:eastAsia="宋体" w:cs="Times New Roman"/>
          <w:spacing w:val="-2"/>
          <w:sz w:val="24"/>
          <w:szCs w:val="24"/>
          <w:highlight w:val="none"/>
          <w:lang w:val="en-US" w:eastAsia="zh-CN"/>
        </w:rPr>
        <w:t>自来水</w:t>
      </w:r>
      <w:r>
        <w:rPr>
          <w:rFonts w:hint="default" w:eastAsia="宋体" w:cs="Times New Roman"/>
          <w:spacing w:val="-2"/>
          <w:sz w:val="24"/>
          <w:szCs w:val="24"/>
          <w:highlight w:val="none"/>
          <w:lang w:val="en-US" w:eastAsia="zh-CN"/>
        </w:rPr>
        <w:t>，一起</w:t>
      </w:r>
      <w:r>
        <w:rPr>
          <w:rFonts w:hint="eastAsia" w:eastAsia="宋体" w:cs="Times New Roman"/>
          <w:spacing w:val="-2"/>
          <w:sz w:val="24"/>
          <w:szCs w:val="24"/>
          <w:highlight w:val="none"/>
          <w:lang w:val="en-US" w:eastAsia="zh-CN"/>
        </w:rPr>
        <w:t>进行</w:t>
      </w:r>
      <w:r>
        <w:rPr>
          <w:rFonts w:hint="default" w:eastAsia="宋体" w:cs="Times New Roman"/>
          <w:spacing w:val="-2"/>
          <w:sz w:val="24"/>
          <w:szCs w:val="24"/>
          <w:highlight w:val="none"/>
          <w:lang w:val="en-US" w:eastAsia="zh-CN"/>
        </w:rPr>
        <w:t>混合搅拌</w:t>
      </w:r>
      <w:r>
        <w:rPr>
          <w:rFonts w:hint="default" w:eastAsia="宋体" w:cs="Times New Roman"/>
          <w:spacing w:val="-2"/>
          <w:kern w:val="2"/>
          <w:sz w:val="24"/>
          <w:szCs w:val="24"/>
          <w:highlight w:val="none"/>
          <w:lang w:val="en-US" w:eastAsia="zh-CN" w:bidi="ar-SA"/>
        </w:rPr>
        <w:t>（加热温度</w:t>
      </w:r>
      <w:r>
        <w:rPr>
          <w:rFonts w:hint="default" w:eastAsia="宋体" w:cs="Times New Roman"/>
          <w:spacing w:val="-2"/>
          <w:sz w:val="24"/>
          <w:szCs w:val="24"/>
          <w:highlight w:val="none"/>
          <w:lang w:val="en-US" w:eastAsia="zh-CN"/>
        </w:rPr>
        <w:t>50℃</w:t>
      </w:r>
      <w:r>
        <w:rPr>
          <w:rFonts w:hint="default" w:eastAsia="宋体" w:cs="Times New Roman"/>
          <w:spacing w:val="-2"/>
          <w:kern w:val="2"/>
          <w:sz w:val="24"/>
          <w:szCs w:val="24"/>
          <w:highlight w:val="none"/>
          <w:lang w:val="en-US" w:eastAsia="zh-CN" w:bidi="ar-SA"/>
        </w:rPr>
        <w:t>）</w:t>
      </w:r>
      <w:r>
        <w:rPr>
          <w:rFonts w:hint="default" w:eastAsia="宋体" w:cs="Times New Roman"/>
          <w:spacing w:val="-2"/>
          <w:sz w:val="24"/>
          <w:szCs w:val="24"/>
          <w:highlight w:val="none"/>
          <w:lang w:val="en-US" w:eastAsia="zh-CN"/>
        </w:rPr>
        <w:t>，加热是促进液态物质的溶解，方便充分融合。复配过程不发生化学变化</w:t>
      </w:r>
      <w:r>
        <w:rPr>
          <w:rFonts w:hint="eastAsia" w:eastAsia="宋体" w:cs="Times New Roman"/>
          <w:spacing w:val="-2"/>
          <w:sz w:val="24"/>
          <w:szCs w:val="24"/>
          <w:highlight w:val="none"/>
          <w:lang w:val="en-US" w:eastAsia="zh-CN"/>
        </w:rPr>
        <w:t>，</w:t>
      </w:r>
      <w:r>
        <w:rPr>
          <w:rFonts w:hint="default" w:ascii="Times New Roman" w:hAnsi="Times New Roman" w:eastAsia="宋体" w:cs="Times New Roman"/>
          <w:spacing w:val="-2"/>
          <w:kern w:val="2"/>
          <w:sz w:val="24"/>
          <w:szCs w:val="24"/>
          <w:highlight w:val="none"/>
          <w:lang w:val="en-US" w:eastAsia="zh-CN" w:bidi="ar-SA"/>
        </w:rPr>
        <w:t>搅拌过程中会有噪声</w:t>
      </w:r>
      <w:r>
        <w:rPr>
          <w:rFonts w:hint="default" w:eastAsia="宋体" w:cs="Times New Roman"/>
          <w:spacing w:val="-2"/>
          <w:kern w:val="2"/>
          <w:sz w:val="24"/>
          <w:szCs w:val="24"/>
          <w:highlight w:val="none"/>
          <w:lang w:val="en-US" w:eastAsia="zh-CN" w:bidi="ar-SA"/>
        </w:rPr>
        <w:t>。</w:t>
      </w:r>
    </w:p>
    <w:p w14:paraId="6AD7B530">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spacing w:val="-2"/>
          <w:kern w:val="2"/>
          <w:sz w:val="24"/>
          <w:szCs w:val="24"/>
          <w:highlight w:val="none"/>
          <w:lang w:val="en-US" w:eastAsia="zh-CN" w:bidi="ar-SA"/>
        </w:rPr>
      </w:pPr>
      <w:r>
        <w:rPr>
          <w:rFonts w:hint="default" w:ascii="Times New Roman" w:hAnsi="Times New Roman" w:eastAsia="宋体" w:cs="Times New Roman"/>
          <w:spacing w:val="-2"/>
          <w:kern w:val="2"/>
          <w:sz w:val="24"/>
          <w:szCs w:val="24"/>
          <w:highlight w:val="none"/>
          <w:lang w:val="en-US" w:eastAsia="zh-CN" w:bidi="ar-SA"/>
        </w:rPr>
        <w:t>（2）放料装桶：将拌合好的产品放入桶中，可能会产生</w:t>
      </w:r>
      <w:r>
        <w:rPr>
          <w:rFonts w:hint="eastAsia" w:eastAsia="宋体" w:cs="Times New Roman"/>
          <w:spacing w:val="-2"/>
          <w:kern w:val="2"/>
          <w:sz w:val="24"/>
          <w:szCs w:val="24"/>
          <w:highlight w:val="none"/>
          <w:lang w:val="en-US" w:eastAsia="zh-CN" w:bidi="ar-SA"/>
        </w:rPr>
        <w:t>有机废气、</w:t>
      </w:r>
      <w:r>
        <w:rPr>
          <w:rFonts w:hint="default" w:ascii="Times New Roman" w:hAnsi="Times New Roman" w:eastAsia="宋体" w:cs="Times New Roman"/>
          <w:spacing w:val="-2"/>
          <w:kern w:val="2"/>
          <w:sz w:val="24"/>
          <w:szCs w:val="24"/>
          <w:highlight w:val="none"/>
          <w:lang w:val="en-US" w:eastAsia="zh-CN" w:bidi="ar-SA"/>
        </w:rPr>
        <w:t>噪声。</w:t>
      </w:r>
    </w:p>
    <w:p w14:paraId="6869D137">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default" w:ascii="Times New Roman" w:hAnsi="Times New Roman" w:eastAsia="宋体" w:cs="Times New Roman"/>
          <w:spacing w:val="-2"/>
          <w:kern w:val="2"/>
          <w:sz w:val="24"/>
          <w:szCs w:val="24"/>
          <w:highlight w:val="none"/>
          <w:lang w:val="en-US" w:eastAsia="zh-CN" w:bidi="ar-SA"/>
        </w:rPr>
      </w:pPr>
      <w:r>
        <w:rPr>
          <w:rFonts w:hint="default" w:ascii="Times New Roman" w:hAnsi="Times New Roman" w:eastAsia="宋体" w:cs="Times New Roman"/>
          <w:spacing w:val="-2"/>
          <w:kern w:val="2"/>
          <w:sz w:val="24"/>
          <w:szCs w:val="24"/>
          <w:highlight w:val="none"/>
          <w:lang w:val="en-US" w:eastAsia="zh-CN" w:bidi="ar-SA"/>
        </w:rPr>
        <w:t>（</w:t>
      </w:r>
      <w:r>
        <w:rPr>
          <w:rFonts w:hint="eastAsia" w:eastAsia="宋体" w:cs="Times New Roman"/>
          <w:spacing w:val="-2"/>
          <w:kern w:val="2"/>
          <w:sz w:val="24"/>
          <w:szCs w:val="24"/>
          <w:highlight w:val="none"/>
          <w:lang w:val="en-US" w:eastAsia="zh-CN" w:bidi="ar-SA"/>
        </w:rPr>
        <w:t>3</w:t>
      </w:r>
      <w:r>
        <w:rPr>
          <w:rFonts w:hint="default" w:ascii="Times New Roman" w:hAnsi="Times New Roman" w:eastAsia="宋体" w:cs="Times New Roman"/>
          <w:spacing w:val="-2"/>
          <w:kern w:val="2"/>
          <w:sz w:val="24"/>
          <w:szCs w:val="24"/>
          <w:highlight w:val="none"/>
          <w:lang w:val="en-US" w:eastAsia="zh-CN" w:bidi="ar-SA"/>
        </w:rPr>
        <w:t>）检验：在实验室对成品进行成分检验，看是否拌合均匀，不合格产品将会回用到工艺进行重新搅拌。</w:t>
      </w:r>
    </w:p>
    <w:p w14:paraId="5EE74A45">
      <w:pPr>
        <w:keepNext w:val="0"/>
        <w:keepLines w:val="0"/>
        <w:pageBreakBefore w:val="0"/>
        <w:widowControl w:val="0"/>
        <w:kinsoku/>
        <w:wordWrap/>
        <w:overflowPunct/>
        <w:topLinePunct w:val="0"/>
        <w:autoSpaceDE/>
        <w:autoSpaceDN/>
        <w:bidi w:val="0"/>
        <w:adjustRightInd/>
        <w:snapToGrid/>
        <w:spacing w:line="360" w:lineRule="auto"/>
        <w:ind w:left="0" w:leftChars="0" w:firstLine="472" w:firstLineChars="200"/>
        <w:jc w:val="both"/>
        <w:textAlignment w:val="auto"/>
        <w:rPr>
          <w:rFonts w:hint="eastAsia"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kern w:val="2"/>
          <w:sz w:val="24"/>
          <w:szCs w:val="24"/>
          <w:highlight w:val="none"/>
          <w:lang w:val="en-US" w:eastAsia="zh-CN" w:bidi="ar-SA"/>
        </w:rPr>
        <w:t>（</w:t>
      </w:r>
      <w:r>
        <w:rPr>
          <w:rFonts w:hint="eastAsia" w:eastAsia="宋体" w:cs="Times New Roman"/>
          <w:spacing w:val="-2"/>
          <w:kern w:val="2"/>
          <w:sz w:val="24"/>
          <w:szCs w:val="24"/>
          <w:highlight w:val="none"/>
          <w:lang w:val="en-US" w:eastAsia="zh-CN" w:bidi="ar-SA"/>
        </w:rPr>
        <w:t>4</w:t>
      </w:r>
      <w:r>
        <w:rPr>
          <w:rFonts w:hint="default" w:ascii="Times New Roman" w:hAnsi="Times New Roman" w:eastAsia="宋体" w:cs="Times New Roman"/>
          <w:spacing w:val="-2"/>
          <w:kern w:val="2"/>
          <w:sz w:val="24"/>
          <w:szCs w:val="24"/>
          <w:highlight w:val="none"/>
          <w:lang w:val="en-US" w:eastAsia="zh-CN" w:bidi="ar-SA"/>
        </w:rPr>
        <w:t>）成品包装：将成品进行包装</w:t>
      </w:r>
      <w:r>
        <w:rPr>
          <w:rFonts w:hint="default" w:eastAsia="宋体" w:cs="Times New Roman"/>
          <w:spacing w:val="-2"/>
          <w:kern w:val="2"/>
          <w:sz w:val="24"/>
          <w:szCs w:val="24"/>
          <w:highlight w:val="none"/>
          <w:lang w:val="en-US" w:eastAsia="zh-CN" w:bidi="ar-SA"/>
        </w:rPr>
        <w:t>，产品是硅油</w:t>
      </w:r>
      <w:r>
        <w:rPr>
          <w:rFonts w:hint="default" w:ascii="Times New Roman" w:hAnsi="Times New Roman" w:eastAsia="宋体" w:cs="Times New Roman"/>
          <w:spacing w:val="-2"/>
          <w:kern w:val="2"/>
          <w:sz w:val="24"/>
          <w:szCs w:val="24"/>
          <w:highlight w:val="none"/>
          <w:lang w:val="en-US" w:eastAsia="zh-CN" w:bidi="ar-SA"/>
        </w:rPr>
        <w:t>。</w:t>
      </w:r>
    </w:p>
    <w:p w14:paraId="53A780A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spacing w:val="-2"/>
          <w:sz w:val="24"/>
          <w:szCs w:val="24"/>
          <w:highlight w:val="none"/>
          <w:lang w:val="en-US" w:eastAsia="zh-CN"/>
        </w:rPr>
      </w:pPr>
      <w:r>
        <w:rPr>
          <w:rFonts w:hint="eastAsia" w:eastAsia="宋体" w:cs="Times New Roman"/>
          <w:b/>
          <w:bCs/>
          <w:spacing w:val="-2"/>
          <w:sz w:val="24"/>
          <w:szCs w:val="24"/>
          <w:highlight w:val="none"/>
          <w:lang w:val="en-US" w:eastAsia="zh-CN"/>
        </w:rPr>
        <w:t>2、防染剂</w:t>
      </w:r>
      <w:r>
        <w:rPr>
          <w:rFonts w:hint="eastAsia" w:eastAsia="宋体"/>
          <w:b/>
          <w:bCs/>
          <w:spacing w:val="-2"/>
          <w:sz w:val="24"/>
          <w:szCs w:val="24"/>
          <w:highlight w:val="none"/>
        </w:rPr>
        <w:t>复配工艺流程及产污环节</w:t>
      </w:r>
    </w:p>
    <w:p w14:paraId="18AB0D78">
      <w:pPr>
        <w:keepNext w:val="0"/>
        <w:keepLines w:val="0"/>
        <w:pageBreakBefore w:val="0"/>
        <w:widowControl w:val="0"/>
        <w:kinsoku/>
        <w:wordWrap/>
        <w:overflowPunct/>
        <w:topLinePunct w:val="0"/>
        <w:autoSpaceDE/>
        <w:autoSpaceDN/>
        <w:bidi w:val="0"/>
        <w:adjustRightInd/>
        <w:snapToGrid/>
        <w:spacing w:line="360" w:lineRule="auto"/>
        <w:ind w:left="0" w:leftChars="0" w:firstLine="474" w:firstLineChars="200"/>
        <w:jc w:val="center"/>
        <w:textAlignment w:val="auto"/>
        <w:rPr>
          <w:rFonts w:hint="eastAsia" w:ascii="Times New Roman" w:hAnsi="Times New Roman" w:eastAsia="宋体" w:cs="Times New Roman"/>
          <w:b/>
          <w:bCs/>
          <w:spacing w:val="-2"/>
          <w:sz w:val="24"/>
          <w:szCs w:val="24"/>
          <w:highlight w:val="none"/>
          <w:lang w:val="en-US" w:eastAsia="zh-CN"/>
        </w:rPr>
      </w:pPr>
      <w:r>
        <w:rPr>
          <w:rFonts w:hint="eastAsia" w:ascii="Times New Roman" w:hAnsi="Times New Roman" w:eastAsia="宋体" w:cs="Times New Roman"/>
          <w:b/>
          <w:bCs/>
          <w:spacing w:val="-2"/>
          <w:sz w:val="24"/>
          <w:szCs w:val="24"/>
          <w:highlight w:val="none"/>
          <w:lang w:val="en-US" w:eastAsia="zh-CN"/>
        </w:rPr>
        <w:drawing>
          <wp:inline distT="0" distB="0" distL="114300" distR="114300">
            <wp:extent cx="1619250" cy="2209800"/>
            <wp:effectExtent l="0" t="0" r="0" b="0"/>
            <wp:docPr id="55" name="图片 55" descr="874510218bee1953035dedcebbf1f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874510218bee1953035dedcebbf1f3c"/>
                    <pic:cNvPicPr>
                      <a:picLocks noChangeAspect="1"/>
                    </pic:cNvPicPr>
                  </pic:nvPicPr>
                  <pic:blipFill>
                    <a:blip r:embed="rId24"/>
                    <a:stretch>
                      <a:fillRect/>
                    </a:stretch>
                  </pic:blipFill>
                  <pic:spPr>
                    <a:xfrm>
                      <a:off x="0" y="0"/>
                      <a:ext cx="1619250" cy="2209800"/>
                    </a:xfrm>
                    <a:prstGeom prst="rect">
                      <a:avLst/>
                    </a:prstGeom>
                  </pic:spPr>
                </pic:pic>
              </a:graphicData>
            </a:graphic>
          </wp:inline>
        </w:drawing>
      </w:r>
    </w:p>
    <w:p w14:paraId="01A00EC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spacing w:val="-2"/>
          <w:sz w:val="24"/>
          <w:szCs w:val="24"/>
          <w:highlight w:val="none"/>
          <w:lang w:val="en-US" w:eastAsia="zh-CN"/>
        </w:rPr>
      </w:pPr>
      <w:r>
        <w:rPr>
          <w:rFonts w:hint="eastAsia" w:eastAsia="宋体" w:cs="Times New Roman"/>
          <w:b/>
          <w:bCs/>
          <w:spacing w:val="-2"/>
          <w:sz w:val="24"/>
          <w:szCs w:val="24"/>
          <w:highlight w:val="none"/>
          <w:u w:val="none"/>
          <w:lang w:val="en-US" w:eastAsia="zh-CN"/>
        </w:rPr>
        <w:t>图4.2-5   防染剂</w:t>
      </w:r>
      <w:r>
        <w:rPr>
          <w:rFonts w:hint="eastAsia" w:eastAsia="宋体"/>
          <w:b/>
          <w:bCs/>
          <w:spacing w:val="-2"/>
          <w:sz w:val="24"/>
          <w:szCs w:val="24"/>
          <w:highlight w:val="none"/>
          <w:u w:val="none"/>
          <w:lang w:val="en-US" w:eastAsia="zh-CN"/>
        </w:rPr>
        <w:t>复配工艺流程及产污环节图</w:t>
      </w:r>
      <w:r>
        <w:rPr>
          <w:rFonts w:hint="eastAsia" w:eastAsia="宋体" w:cs="Times New Roman"/>
          <w:b/>
          <w:bCs/>
          <w:color w:val="000000" w:themeColor="text1"/>
          <w:spacing w:val="-3"/>
          <w:kern w:val="0"/>
          <w:sz w:val="24"/>
          <w:szCs w:val="20"/>
          <w:highlight w:val="none"/>
          <w:u w:val="none"/>
          <w:lang w:val="en-US" w:eastAsia="zh-CN" w:bidi="ar-SA"/>
          <w14:textFill>
            <w14:solidFill>
              <w14:schemeClr w14:val="tx1"/>
            </w14:solidFill>
          </w14:textFill>
        </w:rPr>
        <w:t>（生产线5#）</w:t>
      </w:r>
    </w:p>
    <w:p w14:paraId="276B8AFD">
      <w:pPr>
        <w:keepNext w:val="0"/>
        <w:keepLines w:val="0"/>
        <w:pageBreakBefore w:val="0"/>
        <w:widowControl w:val="0"/>
        <w:kinsoku/>
        <w:wordWrap/>
        <w:overflowPunct/>
        <w:topLinePunct w:val="0"/>
        <w:autoSpaceDE/>
        <w:autoSpaceDN/>
        <w:bidi w:val="0"/>
        <w:adjustRightInd/>
        <w:snapToGrid/>
        <w:spacing w:line="360" w:lineRule="auto"/>
        <w:ind w:left="0" w:leftChars="0" w:firstLine="474" w:firstLineChars="200"/>
        <w:jc w:val="both"/>
        <w:textAlignment w:val="auto"/>
        <w:rPr>
          <w:rFonts w:hint="eastAsia" w:ascii="Times New Roman" w:hAnsi="Times New Roman" w:eastAsia="宋体" w:cs="Times New Roman"/>
          <w:color w:val="000000"/>
          <w:kern w:val="0"/>
          <w:sz w:val="21"/>
          <w:szCs w:val="21"/>
          <w:highlight w:val="none"/>
          <w:lang w:val="en-US" w:eastAsia="zh-CN"/>
        </w:rPr>
      </w:pPr>
      <w:r>
        <w:rPr>
          <w:rFonts w:hint="eastAsia" w:eastAsia="宋体" w:cs="Times New Roman"/>
          <w:b/>
          <w:bCs/>
          <w:spacing w:val="-2"/>
          <w:sz w:val="24"/>
          <w:szCs w:val="24"/>
          <w:highlight w:val="none"/>
          <w:u w:val="none"/>
          <w:lang w:val="en-US" w:eastAsia="zh-CN"/>
        </w:rPr>
        <w:t>防染剂</w:t>
      </w:r>
      <w:r>
        <w:rPr>
          <w:rFonts w:hint="eastAsia" w:ascii="Times New Roman" w:hAnsi="Times New Roman" w:eastAsia="宋体" w:cs="Times New Roman"/>
          <w:b/>
          <w:bCs/>
          <w:spacing w:val="-2"/>
          <w:sz w:val="24"/>
          <w:szCs w:val="24"/>
          <w:highlight w:val="none"/>
          <w:lang w:val="en-US" w:eastAsia="zh-CN"/>
        </w:rPr>
        <w:t>复配工艺</w:t>
      </w:r>
      <w:r>
        <w:rPr>
          <w:rFonts w:hint="default" w:ascii="Times New Roman" w:hAnsi="Times New Roman" w:eastAsia="宋体" w:cs="Times New Roman"/>
          <w:b/>
          <w:bCs/>
          <w:spacing w:val="-2"/>
          <w:sz w:val="24"/>
          <w:szCs w:val="24"/>
          <w:highlight w:val="none"/>
          <w:lang w:val="en-US" w:eastAsia="zh-CN"/>
        </w:rPr>
        <w:t>流程简述</w:t>
      </w:r>
      <w:r>
        <w:rPr>
          <w:rFonts w:hint="eastAsia" w:eastAsia="宋体" w:cs="Times New Roman"/>
          <w:spacing w:val="-2"/>
          <w:sz w:val="24"/>
          <w:szCs w:val="24"/>
          <w:highlight w:val="none"/>
          <w:lang w:val="en-US" w:eastAsia="zh-CN"/>
        </w:rPr>
        <w:t>：</w:t>
      </w:r>
    </w:p>
    <w:p w14:paraId="196DCCCD">
      <w:pPr>
        <w:ind w:firstLine="480" w:firstLineChars="200"/>
        <w:rPr>
          <w:rFonts w:hint="eastAsia" w:ascii="Times New Roman" w:hAnsi="Times New Roman" w:eastAsia="宋体" w:cs="Times New Roman"/>
          <w:spacing w:val="-2"/>
          <w:sz w:val="24"/>
          <w:szCs w:val="24"/>
          <w:highlight w:val="none"/>
          <w:lang w:val="en-US" w:eastAsia="zh-CN"/>
        </w:rPr>
      </w:pPr>
      <w:r>
        <w:rPr>
          <w:rFonts w:hint="eastAsia" w:cs="Times New Roman" w:eastAsiaTheme="minorEastAsia"/>
          <w:color w:val="auto"/>
          <w:kern w:val="0"/>
          <w:sz w:val="24"/>
          <w:szCs w:val="24"/>
          <w:highlight w:val="yellow"/>
          <w:lang w:val="en-US" w:eastAsia="zh-CN" w:bidi="ar-SA"/>
        </w:rPr>
        <w:t>（1）</w:t>
      </w:r>
      <w:r>
        <w:rPr>
          <w:rFonts w:hint="eastAsia" w:ascii="Times New Roman" w:hAnsi="Times New Roman" w:cs="Times New Roman" w:eastAsiaTheme="minorEastAsia"/>
          <w:color w:val="auto"/>
          <w:kern w:val="0"/>
          <w:sz w:val="24"/>
          <w:szCs w:val="24"/>
          <w:highlight w:val="yellow"/>
          <w:lang w:val="en-US" w:eastAsia="zh-CN" w:bidi="ar-SA"/>
        </w:rPr>
        <w:t>称料混合搅拌：</w:t>
      </w:r>
      <w:r>
        <w:rPr>
          <w:rFonts w:hint="eastAsia" w:ascii="Times New Roman" w:hAnsi="Times New Roman" w:eastAsia="宋体" w:cs="Times New Roman"/>
          <w:color w:val="auto"/>
          <w:spacing w:val="-2"/>
          <w:sz w:val="24"/>
          <w:szCs w:val="24"/>
          <w:highlight w:val="yellow"/>
          <w:lang w:val="en-US" w:eastAsia="zh-CN"/>
        </w:rPr>
        <w:t>防染剂的生产是在密闭的固体助剂车间向3T的</w:t>
      </w:r>
      <w:r>
        <w:rPr>
          <w:rFonts w:hint="default" w:ascii="Times New Roman" w:hAnsi="Times New Roman" w:eastAsia="宋体" w:cs="Times New Roman"/>
          <w:color w:val="auto"/>
          <w:spacing w:val="-2"/>
          <w:sz w:val="24"/>
          <w:szCs w:val="24"/>
          <w:highlight w:val="yellow"/>
          <w:lang w:val="en-US" w:eastAsia="zh-CN"/>
        </w:rPr>
        <w:t>电加热搅拌釜</w:t>
      </w:r>
      <w:r>
        <w:rPr>
          <w:rFonts w:hint="eastAsia" w:ascii="Times New Roman" w:hAnsi="Times New Roman" w:eastAsia="宋体" w:cs="Times New Roman"/>
          <w:color w:val="auto"/>
          <w:spacing w:val="-2"/>
          <w:sz w:val="24"/>
          <w:szCs w:val="24"/>
          <w:highlight w:val="yellow"/>
          <w:lang w:val="en-US" w:eastAsia="zh-CN"/>
        </w:rPr>
        <w:t>中，</w:t>
      </w:r>
      <w:r>
        <w:rPr>
          <w:rFonts w:hint="eastAsia" w:eastAsia="宋体" w:cs="Times New Roman"/>
          <w:color w:val="auto"/>
          <w:kern w:val="0"/>
          <w:sz w:val="24"/>
          <w:szCs w:val="24"/>
          <w:highlight w:val="yellow"/>
          <w:u w:val="none"/>
          <w:lang w:val="en-US" w:eastAsia="zh-CN"/>
        </w:rPr>
        <w:t>取</w:t>
      </w:r>
      <w:r>
        <w:rPr>
          <w:rFonts w:hint="eastAsia" w:ascii="Times New Roman" w:hAnsi="Times New Roman" w:eastAsia="宋体" w:cs="Times New Roman"/>
          <w:color w:val="auto"/>
          <w:kern w:val="0"/>
          <w:sz w:val="24"/>
          <w:szCs w:val="24"/>
          <w:highlight w:val="yellow"/>
          <w:u w:val="none"/>
          <w:lang w:val="en-US" w:eastAsia="zh-CN"/>
        </w:rPr>
        <w:t>本项目</w:t>
      </w:r>
      <w:r>
        <w:rPr>
          <w:rFonts w:hint="eastAsia" w:eastAsia="宋体" w:cs="Times New Roman"/>
          <w:color w:val="auto"/>
          <w:kern w:val="0"/>
          <w:sz w:val="24"/>
          <w:szCs w:val="24"/>
          <w:highlight w:val="yellow"/>
          <w:u w:val="none"/>
          <w:lang w:val="en-US" w:eastAsia="zh-CN"/>
        </w:rPr>
        <w:t>防染粉1#中间</w:t>
      </w:r>
      <w:r>
        <w:rPr>
          <w:rFonts w:hint="eastAsia" w:ascii="Times New Roman" w:hAnsi="Times New Roman" w:eastAsia="宋体" w:cs="Times New Roman"/>
          <w:color w:val="auto"/>
          <w:kern w:val="0"/>
          <w:sz w:val="24"/>
          <w:szCs w:val="24"/>
          <w:highlight w:val="yellow"/>
          <w:u w:val="none"/>
          <w:lang w:val="en-US" w:eastAsia="zh-CN"/>
        </w:rPr>
        <w:t>产品</w:t>
      </w:r>
      <w:r>
        <w:rPr>
          <w:rFonts w:hint="eastAsia" w:eastAsia="宋体" w:cs="Times New Roman"/>
          <w:color w:val="auto"/>
          <w:kern w:val="0"/>
          <w:sz w:val="24"/>
          <w:szCs w:val="24"/>
          <w:highlight w:val="yellow"/>
          <w:u w:val="none"/>
          <w:lang w:val="en-US" w:eastAsia="zh-CN"/>
        </w:rPr>
        <w:t>（</w:t>
      </w:r>
      <w:r>
        <w:rPr>
          <w:rFonts w:hint="eastAsia" w:ascii="Times New Roman" w:hAnsi="Times New Roman" w:eastAsia="宋体" w:cs="Times New Roman"/>
          <w:color w:val="auto"/>
          <w:kern w:val="0"/>
          <w:sz w:val="24"/>
          <w:szCs w:val="24"/>
          <w:highlight w:val="yellow"/>
          <w:u w:val="none"/>
          <w:lang w:val="en-US" w:eastAsia="zh-CN"/>
        </w:rPr>
        <w:t>20%</w:t>
      </w:r>
      <w:r>
        <w:rPr>
          <w:rFonts w:hint="eastAsia" w:eastAsia="宋体" w:cs="Times New Roman"/>
          <w:color w:val="auto"/>
          <w:kern w:val="0"/>
          <w:sz w:val="24"/>
          <w:szCs w:val="24"/>
          <w:highlight w:val="yellow"/>
          <w:u w:val="none"/>
          <w:lang w:val="en-US" w:eastAsia="zh-CN"/>
        </w:rPr>
        <w:t>助剂粉剂</w:t>
      </w:r>
      <w:r>
        <w:rPr>
          <w:rFonts w:hint="eastAsia" w:ascii="Times New Roman" w:hAnsi="Times New Roman" w:eastAsia="宋体" w:cs="Times New Roman"/>
          <w:color w:val="auto"/>
          <w:kern w:val="0"/>
          <w:sz w:val="24"/>
          <w:szCs w:val="24"/>
          <w:highlight w:val="yellow"/>
          <w:u w:val="none"/>
          <w:lang w:val="en-US" w:eastAsia="zh-CN"/>
        </w:rPr>
        <w:t>热浆</w:t>
      </w:r>
      <w:r>
        <w:rPr>
          <w:rFonts w:hint="eastAsia" w:eastAsia="宋体" w:cs="Times New Roman"/>
          <w:color w:val="auto"/>
          <w:kern w:val="0"/>
          <w:sz w:val="24"/>
          <w:szCs w:val="24"/>
          <w:highlight w:val="yellow"/>
          <w:u w:val="none"/>
          <w:lang w:val="en-US" w:eastAsia="zh-CN"/>
        </w:rPr>
        <w:t>）作为原材料</w:t>
      </w:r>
      <w:r>
        <w:rPr>
          <w:rFonts w:hint="eastAsia" w:ascii="Times New Roman" w:hAnsi="Times New Roman" w:eastAsia="宋体" w:cs="Times New Roman"/>
          <w:color w:val="auto"/>
          <w:kern w:val="0"/>
          <w:sz w:val="24"/>
          <w:szCs w:val="24"/>
          <w:highlight w:val="yellow"/>
          <w:u w:val="none"/>
          <w:lang w:val="en-US" w:eastAsia="zh-CN"/>
        </w:rPr>
        <w:t>加水开稀</w:t>
      </w:r>
      <w:r>
        <w:rPr>
          <w:rFonts w:hint="eastAsia" w:eastAsia="宋体" w:cs="Times New Roman"/>
          <w:color w:val="auto"/>
          <w:kern w:val="0"/>
          <w:sz w:val="24"/>
          <w:szCs w:val="24"/>
          <w:highlight w:val="yellow"/>
          <w:u w:val="none"/>
          <w:lang w:val="en-US" w:eastAsia="zh-CN"/>
        </w:rPr>
        <w:t>复配而成</w:t>
      </w:r>
      <w:r>
        <w:rPr>
          <w:rFonts w:hint="eastAsia" w:ascii="Times New Roman" w:hAnsi="Times New Roman" w:eastAsia="宋体" w:cs="Times New Roman"/>
          <w:color w:val="auto"/>
          <w:spacing w:val="-2"/>
          <w:sz w:val="24"/>
          <w:szCs w:val="24"/>
          <w:highlight w:val="yellow"/>
          <w:lang w:val="en-US" w:eastAsia="zh-CN"/>
        </w:rPr>
        <w:t>（用水包括自来水，不足的用各搅拌罐设备的清洗水</w:t>
      </w:r>
      <w:r>
        <w:rPr>
          <w:rFonts w:hint="default" w:ascii="Times New Roman" w:hAnsi="Times New Roman" w:eastAsia="宋体" w:cs="Times New Roman"/>
          <w:color w:val="auto"/>
          <w:spacing w:val="-2"/>
          <w:sz w:val="24"/>
          <w:szCs w:val="24"/>
          <w:highlight w:val="yellow"/>
          <w:lang w:val="en-US" w:eastAsia="zh-CN"/>
        </w:rPr>
        <w:t>回用于3T的助剂水剂搅拌罐</w:t>
      </w:r>
      <w:r>
        <w:rPr>
          <w:rFonts w:hint="eastAsia" w:ascii="Times New Roman" w:hAnsi="Times New Roman" w:eastAsia="宋体" w:cs="Times New Roman"/>
          <w:color w:val="auto"/>
          <w:spacing w:val="-2"/>
          <w:sz w:val="24"/>
          <w:szCs w:val="24"/>
          <w:highlight w:val="yellow"/>
          <w:lang w:val="en-US" w:eastAsia="zh-CN"/>
        </w:rPr>
        <w:t>补充</w:t>
      </w:r>
      <w:r>
        <w:rPr>
          <w:rFonts w:hint="eastAsia" w:eastAsia="宋体" w:cs="Times New Roman"/>
          <w:color w:val="auto"/>
          <w:spacing w:val="-2"/>
          <w:sz w:val="24"/>
          <w:szCs w:val="24"/>
          <w:highlight w:val="yellow"/>
          <w:lang w:val="en-US" w:eastAsia="zh-CN"/>
        </w:rPr>
        <w:t>，由于本项目搅拌罐清洗次数很少，每次用水量很少，同时</w:t>
      </w:r>
      <w:r>
        <w:rPr>
          <w:rFonts w:hint="eastAsia" w:ascii="Times New Roman" w:hAnsi="Times New Roman" w:eastAsia="宋体" w:cs="Times New Roman"/>
          <w:color w:val="auto"/>
          <w:spacing w:val="-2"/>
          <w:sz w:val="24"/>
          <w:szCs w:val="24"/>
          <w:highlight w:val="yellow"/>
          <w:lang w:val="en-US" w:eastAsia="zh-CN"/>
        </w:rPr>
        <w:t>各搅拌罐设备的清洗水</w:t>
      </w:r>
      <w:r>
        <w:rPr>
          <w:rFonts w:hint="eastAsia" w:eastAsia="宋体" w:cs="Times New Roman"/>
          <w:color w:val="auto"/>
          <w:spacing w:val="-2"/>
          <w:sz w:val="24"/>
          <w:szCs w:val="24"/>
          <w:highlight w:val="yellow"/>
          <w:lang w:val="en-US" w:eastAsia="zh-CN"/>
        </w:rPr>
        <w:t>中残留的少量原材料不影响防染剂产品质量，因此搅拌罐清洗水回用于生产助剂水剂——防染剂可行</w:t>
      </w:r>
      <w:r>
        <w:rPr>
          <w:rFonts w:hint="eastAsia" w:ascii="Times New Roman" w:hAnsi="Times New Roman" w:eastAsia="宋体" w:cs="Times New Roman"/>
          <w:color w:val="auto"/>
          <w:spacing w:val="-2"/>
          <w:sz w:val="24"/>
          <w:szCs w:val="24"/>
          <w:highlight w:val="yellow"/>
          <w:lang w:val="en-US" w:eastAsia="zh-CN"/>
        </w:rPr>
        <w:t>）。</w:t>
      </w:r>
      <w:r>
        <w:rPr>
          <w:rFonts w:hint="default" w:eastAsia="宋体" w:cs="Times New Roman"/>
          <w:spacing w:val="-2"/>
          <w:kern w:val="2"/>
          <w:sz w:val="24"/>
          <w:szCs w:val="24"/>
          <w:highlight w:val="none"/>
          <w:lang w:val="en-US" w:eastAsia="zh-CN" w:bidi="ar-SA"/>
        </w:rPr>
        <w:t>加热温度</w:t>
      </w:r>
      <w:r>
        <w:rPr>
          <w:rFonts w:hint="default" w:eastAsia="宋体" w:cs="Times New Roman"/>
          <w:spacing w:val="-2"/>
          <w:sz w:val="24"/>
          <w:szCs w:val="24"/>
          <w:highlight w:val="none"/>
          <w:lang w:val="en-US" w:eastAsia="zh-CN"/>
        </w:rPr>
        <w:t>50~80℃，加热是促进液态物质的溶解，方便充分融合。复配过程不发生化学变化</w:t>
      </w:r>
      <w:r>
        <w:rPr>
          <w:rFonts w:hint="eastAsia" w:eastAsia="宋体" w:cs="Times New Roman"/>
          <w:spacing w:val="-2"/>
          <w:sz w:val="24"/>
          <w:szCs w:val="24"/>
          <w:highlight w:val="none"/>
          <w:lang w:val="en-US" w:eastAsia="zh-CN"/>
        </w:rPr>
        <w:t>，</w:t>
      </w:r>
      <w:r>
        <w:rPr>
          <w:rFonts w:hint="default" w:ascii="Times New Roman" w:hAnsi="Times New Roman" w:eastAsia="宋体" w:cs="Times New Roman"/>
          <w:spacing w:val="-2"/>
          <w:kern w:val="2"/>
          <w:sz w:val="24"/>
          <w:szCs w:val="24"/>
          <w:highlight w:val="none"/>
          <w:lang w:val="en-US" w:eastAsia="zh-CN" w:bidi="ar-SA"/>
        </w:rPr>
        <w:t>搅拌过程中会有噪声</w:t>
      </w:r>
      <w:r>
        <w:rPr>
          <w:rFonts w:hint="default" w:eastAsia="宋体" w:cs="Times New Roman"/>
          <w:spacing w:val="-2"/>
          <w:kern w:val="2"/>
          <w:sz w:val="24"/>
          <w:szCs w:val="24"/>
          <w:highlight w:val="none"/>
          <w:lang w:val="en-US" w:eastAsia="zh-CN" w:bidi="ar-SA"/>
        </w:rPr>
        <w:t>。</w:t>
      </w:r>
    </w:p>
    <w:p w14:paraId="6E1AE2FF">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72" w:firstLineChars="200"/>
        <w:jc w:val="both"/>
        <w:textAlignment w:val="auto"/>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spacing w:val="-2"/>
          <w:sz w:val="24"/>
          <w:szCs w:val="24"/>
          <w:highlight w:val="none"/>
          <w:lang w:val="en-US" w:eastAsia="zh-CN"/>
        </w:rPr>
        <w:t>防染剂虽属于助剂水剂，因防染剂的生产需取</w:t>
      </w:r>
      <w:r>
        <w:rPr>
          <w:rFonts w:hint="eastAsia" w:eastAsia="宋体" w:cs="Times New Roman"/>
          <w:color w:val="auto"/>
          <w:kern w:val="0"/>
          <w:sz w:val="24"/>
          <w:szCs w:val="24"/>
          <w:highlight w:val="yellow"/>
          <w:u w:val="none"/>
          <w:lang w:val="en-US" w:eastAsia="zh-CN"/>
        </w:rPr>
        <w:t>防染粉1#中间</w:t>
      </w:r>
      <w:r>
        <w:rPr>
          <w:rFonts w:hint="eastAsia" w:ascii="Times New Roman" w:hAnsi="Times New Roman" w:eastAsia="宋体" w:cs="Times New Roman"/>
          <w:color w:val="auto"/>
          <w:kern w:val="0"/>
          <w:sz w:val="24"/>
          <w:szCs w:val="24"/>
          <w:highlight w:val="yellow"/>
          <w:u w:val="none"/>
          <w:lang w:val="en-US" w:eastAsia="zh-CN"/>
        </w:rPr>
        <w:t>产品</w:t>
      </w:r>
      <w:r>
        <w:rPr>
          <w:rFonts w:hint="eastAsia" w:eastAsia="宋体" w:cs="Times New Roman"/>
          <w:color w:val="auto"/>
          <w:kern w:val="0"/>
          <w:sz w:val="24"/>
          <w:szCs w:val="24"/>
          <w:highlight w:val="yellow"/>
          <w:u w:val="none"/>
          <w:lang w:val="en-US" w:eastAsia="zh-CN"/>
        </w:rPr>
        <w:t>（</w:t>
      </w:r>
      <w:r>
        <w:rPr>
          <w:rFonts w:hint="eastAsia" w:ascii="Times New Roman" w:hAnsi="Times New Roman" w:eastAsia="宋体" w:cs="Times New Roman"/>
          <w:spacing w:val="-2"/>
          <w:sz w:val="24"/>
          <w:szCs w:val="24"/>
          <w:highlight w:val="none"/>
          <w:lang w:val="en-US" w:eastAsia="zh-CN"/>
        </w:rPr>
        <w:t>助剂粉剂</w:t>
      </w:r>
      <w:r>
        <w:rPr>
          <w:rFonts w:hint="eastAsia" w:ascii="Times New Roman" w:hAnsi="Times New Roman" w:eastAsia="宋体" w:cs="Times New Roman"/>
          <w:color w:val="auto"/>
          <w:kern w:val="0"/>
          <w:sz w:val="24"/>
          <w:szCs w:val="24"/>
          <w:highlight w:val="yellow"/>
          <w:u w:val="none"/>
          <w:lang w:val="en-US" w:eastAsia="zh-CN"/>
        </w:rPr>
        <w:t>20%热浆</w:t>
      </w:r>
      <w:r>
        <w:rPr>
          <w:rFonts w:hint="eastAsia" w:eastAsia="宋体" w:cs="Times New Roman"/>
          <w:color w:val="auto"/>
          <w:kern w:val="0"/>
          <w:sz w:val="24"/>
          <w:szCs w:val="24"/>
          <w:highlight w:val="yellow"/>
          <w:u w:val="none"/>
          <w:lang w:val="en-US" w:eastAsia="zh-CN"/>
        </w:rPr>
        <w:t>）</w:t>
      </w:r>
      <w:r>
        <w:rPr>
          <w:rFonts w:hint="eastAsia" w:ascii="Times New Roman" w:hAnsi="Times New Roman" w:eastAsia="宋体" w:cs="Times New Roman"/>
          <w:spacing w:val="-2"/>
          <w:sz w:val="24"/>
          <w:szCs w:val="24"/>
          <w:highlight w:val="none"/>
          <w:lang w:val="en-US" w:eastAsia="zh-CN"/>
        </w:rPr>
        <w:t>，而助剂粉剂热熔浆冷却时产生有机废气，为防止废气扩散至车间外，</w:t>
      </w:r>
      <w:r>
        <w:rPr>
          <w:rFonts w:hint="eastAsia" w:eastAsia="宋体" w:cs="Times New Roman"/>
          <w:spacing w:val="-2"/>
          <w:sz w:val="24"/>
          <w:szCs w:val="24"/>
          <w:highlight w:val="none"/>
          <w:lang w:val="en-US" w:eastAsia="zh-CN"/>
        </w:rPr>
        <w:t>所以</w:t>
      </w:r>
      <w:r>
        <w:rPr>
          <w:rFonts w:hint="eastAsia" w:ascii="Times New Roman" w:hAnsi="Times New Roman" w:eastAsia="宋体" w:cs="Times New Roman"/>
          <w:spacing w:val="-2"/>
          <w:sz w:val="24"/>
          <w:szCs w:val="24"/>
          <w:highlight w:val="none"/>
          <w:lang w:val="en-US" w:eastAsia="zh-CN"/>
        </w:rPr>
        <w:t>防染剂的</w:t>
      </w:r>
      <w:r>
        <w:rPr>
          <w:rFonts w:hint="default" w:ascii="Times New Roman" w:hAnsi="Times New Roman" w:eastAsia="宋体" w:cs="Times New Roman"/>
          <w:spacing w:val="-2"/>
          <w:sz w:val="24"/>
          <w:szCs w:val="24"/>
          <w:highlight w:val="none"/>
          <w:lang w:val="en-US" w:eastAsia="zh-CN"/>
        </w:rPr>
        <w:t>电加热搅拌釜</w:t>
      </w:r>
      <w:r>
        <w:rPr>
          <w:rFonts w:hint="eastAsia" w:ascii="Times New Roman" w:hAnsi="Times New Roman" w:eastAsia="宋体" w:cs="Times New Roman"/>
          <w:spacing w:val="-2"/>
          <w:sz w:val="24"/>
          <w:szCs w:val="24"/>
          <w:highlight w:val="none"/>
          <w:lang w:val="en-US" w:eastAsia="zh-CN"/>
        </w:rPr>
        <w:t>（3T）设置在固体助剂车间。</w:t>
      </w:r>
    </w:p>
    <w:p w14:paraId="0CB60A3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）放料装桶：将拌合好的产品放入桶中，可能会产生</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有机废气、</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噪声</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p>
    <w:p w14:paraId="45FD07B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（4）检验：在实验室对成品进行成分检验，看是否拌合均匀，不合格产品将会回用到工艺进行重新搅拌。</w:t>
      </w:r>
    </w:p>
    <w:p w14:paraId="4188096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（5）成品包装：将成品进行包装</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，产品是防染剂</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p>
    <w:p w14:paraId="364D3EA1">
      <w:pPr>
        <w:pStyle w:val="7"/>
        <w:bidi w:val="0"/>
        <w:rPr>
          <w:rFonts w:hint="eastAsia"/>
          <w:highlight w:val="none"/>
        </w:rPr>
      </w:pPr>
      <w:bookmarkStart w:id="108" w:name="_Toc9667"/>
      <w:r>
        <w:rPr>
          <w:rFonts w:hint="eastAsia"/>
          <w:highlight w:val="none"/>
          <w:lang w:val="en-US" w:eastAsia="zh-CN"/>
        </w:rPr>
        <w:t>4.2.4</w:t>
      </w:r>
      <w:r>
        <w:rPr>
          <w:rFonts w:hint="eastAsia"/>
          <w:highlight w:val="none"/>
        </w:rPr>
        <w:t xml:space="preserve"> 物料平衡</w:t>
      </w:r>
      <w:bookmarkEnd w:id="108"/>
    </w:p>
    <w:p w14:paraId="297DAC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本项目物料平衡见下表。</w:t>
      </w:r>
    </w:p>
    <w:p w14:paraId="703350E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p>
    <w:p w14:paraId="1303152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t>表4.2-1 物料平衡表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1"/>
        <w:gridCol w:w="2042"/>
        <w:gridCol w:w="1380"/>
        <w:gridCol w:w="1230"/>
        <w:gridCol w:w="1842"/>
        <w:gridCol w:w="1287"/>
      </w:tblGrid>
      <w:tr w14:paraId="79935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43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9121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入方</w:t>
            </w:r>
          </w:p>
        </w:tc>
        <w:tc>
          <w:tcPr>
            <w:tcW w:w="256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3213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出方</w:t>
            </w:r>
          </w:p>
        </w:tc>
      </w:tr>
      <w:tr w14:paraId="0CECE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65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分类</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2B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物料名称</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DBA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t/a</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6B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分类</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C1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物料名称</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4F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t/a</w:t>
            </w:r>
          </w:p>
        </w:tc>
      </w:tr>
      <w:tr w14:paraId="349B6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40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原料</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154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固态纤维素酶</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82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B62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产品</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F3C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酶制剂粉剂</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B2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r>
      <w:tr w14:paraId="510A3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7A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C3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元明粉</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BF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95E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385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酶制剂水剂</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2F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w:t>
            </w:r>
          </w:p>
        </w:tc>
      </w:tr>
      <w:tr w14:paraId="6DBBD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269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926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三聚磷酸钠</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D4E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91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9E1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硅油</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F8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585</w:t>
            </w:r>
          </w:p>
        </w:tc>
      </w:tr>
      <w:tr w14:paraId="2B4C0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227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BD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液态纤维素酶</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DF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A8F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A7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防染剂</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3E2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315</w:t>
            </w:r>
          </w:p>
        </w:tc>
      </w:tr>
      <w:tr w14:paraId="02B27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7D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F0B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盐</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962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E3C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B29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防染粉（1#）</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687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r>
      <w:tr w14:paraId="3D89E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B2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49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山梨醇</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EB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B88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86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防染粉（1#）</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28F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r>
      <w:tr w14:paraId="1D3CF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E84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83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纯水</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7CA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E8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废气</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B3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有机废气</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1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0.3364</w:t>
            </w:r>
          </w:p>
        </w:tc>
      </w:tr>
      <w:tr w14:paraId="75322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B2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7C2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硅油</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F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233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51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粉尘</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27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0.0134</w:t>
            </w:r>
          </w:p>
        </w:tc>
      </w:tr>
      <w:tr w14:paraId="50B9C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29B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B7D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本项目防染粉（1#）中间产品约20%热浆</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B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7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E70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固废</w:t>
            </w: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96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布袋除尘器收集粉尘</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C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2.127</w:t>
            </w:r>
          </w:p>
        </w:tc>
      </w:tr>
      <w:tr w14:paraId="5AE50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0C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7DA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自来水</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B84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486.1834</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68E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7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地面收集粉尘</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A8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0.1206</w:t>
            </w:r>
          </w:p>
        </w:tc>
      </w:tr>
      <w:tr w14:paraId="600AA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9B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53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聚乙二醇4000</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E79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EC9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72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废活性炭吸收的VOCs量</w:t>
            </w:r>
          </w:p>
        </w:tc>
        <w:tc>
          <w:tcPr>
            <w:tcW w:w="7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E23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0.8336</w:t>
            </w:r>
          </w:p>
        </w:tc>
      </w:tr>
      <w:tr w14:paraId="40F94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43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6A5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聚酯切片</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911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8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83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本项目防染粉（1#）中间产品约20%热浆</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652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r>
      <w:tr w14:paraId="36DD1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6A8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60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平平加</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3D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18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C60D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防染粉（</w:t>
            </w:r>
            <w:r>
              <w:rPr>
                <w:rStyle w:val="59"/>
                <w:rFonts w:hint="default" w:ascii="Times New Roman" w:hAnsi="Times New Roman" w:eastAsia="宋体" w:cs="Times New Roman"/>
                <w:sz w:val="21"/>
                <w:szCs w:val="21"/>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）最终产品的</w:t>
            </w:r>
            <w:r>
              <w:rPr>
                <w:rStyle w:val="59"/>
                <w:rFonts w:hint="default" w:ascii="Times New Roman" w:hAnsi="Times New Roman" w:eastAsia="宋体" w:cs="Times New Roman"/>
                <w:sz w:val="21"/>
                <w:szCs w:val="21"/>
                <w:lang w:val="en-US" w:eastAsia="zh-CN" w:bidi="ar"/>
              </w:rPr>
              <w:t>10%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310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r>
      <w:tr w14:paraId="3E12B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6AD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D28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防染粉（</w:t>
            </w:r>
            <w:r>
              <w:rPr>
                <w:rStyle w:val="59"/>
                <w:rFonts w:hint="default" w:ascii="Times New Roman" w:hAnsi="Times New Roman" w:eastAsia="宋体" w:cs="Times New Roman"/>
                <w:sz w:val="21"/>
                <w:szCs w:val="21"/>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）最终产品的</w:t>
            </w:r>
            <w:r>
              <w:rPr>
                <w:rStyle w:val="59"/>
                <w:rFonts w:hint="default" w:ascii="Times New Roman" w:hAnsi="Times New Roman" w:eastAsia="宋体" w:cs="Times New Roman"/>
                <w:sz w:val="21"/>
                <w:szCs w:val="21"/>
                <w:lang w:val="en-US" w:eastAsia="zh-CN" w:bidi="ar"/>
              </w:rPr>
              <w:t>10%</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F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A7E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55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A4D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70482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F16F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回用原料</w:t>
            </w: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D2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布袋除尘器收集粉尘</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B7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2.127</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598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C43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B2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7B117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096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F1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地面收集粉尘</w:t>
            </w:r>
          </w:p>
        </w:tc>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99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0.1206</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FB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10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BE2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C81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u w:val="none"/>
              </w:rPr>
            </w:pPr>
          </w:p>
        </w:tc>
      </w:tr>
      <w:tr w14:paraId="51057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6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4B9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8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E51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5164.4310 </w:t>
            </w:r>
          </w:p>
        </w:tc>
        <w:tc>
          <w:tcPr>
            <w:tcW w:w="18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6D6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96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5164.431</w:t>
            </w:r>
          </w:p>
        </w:tc>
      </w:tr>
    </w:tbl>
    <w:p w14:paraId="0621C91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p>
    <w:p w14:paraId="126BD12C">
      <w:pPr>
        <w:pStyle w:val="7"/>
        <w:bidi w:val="0"/>
        <w:rPr>
          <w:highlight w:val="none"/>
        </w:rPr>
      </w:pPr>
      <w:bookmarkStart w:id="109" w:name="_Toc15558"/>
      <w:r>
        <w:rPr>
          <w:rFonts w:hint="eastAsia"/>
          <w:highlight w:val="none"/>
          <w:lang w:val="en-US" w:eastAsia="zh-CN"/>
        </w:rPr>
        <w:t xml:space="preserve">4.2.5 </w:t>
      </w:r>
      <w:r>
        <w:rPr>
          <w:highlight w:val="none"/>
        </w:rPr>
        <w:t>产污环节汇总</w:t>
      </w:r>
      <w:bookmarkEnd w:id="109"/>
    </w:p>
    <w:p w14:paraId="3A91C3AF">
      <w:pPr>
        <w:pStyle w:val="2"/>
        <w:spacing w:before="218" w:line="219" w:lineRule="auto"/>
        <w:ind w:left="502"/>
        <w:rPr>
          <w:highlight w:val="none"/>
        </w:rPr>
      </w:pPr>
      <w:r>
        <w:rPr>
          <w:spacing w:val="-2"/>
          <w:highlight w:val="none"/>
        </w:rPr>
        <w:t>产排污节点见下表</w:t>
      </w:r>
      <w:r>
        <w:rPr>
          <w:spacing w:val="-44"/>
          <w:highlight w:val="none"/>
        </w:rPr>
        <w:t xml:space="preserve"> </w:t>
      </w:r>
      <w:r>
        <w:rPr>
          <w:rFonts w:hint="eastAsia" w:eastAsia="宋体" w:cs="Times New Roman"/>
          <w:spacing w:val="-2"/>
          <w:highlight w:val="none"/>
          <w:lang w:val="en-US" w:eastAsia="zh-CN"/>
        </w:rPr>
        <w:t>4.2</w:t>
      </w:r>
      <w:r>
        <w:rPr>
          <w:rFonts w:ascii="Times New Roman" w:hAnsi="Times New Roman" w:eastAsia="Times New Roman" w:cs="Times New Roman"/>
          <w:spacing w:val="-2"/>
          <w:highlight w:val="none"/>
        </w:rPr>
        <w:t>-</w:t>
      </w:r>
      <w:r>
        <w:rPr>
          <w:rFonts w:hint="eastAsia" w:eastAsia="宋体" w:cs="Times New Roman"/>
          <w:spacing w:val="-2"/>
          <w:highlight w:val="none"/>
          <w:lang w:val="en-US" w:eastAsia="zh-CN"/>
        </w:rPr>
        <w:t>2</w:t>
      </w:r>
      <w:r>
        <w:rPr>
          <w:spacing w:val="-2"/>
          <w:highlight w:val="none"/>
        </w:rPr>
        <w:t>。</w:t>
      </w:r>
    </w:p>
    <w:p w14:paraId="412FBCB5">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t xml:space="preserve">表 </w:t>
      </w:r>
      <w:r>
        <w:rPr>
          <w:rFonts w:hint="eastAsia" w:cs="Times New Roman" w:eastAsiaTheme="minorEastAsia"/>
          <w:b/>
          <w:bCs/>
          <w:color w:val="000000" w:themeColor="text1"/>
          <w:kern w:val="0"/>
          <w:sz w:val="24"/>
          <w:szCs w:val="24"/>
          <w:highlight w:val="none"/>
          <w:lang w:val="en-US" w:eastAsia="zh-CN" w:bidi="ar-SA"/>
          <w14:textFill>
            <w14:solidFill>
              <w14:schemeClr w14:val="tx1"/>
            </w14:solidFill>
          </w14:textFill>
        </w:rPr>
        <w:t>4.2-2</w:t>
      </w:r>
      <w:r>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t xml:space="preserve"> 工程产排污节点一览表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2071"/>
        <w:gridCol w:w="2251"/>
        <w:gridCol w:w="3500"/>
      </w:tblGrid>
      <w:tr w14:paraId="630E3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405" w:type="pct"/>
            <w:tcBorders>
              <w:tl2br w:val="nil"/>
              <w:tr2bl w:val="nil"/>
            </w:tcBorders>
            <w:noWrap w:val="0"/>
            <w:vAlign w:val="center"/>
          </w:tcPr>
          <w:p w14:paraId="3B67B7D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216" w:type="pct"/>
            <w:tcBorders>
              <w:tl2br w:val="nil"/>
              <w:tr2bl w:val="nil"/>
            </w:tcBorders>
            <w:noWrap w:val="0"/>
            <w:vAlign w:val="center"/>
          </w:tcPr>
          <w:p w14:paraId="340871A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产生环节</w:t>
            </w:r>
          </w:p>
        </w:tc>
        <w:tc>
          <w:tcPr>
            <w:tcW w:w="1322" w:type="pct"/>
            <w:tcBorders>
              <w:tl2br w:val="nil"/>
              <w:tr2bl w:val="nil"/>
            </w:tcBorders>
            <w:noWrap w:val="0"/>
            <w:vAlign w:val="center"/>
          </w:tcPr>
          <w:p w14:paraId="5333666F">
            <w:pPr>
              <w:pStyle w:val="36"/>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spacing w:val="7"/>
                <w:sz w:val="21"/>
                <w:szCs w:val="21"/>
                <w:highlight w:val="none"/>
              </w:rPr>
              <w:t>主要污染因子</w:t>
            </w:r>
          </w:p>
        </w:tc>
        <w:tc>
          <w:tcPr>
            <w:tcW w:w="2055" w:type="pct"/>
            <w:tcBorders>
              <w:tl2br w:val="nil"/>
              <w:tr2bl w:val="nil"/>
            </w:tcBorders>
            <w:noWrap w:val="0"/>
            <w:vAlign w:val="center"/>
          </w:tcPr>
          <w:p w14:paraId="781D5D8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措施及去向</w:t>
            </w:r>
          </w:p>
        </w:tc>
      </w:tr>
      <w:tr w14:paraId="2318B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05" w:type="pct"/>
            <w:vMerge w:val="restart"/>
            <w:tcBorders>
              <w:tl2br w:val="nil"/>
              <w:tr2bl w:val="nil"/>
            </w:tcBorders>
            <w:noWrap w:val="0"/>
            <w:vAlign w:val="center"/>
          </w:tcPr>
          <w:p w14:paraId="7D64CFF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216" w:type="pct"/>
            <w:tcBorders>
              <w:tl2br w:val="nil"/>
              <w:tr2bl w:val="nil"/>
            </w:tcBorders>
            <w:noWrap w:val="0"/>
            <w:vAlign w:val="center"/>
          </w:tcPr>
          <w:p w14:paraId="72410B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投料、打粉</w:t>
            </w:r>
            <w:r>
              <w:rPr>
                <w:rFonts w:hint="default" w:ascii="Times New Roman" w:hAnsi="Times New Roman" w:eastAsia="宋体" w:cs="Times New Roman"/>
                <w:color w:val="auto"/>
                <w:sz w:val="21"/>
                <w:szCs w:val="21"/>
                <w:highlight w:val="none"/>
              </w:rPr>
              <w:t>粉尘</w:t>
            </w:r>
          </w:p>
        </w:tc>
        <w:tc>
          <w:tcPr>
            <w:tcW w:w="1322" w:type="pct"/>
            <w:tcBorders>
              <w:tl2br w:val="nil"/>
              <w:tr2bl w:val="nil"/>
            </w:tcBorders>
            <w:noWrap w:val="0"/>
            <w:vAlign w:val="center"/>
          </w:tcPr>
          <w:p w14:paraId="5C6655BB">
            <w:pPr>
              <w:pStyle w:val="36"/>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7"/>
                <w:sz w:val="21"/>
                <w:szCs w:val="21"/>
                <w:highlight w:val="none"/>
              </w:rPr>
              <w:t>颗粒物</w:t>
            </w:r>
          </w:p>
        </w:tc>
        <w:tc>
          <w:tcPr>
            <w:tcW w:w="2055" w:type="pct"/>
            <w:tcBorders>
              <w:tl2br w:val="nil"/>
              <w:tr2bl w:val="nil"/>
            </w:tcBorders>
            <w:noWrap w:val="0"/>
            <w:vAlign w:val="center"/>
          </w:tcPr>
          <w:p w14:paraId="18947F1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经布袋除尘器处理后在</w:t>
            </w:r>
            <w:r>
              <w:rPr>
                <w:rFonts w:hint="eastAsia" w:eastAsia="宋体" w:cs="Times New Roman"/>
                <w:color w:val="auto"/>
                <w:sz w:val="21"/>
                <w:szCs w:val="21"/>
                <w:highlight w:val="none"/>
                <w:lang w:val="en-US" w:eastAsia="zh-CN"/>
              </w:rPr>
              <w:t>车</w:t>
            </w:r>
            <w:r>
              <w:rPr>
                <w:rFonts w:hint="default" w:ascii="Times New Roman" w:hAnsi="Times New Roman" w:eastAsia="宋体" w:cs="Times New Roman"/>
                <w:color w:val="auto"/>
                <w:sz w:val="21"/>
                <w:szCs w:val="21"/>
                <w:highlight w:val="none"/>
                <w:lang w:val="en-US" w:eastAsia="zh-CN"/>
              </w:rPr>
              <w:t>间内</w:t>
            </w:r>
            <w:r>
              <w:rPr>
                <w:rFonts w:hint="default" w:ascii="Times New Roman" w:hAnsi="Times New Roman" w:eastAsia="宋体" w:cs="Times New Roman"/>
                <w:color w:val="auto"/>
                <w:sz w:val="21"/>
                <w:szCs w:val="21"/>
                <w:highlight w:val="none"/>
              </w:rPr>
              <w:t>无组织排放</w:t>
            </w:r>
          </w:p>
        </w:tc>
      </w:tr>
      <w:tr w14:paraId="703AC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77F287A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3352560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助剂粉剂冷却</w:t>
            </w:r>
            <w:r>
              <w:rPr>
                <w:rFonts w:hint="eastAsia" w:eastAsia="宋体" w:cs="Times New Roman"/>
                <w:color w:val="auto"/>
                <w:sz w:val="21"/>
                <w:szCs w:val="21"/>
                <w:highlight w:val="none"/>
                <w:lang w:val="en-US" w:eastAsia="zh-CN"/>
              </w:rPr>
              <w:t>放料</w:t>
            </w:r>
            <w:r>
              <w:rPr>
                <w:rFonts w:hint="default" w:ascii="Times New Roman" w:hAnsi="Times New Roman" w:eastAsia="宋体" w:cs="Times New Roman"/>
                <w:color w:val="auto"/>
                <w:sz w:val="21"/>
                <w:szCs w:val="21"/>
                <w:highlight w:val="none"/>
                <w:lang w:val="en-US" w:eastAsia="zh-CN"/>
              </w:rPr>
              <w:t>废气</w:t>
            </w:r>
          </w:p>
        </w:tc>
        <w:tc>
          <w:tcPr>
            <w:tcW w:w="1322" w:type="pct"/>
            <w:tcBorders>
              <w:tl2br w:val="nil"/>
              <w:tr2bl w:val="nil"/>
            </w:tcBorders>
            <w:noWrap w:val="0"/>
            <w:vAlign w:val="center"/>
          </w:tcPr>
          <w:p w14:paraId="484240C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VOC</w:t>
            </w:r>
            <w:r>
              <w:rPr>
                <w:rFonts w:hint="default" w:ascii="Times New Roman" w:hAnsi="Times New Roman" w:eastAsia="宋体" w:cs="Times New Roman"/>
                <w:color w:val="auto"/>
                <w:sz w:val="21"/>
                <w:szCs w:val="21"/>
                <w:highlight w:val="none"/>
                <w:lang w:val="en-US" w:eastAsia="zh-CN"/>
              </w:rPr>
              <w:t>s</w:t>
            </w:r>
          </w:p>
        </w:tc>
        <w:tc>
          <w:tcPr>
            <w:tcW w:w="2055" w:type="pct"/>
            <w:tcBorders>
              <w:tl2br w:val="nil"/>
              <w:tr2bl w:val="nil"/>
            </w:tcBorders>
            <w:noWrap w:val="0"/>
            <w:vAlign w:val="center"/>
          </w:tcPr>
          <w:p w14:paraId="288BD99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活性炭吸附</w:t>
            </w:r>
            <w:r>
              <w:rPr>
                <w:rFonts w:hint="default" w:ascii="Times New Roman" w:hAnsi="Times New Roman" w:eastAsia="宋体" w:cs="Times New Roman"/>
                <w:color w:val="auto"/>
                <w:sz w:val="21"/>
                <w:szCs w:val="21"/>
                <w:highlight w:val="none"/>
                <w:lang w:val="en-US" w:eastAsia="zh-CN"/>
              </w:rPr>
              <w:t>+15m排气筒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吸附效率</w:t>
            </w:r>
            <w:r>
              <w:rPr>
                <w:rFonts w:hint="default"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w:t>
            </w:r>
          </w:p>
        </w:tc>
      </w:tr>
      <w:tr w14:paraId="261CD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535B129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7D549D2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厨房</w:t>
            </w:r>
          </w:p>
        </w:tc>
        <w:tc>
          <w:tcPr>
            <w:tcW w:w="1322" w:type="pct"/>
            <w:tcBorders>
              <w:tl2br w:val="nil"/>
              <w:tr2bl w:val="nil"/>
            </w:tcBorders>
            <w:noWrap w:val="0"/>
            <w:vAlign w:val="center"/>
          </w:tcPr>
          <w:p w14:paraId="67A4150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厨房油烟废气</w:t>
            </w:r>
          </w:p>
        </w:tc>
        <w:tc>
          <w:tcPr>
            <w:tcW w:w="2055" w:type="pct"/>
            <w:tcBorders>
              <w:tl2br w:val="nil"/>
              <w:tr2bl w:val="nil"/>
            </w:tcBorders>
            <w:noWrap w:val="0"/>
            <w:vAlign w:val="center"/>
          </w:tcPr>
          <w:p w14:paraId="677017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油烟净化器</w:t>
            </w:r>
          </w:p>
        </w:tc>
      </w:tr>
      <w:tr w14:paraId="4E4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3" w:hRule="atLeast"/>
          <w:jc w:val="center"/>
        </w:trPr>
        <w:tc>
          <w:tcPr>
            <w:tcW w:w="405" w:type="pct"/>
            <w:vMerge w:val="restart"/>
            <w:tcBorders>
              <w:tl2br w:val="nil"/>
              <w:tr2bl w:val="nil"/>
            </w:tcBorders>
            <w:noWrap w:val="0"/>
            <w:vAlign w:val="center"/>
          </w:tcPr>
          <w:p w14:paraId="5C6E131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216" w:type="pct"/>
            <w:tcBorders>
              <w:tl2br w:val="nil"/>
              <w:tr2bl w:val="nil"/>
            </w:tcBorders>
            <w:noWrap w:val="0"/>
            <w:vAlign w:val="center"/>
          </w:tcPr>
          <w:p w14:paraId="462A749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生活废水</w:t>
            </w:r>
          </w:p>
        </w:tc>
        <w:tc>
          <w:tcPr>
            <w:tcW w:w="1322" w:type="pct"/>
            <w:tcBorders>
              <w:tl2br w:val="nil"/>
              <w:tr2bl w:val="nil"/>
            </w:tcBorders>
            <w:noWrap w:val="0"/>
            <w:vAlign w:val="center"/>
          </w:tcPr>
          <w:p w14:paraId="72368B31">
            <w:pPr>
              <w:pStyle w:val="36"/>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pacing w:val="-1"/>
                <w:sz w:val="21"/>
                <w:szCs w:val="21"/>
                <w:highlight w:val="none"/>
              </w:rPr>
              <w:t>COD</w:t>
            </w:r>
            <w:r>
              <w:rPr>
                <w:rFonts w:hint="default" w:ascii="Times New Roman" w:hAnsi="Times New Roman" w:eastAsia="宋体" w:cs="Times New Roman"/>
                <w:spacing w:val="-1"/>
                <w:sz w:val="21"/>
                <w:szCs w:val="21"/>
                <w:highlight w:val="none"/>
                <w:lang w:val="en-US" w:eastAsia="zh-CN"/>
              </w:rPr>
              <w:t>r</w:t>
            </w:r>
            <w:r>
              <w:rPr>
                <w:rFonts w:hint="default" w:ascii="Times New Roman" w:hAnsi="Times New Roman" w:eastAsia="宋体" w:cs="Times New Roman"/>
                <w:spacing w:val="-18"/>
                <w:sz w:val="21"/>
                <w:szCs w:val="21"/>
                <w:highlight w:val="none"/>
              </w:rPr>
              <w:t xml:space="preserve"> </w:t>
            </w:r>
            <w:r>
              <w:rPr>
                <w:rFonts w:hint="default" w:ascii="Times New Roman" w:hAnsi="Times New Roman" w:eastAsia="宋体" w:cs="Times New Roman"/>
                <w:spacing w:val="-1"/>
                <w:sz w:val="21"/>
                <w:szCs w:val="21"/>
                <w:highlight w:val="none"/>
              </w:rPr>
              <w:t>、BOD</w:t>
            </w:r>
            <w:r>
              <w:rPr>
                <w:rFonts w:hint="default" w:ascii="Times New Roman" w:hAnsi="Times New Roman" w:eastAsia="宋体" w:cs="Times New Roman"/>
                <w:spacing w:val="-1"/>
                <w:position w:val="-1"/>
                <w:sz w:val="21"/>
                <w:szCs w:val="21"/>
                <w:highlight w:val="none"/>
              </w:rPr>
              <w:t>5</w:t>
            </w:r>
            <w:r>
              <w:rPr>
                <w:rFonts w:hint="default" w:ascii="Times New Roman" w:hAnsi="Times New Roman" w:eastAsia="宋体" w:cs="Times New Roman"/>
                <w:spacing w:val="-12"/>
                <w:position w:val="-1"/>
                <w:sz w:val="21"/>
                <w:szCs w:val="21"/>
                <w:highlight w:val="none"/>
              </w:rPr>
              <w:t xml:space="preserve"> </w:t>
            </w:r>
            <w:r>
              <w:rPr>
                <w:rFonts w:hint="default" w:ascii="Times New Roman" w:hAnsi="Times New Roman" w:eastAsia="宋体" w:cs="Times New Roman"/>
                <w:spacing w:val="-1"/>
                <w:sz w:val="21"/>
                <w:szCs w:val="21"/>
                <w:highlight w:val="none"/>
              </w:rPr>
              <w:t>、SS</w:t>
            </w:r>
            <w:r>
              <w:rPr>
                <w:rFonts w:hint="default" w:ascii="Times New Roman" w:hAnsi="Times New Roman" w:eastAsia="宋体" w:cs="Times New Roman"/>
                <w:spacing w:val="-26"/>
                <w:sz w:val="21"/>
                <w:szCs w:val="21"/>
                <w:highlight w:val="none"/>
              </w:rPr>
              <w:t xml:space="preserve"> </w:t>
            </w:r>
            <w:r>
              <w:rPr>
                <w:rFonts w:hint="default" w:ascii="Times New Roman" w:hAnsi="Times New Roman" w:eastAsia="宋体" w:cs="Times New Roman"/>
                <w:spacing w:val="-1"/>
                <w:sz w:val="21"/>
                <w:szCs w:val="21"/>
                <w:highlight w:val="none"/>
              </w:rPr>
              <w:t>、NH</w:t>
            </w:r>
            <w:r>
              <w:rPr>
                <w:rFonts w:hint="default" w:ascii="Times New Roman" w:hAnsi="Times New Roman" w:eastAsia="宋体" w:cs="Times New Roman"/>
                <w:spacing w:val="-1"/>
                <w:sz w:val="21"/>
                <w:szCs w:val="21"/>
                <w:highlight w:val="none"/>
                <w:vertAlign w:val="subscript"/>
              </w:rPr>
              <w:t>3</w:t>
            </w:r>
            <w:r>
              <w:rPr>
                <w:rFonts w:hint="default" w:ascii="Times New Roman" w:hAnsi="Times New Roman" w:eastAsia="宋体" w:cs="Times New Roman"/>
                <w:spacing w:val="-1"/>
                <w:sz w:val="21"/>
                <w:szCs w:val="21"/>
                <w:highlight w:val="none"/>
              </w:rPr>
              <w:t>-N、</w:t>
            </w:r>
            <w:r>
              <w:rPr>
                <w:rFonts w:hint="default" w:ascii="Times New Roman" w:hAnsi="Times New Roman" w:eastAsia="宋体" w:cs="Times New Roman"/>
                <w:spacing w:val="7"/>
                <w:sz w:val="21"/>
                <w:szCs w:val="21"/>
                <w:highlight w:val="none"/>
              </w:rPr>
              <w:t>动植物油</w:t>
            </w:r>
          </w:p>
        </w:tc>
        <w:tc>
          <w:tcPr>
            <w:tcW w:w="2055" w:type="pct"/>
            <w:vMerge w:val="restart"/>
            <w:tcBorders>
              <w:tl2br w:val="nil"/>
              <w:tr2bl w:val="nil"/>
            </w:tcBorders>
            <w:noWrap w:val="0"/>
            <w:vAlign w:val="center"/>
          </w:tcPr>
          <w:p w14:paraId="350A070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岳阳高新技术产业园区污水处理厂处理达《城镇污水处理厂污染物排放标准》（GB18918-2002）及修改单中一级 A 标准。</w:t>
            </w:r>
          </w:p>
        </w:tc>
      </w:tr>
      <w:tr w14:paraId="30EFD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05" w:type="pct"/>
            <w:vMerge w:val="continue"/>
            <w:tcBorders>
              <w:tl2br w:val="nil"/>
              <w:tr2bl w:val="nil"/>
            </w:tcBorders>
            <w:noWrap w:val="0"/>
            <w:vAlign w:val="center"/>
          </w:tcPr>
          <w:p w14:paraId="777B46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1E34CF5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纯水制备浓水</w:t>
            </w:r>
          </w:p>
        </w:tc>
        <w:tc>
          <w:tcPr>
            <w:tcW w:w="1322" w:type="pct"/>
            <w:tcBorders>
              <w:tl2br w:val="nil"/>
              <w:tr2bl w:val="nil"/>
            </w:tcBorders>
            <w:noWrap w:val="0"/>
            <w:vAlign w:val="center"/>
          </w:tcPr>
          <w:p w14:paraId="492F96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pacing w:val="-1"/>
                <w:sz w:val="21"/>
                <w:szCs w:val="21"/>
                <w:highlight w:val="none"/>
              </w:rPr>
              <w:t>COD</w:t>
            </w:r>
            <w:r>
              <w:rPr>
                <w:rFonts w:hint="default" w:ascii="Times New Roman" w:hAnsi="Times New Roman" w:eastAsia="宋体" w:cs="Times New Roman"/>
                <w:spacing w:val="-1"/>
                <w:sz w:val="21"/>
                <w:szCs w:val="21"/>
                <w:highlight w:val="none"/>
                <w:lang w:val="en-US" w:eastAsia="zh-CN"/>
              </w:rPr>
              <w:t>r</w:t>
            </w:r>
          </w:p>
        </w:tc>
        <w:tc>
          <w:tcPr>
            <w:tcW w:w="2055" w:type="pct"/>
            <w:vMerge w:val="continue"/>
            <w:tcBorders>
              <w:tl2br w:val="nil"/>
              <w:tr2bl w:val="nil"/>
            </w:tcBorders>
            <w:noWrap w:val="0"/>
            <w:vAlign w:val="center"/>
          </w:tcPr>
          <w:p w14:paraId="2E580EB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14:paraId="0627E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405" w:type="pct"/>
            <w:vMerge w:val="continue"/>
            <w:tcBorders>
              <w:tl2br w:val="nil"/>
              <w:tr2bl w:val="nil"/>
            </w:tcBorders>
            <w:noWrap w:val="0"/>
            <w:vAlign w:val="center"/>
          </w:tcPr>
          <w:p w14:paraId="53F4AE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417F4D5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地面清洁废水</w:t>
            </w:r>
          </w:p>
        </w:tc>
        <w:tc>
          <w:tcPr>
            <w:tcW w:w="1322" w:type="pct"/>
            <w:tcBorders>
              <w:tl2br w:val="nil"/>
              <w:tr2bl w:val="nil"/>
            </w:tcBorders>
            <w:noWrap w:val="0"/>
            <w:vAlign w:val="center"/>
          </w:tcPr>
          <w:p w14:paraId="5E82139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pacing w:val="-1"/>
                <w:sz w:val="21"/>
                <w:szCs w:val="21"/>
                <w:highlight w:val="none"/>
              </w:rPr>
              <w:t>COD</w:t>
            </w:r>
            <w:r>
              <w:rPr>
                <w:rFonts w:hint="default" w:ascii="Times New Roman" w:hAnsi="Times New Roman" w:eastAsia="宋体" w:cs="Times New Roman"/>
                <w:spacing w:val="-1"/>
                <w:sz w:val="21"/>
                <w:szCs w:val="21"/>
                <w:highlight w:val="none"/>
                <w:lang w:val="en-US" w:eastAsia="zh-CN"/>
              </w:rPr>
              <w:t>r</w:t>
            </w:r>
            <w:r>
              <w:rPr>
                <w:rFonts w:hint="eastAsia" w:ascii="Times New Roman" w:hAnsi="Times New Roman" w:eastAsia="宋体" w:cs="Times New Roman"/>
                <w:spacing w:val="-1"/>
                <w:sz w:val="21"/>
                <w:szCs w:val="21"/>
                <w:highlight w:val="none"/>
                <w:lang w:val="en-US" w:eastAsia="zh-CN"/>
              </w:rPr>
              <w:t>、</w:t>
            </w:r>
            <w:r>
              <w:rPr>
                <w:rFonts w:hint="default" w:ascii="Times New Roman" w:hAnsi="Times New Roman" w:eastAsia="宋体" w:cs="Times New Roman"/>
                <w:spacing w:val="-1"/>
                <w:sz w:val="21"/>
                <w:szCs w:val="21"/>
                <w:highlight w:val="none"/>
              </w:rPr>
              <w:t>SS</w:t>
            </w:r>
            <w:r>
              <w:rPr>
                <w:rFonts w:hint="default" w:ascii="Times New Roman" w:hAnsi="Times New Roman" w:eastAsia="宋体" w:cs="Times New Roman"/>
                <w:spacing w:val="-26"/>
                <w:sz w:val="21"/>
                <w:szCs w:val="21"/>
                <w:highlight w:val="none"/>
              </w:rPr>
              <w:t xml:space="preserve"> </w:t>
            </w:r>
            <w:r>
              <w:rPr>
                <w:rFonts w:hint="default" w:ascii="Times New Roman" w:hAnsi="Times New Roman" w:eastAsia="宋体" w:cs="Times New Roman"/>
                <w:spacing w:val="-1"/>
                <w:sz w:val="21"/>
                <w:szCs w:val="21"/>
                <w:highlight w:val="none"/>
              </w:rPr>
              <w:t>、NH</w:t>
            </w:r>
            <w:r>
              <w:rPr>
                <w:rFonts w:hint="default" w:ascii="Times New Roman" w:hAnsi="Times New Roman" w:eastAsia="宋体" w:cs="Times New Roman"/>
                <w:spacing w:val="-1"/>
                <w:sz w:val="21"/>
                <w:szCs w:val="21"/>
                <w:highlight w:val="none"/>
                <w:vertAlign w:val="subscript"/>
              </w:rPr>
              <w:t>3</w:t>
            </w:r>
            <w:r>
              <w:rPr>
                <w:rFonts w:hint="default" w:ascii="Times New Roman" w:hAnsi="Times New Roman" w:eastAsia="宋体" w:cs="Times New Roman"/>
                <w:spacing w:val="-1"/>
                <w:sz w:val="21"/>
                <w:szCs w:val="21"/>
                <w:highlight w:val="none"/>
              </w:rPr>
              <w:t>-N</w:t>
            </w:r>
          </w:p>
        </w:tc>
        <w:tc>
          <w:tcPr>
            <w:tcW w:w="2055" w:type="pct"/>
            <w:vMerge w:val="continue"/>
            <w:tcBorders>
              <w:tl2br w:val="nil"/>
              <w:tr2bl w:val="nil"/>
            </w:tcBorders>
            <w:noWrap w:val="0"/>
            <w:vAlign w:val="center"/>
          </w:tcPr>
          <w:p w14:paraId="3F0419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r>
      <w:tr w14:paraId="3888B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restart"/>
            <w:tcBorders>
              <w:tl2br w:val="nil"/>
              <w:tr2bl w:val="nil"/>
            </w:tcBorders>
            <w:noWrap w:val="0"/>
            <w:vAlign w:val="center"/>
          </w:tcPr>
          <w:p w14:paraId="3F3FE8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216" w:type="pct"/>
            <w:tcBorders>
              <w:tl2br w:val="nil"/>
              <w:tr2bl w:val="nil"/>
            </w:tcBorders>
            <w:noWrap w:val="0"/>
            <w:vAlign w:val="center"/>
          </w:tcPr>
          <w:p w14:paraId="4072B00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除尘器</w:t>
            </w:r>
          </w:p>
        </w:tc>
        <w:tc>
          <w:tcPr>
            <w:tcW w:w="1322" w:type="pct"/>
            <w:tcBorders>
              <w:tl2br w:val="nil"/>
              <w:tr2bl w:val="nil"/>
            </w:tcBorders>
            <w:noWrap w:val="0"/>
            <w:vAlign w:val="center"/>
          </w:tcPr>
          <w:p w14:paraId="29AA171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布袋除尘器收集粉尘</w:t>
            </w:r>
          </w:p>
        </w:tc>
        <w:tc>
          <w:tcPr>
            <w:tcW w:w="2055" w:type="pct"/>
            <w:tcBorders>
              <w:tl2br w:val="nil"/>
              <w:tr2bl w:val="nil"/>
            </w:tcBorders>
            <w:noWrap w:val="0"/>
            <w:vAlign w:val="center"/>
          </w:tcPr>
          <w:p w14:paraId="7AB9AD4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r>
      <w:tr w14:paraId="438FF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15EA7B9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3153B72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生产线</w:t>
            </w:r>
          </w:p>
        </w:tc>
        <w:tc>
          <w:tcPr>
            <w:tcW w:w="1322" w:type="pct"/>
            <w:tcBorders>
              <w:tl2br w:val="nil"/>
              <w:tr2bl w:val="nil"/>
            </w:tcBorders>
            <w:noWrap w:val="0"/>
            <w:vAlign w:val="center"/>
          </w:tcPr>
          <w:p w14:paraId="04F1BEB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地面收集粉尘</w:t>
            </w:r>
          </w:p>
        </w:tc>
        <w:tc>
          <w:tcPr>
            <w:tcW w:w="2055" w:type="pct"/>
            <w:tcBorders>
              <w:tl2br w:val="nil"/>
              <w:tr2bl w:val="nil"/>
            </w:tcBorders>
            <w:noWrap w:val="0"/>
            <w:vAlign w:val="center"/>
          </w:tcPr>
          <w:p w14:paraId="3E07B70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r>
      <w:tr w14:paraId="5B9F4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405" w:type="pct"/>
            <w:vMerge w:val="continue"/>
            <w:tcBorders>
              <w:tl2br w:val="nil"/>
              <w:tr2bl w:val="nil"/>
            </w:tcBorders>
            <w:noWrap w:val="0"/>
            <w:vAlign w:val="center"/>
          </w:tcPr>
          <w:p w14:paraId="167E12F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09B47D5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纯水制备</w:t>
            </w:r>
          </w:p>
        </w:tc>
        <w:tc>
          <w:tcPr>
            <w:tcW w:w="1322" w:type="pct"/>
            <w:tcBorders>
              <w:tl2br w:val="nil"/>
              <w:tr2bl w:val="nil"/>
            </w:tcBorders>
            <w:noWrap w:val="0"/>
            <w:vAlign w:val="center"/>
          </w:tcPr>
          <w:p w14:paraId="21C859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 RO 膜</w:t>
            </w:r>
          </w:p>
        </w:tc>
        <w:tc>
          <w:tcPr>
            <w:tcW w:w="2055" w:type="pct"/>
            <w:tcBorders>
              <w:tl2br w:val="nil"/>
              <w:tr2bl w:val="nil"/>
            </w:tcBorders>
            <w:noWrap w:val="0"/>
            <w:vAlign w:val="center"/>
          </w:tcPr>
          <w:p w14:paraId="45EB243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由厂家上门更换并对废RO膜进行回收处置</w:t>
            </w:r>
          </w:p>
        </w:tc>
      </w:tr>
      <w:tr w14:paraId="22354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3CEDB17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3EE82B3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废气处理</w:t>
            </w:r>
          </w:p>
        </w:tc>
        <w:tc>
          <w:tcPr>
            <w:tcW w:w="1322" w:type="pct"/>
            <w:tcBorders>
              <w:tl2br w:val="nil"/>
              <w:tr2bl w:val="nil"/>
            </w:tcBorders>
            <w:noWrap w:val="0"/>
            <w:vAlign w:val="center"/>
          </w:tcPr>
          <w:p w14:paraId="747509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废活性炭</w:t>
            </w:r>
          </w:p>
        </w:tc>
        <w:tc>
          <w:tcPr>
            <w:tcW w:w="2055" w:type="pct"/>
            <w:tcBorders>
              <w:tl2br w:val="nil"/>
              <w:tr2bl w:val="nil"/>
            </w:tcBorders>
            <w:noWrap w:val="0"/>
            <w:vAlign w:val="center"/>
          </w:tcPr>
          <w:p w14:paraId="071545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r>
      <w:tr w14:paraId="4887C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1900E1C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2D7BE79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设备运行</w:t>
            </w:r>
          </w:p>
        </w:tc>
        <w:tc>
          <w:tcPr>
            <w:tcW w:w="1322" w:type="pct"/>
            <w:tcBorders>
              <w:tl2br w:val="nil"/>
              <w:tr2bl w:val="nil"/>
            </w:tcBorders>
            <w:noWrap w:val="0"/>
            <w:vAlign w:val="center"/>
          </w:tcPr>
          <w:p w14:paraId="789FBF6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废导热油</w:t>
            </w:r>
          </w:p>
        </w:tc>
        <w:tc>
          <w:tcPr>
            <w:tcW w:w="2055" w:type="pct"/>
            <w:tcBorders>
              <w:tl2br w:val="nil"/>
              <w:tr2bl w:val="nil"/>
            </w:tcBorders>
            <w:noWrap w:val="0"/>
            <w:vAlign w:val="center"/>
          </w:tcPr>
          <w:p w14:paraId="333648E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r>
      <w:tr w14:paraId="2D7C8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5C8C738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0227E91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原料储存</w:t>
            </w:r>
          </w:p>
        </w:tc>
        <w:tc>
          <w:tcPr>
            <w:tcW w:w="1322" w:type="pct"/>
            <w:tcBorders>
              <w:tl2br w:val="nil"/>
              <w:tr2bl w:val="nil"/>
            </w:tcBorders>
            <w:noWrap w:val="0"/>
            <w:vAlign w:val="center"/>
          </w:tcPr>
          <w:p w14:paraId="100A644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废包装材料</w:t>
            </w:r>
          </w:p>
        </w:tc>
        <w:tc>
          <w:tcPr>
            <w:tcW w:w="2055" w:type="pct"/>
            <w:tcBorders>
              <w:tl2br w:val="nil"/>
              <w:tr2bl w:val="nil"/>
            </w:tcBorders>
            <w:noWrap w:val="0"/>
            <w:vAlign w:val="center"/>
          </w:tcPr>
          <w:p w14:paraId="564A92A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收集后交由厂家回收</w:t>
            </w:r>
          </w:p>
        </w:tc>
      </w:tr>
      <w:tr w14:paraId="101C5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33A42E0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7DEED14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员工生活</w:t>
            </w:r>
          </w:p>
        </w:tc>
        <w:tc>
          <w:tcPr>
            <w:tcW w:w="1322" w:type="pct"/>
            <w:tcBorders>
              <w:tl2br w:val="nil"/>
              <w:tr2bl w:val="nil"/>
            </w:tcBorders>
            <w:noWrap w:val="0"/>
            <w:vAlign w:val="center"/>
          </w:tcPr>
          <w:p w14:paraId="2BB7757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生活垃圾</w:t>
            </w:r>
          </w:p>
        </w:tc>
        <w:tc>
          <w:tcPr>
            <w:tcW w:w="2055" w:type="pct"/>
            <w:tcBorders>
              <w:tl2br w:val="nil"/>
              <w:tr2bl w:val="nil"/>
            </w:tcBorders>
            <w:noWrap w:val="0"/>
            <w:vAlign w:val="center"/>
          </w:tcPr>
          <w:p w14:paraId="02E3D1E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收集后交由环卫部门处置</w:t>
            </w:r>
          </w:p>
        </w:tc>
      </w:tr>
      <w:tr w14:paraId="479586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1B02236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28FA860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产品检验</w:t>
            </w:r>
          </w:p>
        </w:tc>
        <w:tc>
          <w:tcPr>
            <w:tcW w:w="1322" w:type="pct"/>
            <w:tcBorders>
              <w:tl2br w:val="nil"/>
              <w:tr2bl w:val="nil"/>
            </w:tcBorders>
            <w:noWrap w:val="0"/>
            <w:vAlign w:val="center"/>
          </w:tcPr>
          <w:p w14:paraId="41765FF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实验室废液</w:t>
            </w:r>
          </w:p>
        </w:tc>
        <w:tc>
          <w:tcPr>
            <w:tcW w:w="2055" w:type="pct"/>
            <w:tcBorders>
              <w:tl2br w:val="nil"/>
              <w:tr2bl w:val="nil"/>
            </w:tcBorders>
            <w:noWrap w:val="0"/>
            <w:vAlign w:val="center"/>
          </w:tcPr>
          <w:p w14:paraId="66F1EFC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r>
      <w:tr w14:paraId="71EEB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vMerge w:val="continue"/>
            <w:tcBorders>
              <w:tl2br w:val="nil"/>
              <w:tr2bl w:val="nil"/>
            </w:tcBorders>
            <w:noWrap w:val="0"/>
            <w:vAlign w:val="center"/>
          </w:tcPr>
          <w:p w14:paraId="1E5E723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216" w:type="pct"/>
            <w:tcBorders>
              <w:tl2br w:val="nil"/>
              <w:tr2bl w:val="nil"/>
            </w:tcBorders>
            <w:noWrap w:val="0"/>
            <w:vAlign w:val="center"/>
          </w:tcPr>
          <w:p w14:paraId="6F6F95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产品检验</w:t>
            </w:r>
          </w:p>
        </w:tc>
        <w:tc>
          <w:tcPr>
            <w:tcW w:w="1322" w:type="pct"/>
            <w:tcBorders>
              <w:tl2br w:val="nil"/>
              <w:tr2bl w:val="nil"/>
            </w:tcBorders>
            <w:noWrap w:val="0"/>
            <w:vAlign w:val="center"/>
          </w:tcPr>
          <w:p w14:paraId="19B735F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实验室检验成品</w:t>
            </w:r>
          </w:p>
        </w:tc>
        <w:tc>
          <w:tcPr>
            <w:tcW w:w="2055" w:type="pct"/>
            <w:tcBorders>
              <w:tl2br w:val="nil"/>
              <w:tr2bl w:val="nil"/>
            </w:tcBorders>
            <w:noWrap w:val="0"/>
            <w:vAlign w:val="center"/>
          </w:tcPr>
          <w:p w14:paraId="158BCEE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回用于工艺</w:t>
            </w:r>
          </w:p>
        </w:tc>
      </w:tr>
      <w:tr w14:paraId="71CAD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5" w:type="pct"/>
            <w:tcBorders>
              <w:tl2br w:val="nil"/>
              <w:tr2bl w:val="nil"/>
            </w:tcBorders>
            <w:noWrap w:val="0"/>
            <w:vAlign w:val="center"/>
          </w:tcPr>
          <w:p w14:paraId="7DC3D56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spacing w:val="-1"/>
                <w:sz w:val="21"/>
                <w:szCs w:val="21"/>
                <w:highlight w:val="none"/>
              </w:rPr>
              <w:t>噪声</w:t>
            </w:r>
          </w:p>
        </w:tc>
        <w:tc>
          <w:tcPr>
            <w:tcW w:w="1216" w:type="pct"/>
            <w:tcBorders>
              <w:tl2br w:val="nil"/>
              <w:tr2bl w:val="nil"/>
            </w:tcBorders>
            <w:noWrap w:val="0"/>
            <w:vAlign w:val="center"/>
          </w:tcPr>
          <w:p w14:paraId="5395DF9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pacing w:val="6"/>
                <w:sz w:val="21"/>
                <w:szCs w:val="21"/>
                <w:highlight w:val="none"/>
              </w:rPr>
              <w:t>设备运转</w:t>
            </w:r>
          </w:p>
        </w:tc>
        <w:tc>
          <w:tcPr>
            <w:tcW w:w="1322" w:type="pct"/>
            <w:tcBorders>
              <w:tl2br w:val="nil"/>
              <w:tr2bl w:val="nil"/>
            </w:tcBorders>
            <w:noWrap w:val="0"/>
            <w:vAlign w:val="center"/>
          </w:tcPr>
          <w:p w14:paraId="1F61265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pacing w:val="-1"/>
                <w:sz w:val="21"/>
                <w:szCs w:val="21"/>
                <w:highlight w:val="none"/>
              </w:rPr>
              <w:t>噪声</w:t>
            </w:r>
          </w:p>
        </w:tc>
        <w:tc>
          <w:tcPr>
            <w:tcW w:w="2055" w:type="pct"/>
            <w:tcBorders>
              <w:tl2br w:val="nil"/>
              <w:tr2bl w:val="nil"/>
            </w:tcBorders>
            <w:noWrap w:val="0"/>
            <w:vAlign w:val="center"/>
          </w:tcPr>
          <w:p w14:paraId="75AB8F0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pacing w:val="8"/>
                <w:sz w:val="21"/>
                <w:szCs w:val="21"/>
                <w:highlight w:val="none"/>
              </w:rPr>
              <w:t>减振、隔声</w:t>
            </w:r>
          </w:p>
        </w:tc>
      </w:tr>
    </w:tbl>
    <w:p w14:paraId="2D425377">
      <w:pPr>
        <w:pStyle w:val="6"/>
        <w:keepNext/>
        <w:keepLines/>
        <w:pageBreakBefore w:val="0"/>
        <w:widowControl w:val="0"/>
        <w:kinsoku/>
        <w:wordWrap/>
        <w:overflowPunct/>
        <w:topLinePunct w:val="0"/>
        <w:autoSpaceDE/>
        <w:autoSpaceDN/>
        <w:bidi w:val="0"/>
        <w:adjustRightInd/>
        <w:snapToGrid/>
        <w:spacing w:before="0" w:beforeLines="100" w:after="0" w:afterLines="100"/>
        <w:textAlignment w:val="auto"/>
        <w:rPr>
          <w:highlight w:val="none"/>
        </w:rPr>
      </w:pPr>
      <w:bookmarkStart w:id="110" w:name="_Toc23765"/>
      <w:r>
        <w:rPr>
          <w:highlight w:val="none"/>
        </w:rPr>
        <w:t>4.3</w:t>
      </w:r>
      <w:r>
        <w:rPr>
          <w:rFonts w:hint="eastAsia"/>
          <w:highlight w:val="none"/>
          <w:lang w:val="en-US" w:eastAsia="zh-CN"/>
        </w:rPr>
        <w:t xml:space="preserve"> </w:t>
      </w:r>
      <w:r>
        <w:rPr>
          <w:highlight w:val="none"/>
        </w:rPr>
        <w:t>污染源强分析</w:t>
      </w:r>
      <w:bookmarkEnd w:id="110"/>
    </w:p>
    <w:p w14:paraId="5BB58C2C">
      <w:pPr>
        <w:pStyle w:val="7"/>
        <w:bidi w:val="0"/>
        <w:rPr>
          <w:highlight w:val="none"/>
        </w:rPr>
      </w:pPr>
      <w:bookmarkStart w:id="111" w:name="_Toc32339"/>
      <w:r>
        <w:rPr>
          <w:rFonts w:hint="eastAsia"/>
          <w:highlight w:val="none"/>
          <w:lang w:val="en-US" w:eastAsia="zh-CN"/>
        </w:rPr>
        <w:t xml:space="preserve">4.3.1 </w:t>
      </w:r>
      <w:r>
        <w:rPr>
          <w:highlight w:val="none"/>
        </w:rPr>
        <w:t>施工期污染源分析</w:t>
      </w:r>
      <w:bookmarkEnd w:id="111"/>
    </w:p>
    <w:p w14:paraId="5BFBD9DE">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本项目使用现有厂房进行建设，施工阶段主要是室内基础装修、设备安装及装修垃圾清扫</w:t>
      </w:r>
      <w:r>
        <w:rPr>
          <w:spacing w:val="-4"/>
          <w:highlight w:val="none"/>
        </w:rPr>
        <w:t>等工</w:t>
      </w:r>
      <w:r>
        <w:rPr>
          <w:spacing w:val="-3"/>
          <w:highlight w:val="none"/>
        </w:rPr>
        <w:t>作。由于施工期简单且时间较短，污染将随着施工期结束而消失，因此施工期对周围环境的影响较</w:t>
      </w:r>
      <w:r>
        <w:rPr>
          <w:spacing w:val="-6"/>
          <w:highlight w:val="none"/>
        </w:rPr>
        <w:t>小。</w:t>
      </w:r>
    </w:p>
    <w:p w14:paraId="2665B6B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w:t>
      </w:r>
      <w:r>
        <w:rPr>
          <w:rFonts w:ascii="Times New Roman" w:hAnsi="Times New Roman" w:eastAsia="Times New Roman" w:cs="Times New Roman"/>
          <w:spacing w:val="-3"/>
          <w:highlight w:val="none"/>
        </w:rPr>
        <w:t>1</w:t>
      </w:r>
      <w:r>
        <w:rPr>
          <w:spacing w:val="-3"/>
          <w:highlight w:val="none"/>
        </w:rPr>
        <w:t>）施工废气</w:t>
      </w:r>
    </w:p>
    <w:p w14:paraId="1A22085C">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本项目施工范围集中在现有厂房内，施工扬尘来自房屋内部装修及清扫、装修</w:t>
      </w:r>
      <w:r>
        <w:rPr>
          <w:spacing w:val="-4"/>
          <w:highlight w:val="none"/>
        </w:rPr>
        <w:t>材料</w:t>
      </w:r>
      <w:r>
        <w:rPr>
          <w:spacing w:val="-1"/>
          <w:highlight w:val="none"/>
        </w:rPr>
        <w:t>和设备的装卸、车辆运输等。</w:t>
      </w:r>
    </w:p>
    <w:p w14:paraId="316D887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w:t>
      </w:r>
      <w:r>
        <w:rPr>
          <w:rFonts w:ascii="Times New Roman" w:hAnsi="Times New Roman" w:eastAsia="Times New Roman" w:cs="Times New Roman"/>
          <w:spacing w:val="-3"/>
          <w:highlight w:val="none"/>
        </w:rPr>
        <w:t>2</w:t>
      </w:r>
      <w:r>
        <w:rPr>
          <w:spacing w:val="-3"/>
          <w:highlight w:val="none"/>
        </w:rPr>
        <w:t>）施工噪声</w:t>
      </w:r>
    </w:p>
    <w:p w14:paraId="1FE9E46B">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施工噪声主要来自厂区装修、设备安装、以及运输车辆产生的噪声，主要设备为电锯、电刨及</w:t>
      </w:r>
      <w:r>
        <w:rPr>
          <w:highlight w:val="none"/>
        </w:rPr>
        <w:t>运输车辆等。这些设备的噪声源强约为</w:t>
      </w:r>
      <w:r>
        <w:rPr>
          <w:spacing w:val="-45"/>
          <w:highlight w:val="none"/>
        </w:rPr>
        <w:t xml:space="preserve"> </w:t>
      </w:r>
      <w:r>
        <w:rPr>
          <w:rFonts w:hint="eastAsia"/>
          <w:spacing w:val="-45"/>
          <w:highlight w:val="none"/>
          <w:lang w:val="en-US" w:eastAsia="zh-CN"/>
        </w:rPr>
        <w:t>75</w:t>
      </w:r>
      <w:r>
        <w:rPr>
          <w:rFonts w:ascii="Times New Roman" w:hAnsi="Times New Roman" w:eastAsia="Times New Roman" w:cs="Times New Roman"/>
          <w:highlight w:val="none"/>
        </w:rPr>
        <w:t>~90</w:t>
      </w:r>
      <w:r>
        <w:rPr>
          <w:rFonts w:ascii="Times New Roman" w:hAnsi="Times New Roman" w:eastAsia="Times New Roman" w:cs="Times New Roman"/>
          <w:spacing w:val="-1"/>
          <w:highlight w:val="none"/>
        </w:rPr>
        <w:t>dB(A)</w:t>
      </w:r>
      <w:r>
        <w:rPr>
          <w:spacing w:val="-1"/>
          <w:highlight w:val="none"/>
        </w:rPr>
        <w:t>不等。这种影响是短暂的，随工程的建成而消</w:t>
      </w:r>
      <w:r>
        <w:rPr>
          <w:spacing w:val="-5"/>
          <w:highlight w:val="none"/>
        </w:rPr>
        <w:t>失。</w:t>
      </w:r>
    </w:p>
    <w:p w14:paraId="59E9A45A">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w:t>
      </w:r>
      <w:r>
        <w:rPr>
          <w:rFonts w:ascii="Times New Roman" w:hAnsi="Times New Roman" w:eastAsia="Times New Roman" w:cs="Times New Roman"/>
          <w:spacing w:val="-3"/>
          <w:highlight w:val="none"/>
        </w:rPr>
        <w:t>3</w:t>
      </w:r>
      <w:r>
        <w:rPr>
          <w:spacing w:val="-3"/>
          <w:highlight w:val="none"/>
        </w:rPr>
        <w:t>）施工废水</w:t>
      </w:r>
    </w:p>
    <w:p w14:paraId="6171E6A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施工期废水主要包括施工人员的生活污水。因条件有限，施工人员用水标准较低，故生活污水</w:t>
      </w:r>
      <w:r>
        <w:rPr>
          <w:highlight w:val="none"/>
        </w:rPr>
        <w:t>量小。施工期生活污水排入市政污水管网，不会对</w:t>
      </w:r>
      <w:r>
        <w:rPr>
          <w:spacing w:val="-1"/>
          <w:highlight w:val="none"/>
        </w:rPr>
        <w:t>周围环境造成明显影响。</w:t>
      </w:r>
    </w:p>
    <w:p w14:paraId="3E6F608C">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68" w:firstLineChars="200"/>
        <w:jc w:val="both"/>
        <w:textAlignment w:val="auto"/>
        <w:outlineLvl w:val="9"/>
        <w:rPr>
          <w:highlight w:val="none"/>
        </w:rPr>
      </w:pPr>
      <w:r>
        <w:rPr>
          <w:spacing w:val="-3"/>
          <w:highlight w:val="none"/>
        </w:rPr>
        <w:t>（</w:t>
      </w:r>
      <w:r>
        <w:rPr>
          <w:rFonts w:ascii="Times New Roman" w:hAnsi="Times New Roman" w:eastAsia="Times New Roman" w:cs="Times New Roman"/>
          <w:spacing w:val="-3"/>
          <w:highlight w:val="none"/>
        </w:rPr>
        <w:t>4</w:t>
      </w:r>
      <w:r>
        <w:rPr>
          <w:spacing w:val="-3"/>
          <w:highlight w:val="none"/>
        </w:rPr>
        <w:t>）固体废物</w:t>
      </w:r>
    </w:p>
    <w:p w14:paraId="3EF1BAD6">
      <w:pPr>
        <w:pStyle w:val="50"/>
        <w:rPr>
          <w:rFonts w:hint="default" w:ascii="Times New Roman" w:hAnsi="Times New Roman" w:eastAsia="宋体" w:cs="Times New Roman"/>
          <w:color w:val="auto"/>
          <w:highlight w:val="none"/>
          <w:u w:val="none" w:color="auto"/>
          <w:lang w:val="en-US" w:eastAsia="zh-CN"/>
        </w:rPr>
      </w:pPr>
      <w:r>
        <w:rPr>
          <w:rFonts w:ascii="Times New Roman" w:hAnsi="Times New Roman" w:eastAsia="宋体" w:cs="Times New Roman"/>
          <w:bCs w:val="0"/>
          <w:spacing w:val="-3"/>
          <w:kern w:val="0"/>
          <w:sz w:val="24"/>
          <w:szCs w:val="20"/>
          <w:highlight w:val="none"/>
          <w:u w:val="none"/>
          <w:lang w:val="en-US" w:eastAsia="zh-CN" w:bidi="ar-SA"/>
        </w:rPr>
        <w:t>固体废物主要包括施工产生的建筑垃圾和施工人员产生的生活垃圾。</w:t>
      </w:r>
      <w:r>
        <w:rPr>
          <w:rFonts w:hint="eastAsia" w:ascii="Times New Roman" w:hAnsi="Times New Roman" w:eastAsia="宋体" w:cs="Times New Roman"/>
          <w:bCs w:val="0"/>
          <w:spacing w:val="-3"/>
          <w:kern w:val="0"/>
          <w:sz w:val="24"/>
          <w:szCs w:val="20"/>
          <w:highlight w:val="none"/>
          <w:u w:val="none"/>
          <w:lang w:val="en-US" w:eastAsia="zh-CN" w:bidi="ar-SA"/>
        </w:rPr>
        <w:t>施工人员生活垃圾依托当地环卫部门及时清运处理；施工中建筑垃</w:t>
      </w:r>
      <w:r>
        <w:rPr>
          <w:rFonts w:hint="eastAsia" w:ascii="Times New Roman" w:hAnsi="Times New Roman" w:eastAsia="宋体" w:cs="Times New Roman"/>
          <w:color w:val="auto"/>
          <w:highlight w:val="none"/>
          <w:u w:val="none" w:color="auto"/>
          <w:lang w:val="en-US" w:eastAsia="zh-CN"/>
        </w:rPr>
        <w:t>圾产生的建筑垃圾不能随意丢弃，应该运送至政府指定的建筑垃圾消纳场进行处理。</w:t>
      </w:r>
    </w:p>
    <w:p w14:paraId="3FC6FC06">
      <w:pPr>
        <w:pStyle w:val="7"/>
        <w:keepNext/>
        <w:keepLines/>
        <w:pageBreakBefore w:val="0"/>
        <w:widowControl w:val="0"/>
        <w:kinsoku/>
        <w:wordWrap/>
        <w:overflowPunct/>
        <w:topLinePunct w:val="0"/>
        <w:autoSpaceDE/>
        <w:autoSpaceDN/>
        <w:bidi w:val="0"/>
        <w:adjustRightInd/>
        <w:snapToGrid/>
        <w:spacing w:before="0" w:beforeLines="100" w:after="0" w:afterLines="100"/>
        <w:textAlignment w:val="auto"/>
        <w:rPr>
          <w:highlight w:val="none"/>
        </w:rPr>
      </w:pPr>
      <w:bookmarkStart w:id="112" w:name="bookmark33"/>
      <w:bookmarkEnd w:id="112"/>
      <w:bookmarkStart w:id="113" w:name="_Toc16907"/>
      <w:r>
        <w:rPr>
          <w:rFonts w:hint="eastAsia"/>
          <w:highlight w:val="none"/>
          <w:lang w:val="en-US" w:eastAsia="zh-CN"/>
        </w:rPr>
        <w:t xml:space="preserve">4.3.2 </w:t>
      </w:r>
      <w:r>
        <w:rPr>
          <w:highlight w:val="none"/>
        </w:rPr>
        <w:t>营运期污染源分析</w:t>
      </w:r>
      <w:bookmarkEnd w:id="113"/>
    </w:p>
    <w:p w14:paraId="377699D7">
      <w:pPr>
        <w:pStyle w:val="9"/>
        <w:keepNext/>
        <w:keepLines/>
        <w:pageBreakBefore w:val="0"/>
        <w:widowControl w:val="0"/>
        <w:kinsoku/>
        <w:wordWrap/>
        <w:overflowPunct/>
        <w:topLinePunct w:val="0"/>
        <w:autoSpaceDE/>
        <w:autoSpaceDN/>
        <w:bidi w:val="0"/>
        <w:adjustRightInd/>
        <w:snapToGrid/>
        <w:spacing w:before="0" w:beforeLines="100" w:after="0" w:afterLines="100"/>
        <w:textAlignment w:val="auto"/>
        <w:rPr>
          <w:rFonts w:hint="default" w:eastAsia="宋体" w:cs="Times New Roman"/>
          <w:color w:val="auto"/>
          <w:sz w:val="24"/>
          <w:szCs w:val="24"/>
          <w:highlight w:val="none"/>
          <w:u w:val="single"/>
          <w:lang w:val="en-US" w:eastAsia="zh-CN"/>
        </w:rPr>
      </w:pPr>
      <w:r>
        <w:rPr>
          <w:rFonts w:hint="eastAsia"/>
          <w:highlight w:val="none"/>
          <w:lang w:val="en-US" w:eastAsia="zh-CN"/>
        </w:rPr>
        <w:t>4.3.2.1</w:t>
      </w:r>
      <w:r>
        <w:rPr>
          <w:highlight w:val="none"/>
        </w:rPr>
        <w:t xml:space="preserve">  营运期废气污染源分析</w:t>
      </w:r>
    </w:p>
    <w:p w14:paraId="0A62D2B3">
      <w:pPr>
        <w:keepNext w:val="0"/>
        <w:keepLines w:val="0"/>
        <w:widowControl/>
        <w:numPr>
          <w:ilvl w:val="0"/>
          <w:numId w:val="7"/>
        </w:numPr>
        <w:suppressLineNumbers w:val="0"/>
        <w:jc w:val="left"/>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有机废气（G1）</w:t>
      </w:r>
    </w:p>
    <w:p w14:paraId="16884C1A">
      <w:pPr>
        <w:keepNext w:val="0"/>
        <w:keepLines w:val="0"/>
        <w:widowControl/>
        <w:suppressLineNumbers w:val="0"/>
        <w:jc w:val="left"/>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本项目防染粉1#（助剂粉剂）主要是由聚乙二醇、平平加及聚酯切片加热至260℃溶解，搅拌混合生成产品为防染粉，防染粉的组分是聚醚聚酯（100%），在加热过程中发生了化学反应。冷却到150℃后放料，冷却放料过程中会产生有机废气。</w:t>
      </w:r>
    </w:p>
    <w:p w14:paraId="582A5EC3">
      <w:pPr>
        <w:keepNext w:val="0"/>
        <w:keepLines w:val="0"/>
        <w:widowControl/>
        <w:suppressLineNumbers w:val="0"/>
        <w:jc w:val="left"/>
        <w:rPr>
          <w:rFonts w:hint="default"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本项目防染粉2#（助剂粉剂）通过单纯物理混合复配而成（不需加热），不发生化学变化。助剂水剂（硅油、防染剂）简单加热复配（温度为50度），不发生化学变化。</w:t>
      </w:r>
    </w:p>
    <w:p w14:paraId="0F2EFCAC">
      <w:pPr>
        <w:keepNext w:val="0"/>
        <w:keepLines w:val="0"/>
        <w:widowControl/>
        <w:suppressLineNumbers w:val="0"/>
        <w:jc w:val="left"/>
        <w:rPr>
          <w:rFonts w:hint="default" w:eastAsia="宋体" w:cs="Times New Roman"/>
          <w:b/>
          <w:bCs/>
          <w:i w:val="0"/>
          <w:color w:val="auto"/>
          <w:kern w:val="0"/>
          <w:sz w:val="24"/>
          <w:szCs w:val="24"/>
          <w:highlight w:val="none"/>
          <w:u w:val="none" w:color="auto"/>
          <w:vertAlign w:val="baseline"/>
          <w:lang w:val="en-US" w:eastAsia="zh-CN" w:bidi="ar"/>
        </w:rPr>
      </w:pPr>
      <w:r>
        <w:rPr>
          <w:rFonts w:hint="eastAsia" w:eastAsia="宋体" w:cs="Times New Roman"/>
          <w:color w:val="auto"/>
          <w:sz w:val="24"/>
          <w:szCs w:val="24"/>
          <w:highlight w:val="none"/>
          <w:u w:val="none" w:color="auto"/>
          <w:lang w:val="en-US" w:eastAsia="zh-CN"/>
        </w:rPr>
        <w:t>根据《排放源统计调查产排污核算方法和系数手册》公告 2021年 第24号（2661 化学试剂和助剂制造行业系数表，有机助剂化学合成或混合工艺）会产生挥发性有机物，挥发性有机物的产污系数为0.78千克/吨-产品，本项目助剂产品包括助剂粉剂和助剂水剂共计为1500t/a，本项目在助剂</w:t>
      </w:r>
      <w:r>
        <w:rPr>
          <w:rFonts w:hint="default" w:ascii="Times New Roman" w:hAnsi="Times New Roman" w:eastAsia="宋体" w:cs="Times New Roman"/>
          <w:b w:val="0"/>
          <w:bCs w:val="0"/>
          <w:color w:val="auto"/>
          <w:sz w:val="24"/>
          <w:szCs w:val="24"/>
          <w:highlight w:val="none"/>
          <w:u w:val="none" w:color="auto"/>
          <w:lang w:val="en-US" w:eastAsia="zh-CN"/>
        </w:rPr>
        <w:t>冷却</w:t>
      </w:r>
      <w:r>
        <w:rPr>
          <w:rFonts w:hint="eastAsia" w:eastAsia="宋体" w:cs="Times New Roman"/>
          <w:b w:val="0"/>
          <w:bCs w:val="0"/>
          <w:color w:val="auto"/>
          <w:sz w:val="24"/>
          <w:szCs w:val="24"/>
          <w:highlight w:val="none"/>
          <w:u w:val="none" w:color="auto"/>
          <w:lang w:val="en-US" w:eastAsia="zh-CN"/>
        </w:rPr>
        <w:t>放料工序</w:t>
      </w:r>
      <w:r>
        <w:rPr>
          <w:rFonts w:hint="default" w:ascii="Times New Roman" w:hAnsi="Times New Roman" w:eastAsia="宋体" w:cs="Times New Roman"/>
          <w:b w:val="0"/>
          <w:bCs w:val="0"/>
          <w:color w:val="auto"/>
          <w:sz w:val="24"/>
          <w:szCs w:val="24"/>
          <w:highlight w:val="none"/>
          <w:u w:val="none" w:color="auto"/>
          <w:lang w:val="en-US" w:eastAsia="zh-CN"/>
        </w:rPr>
        <w:t>排放的挥发性有机物VOCs产生量为</w:t>
      </w:r>
      <w:r>
        <w:rPr>
          <w:rFonts w:hint="eastAsia" w:eastAsia="宋体" w:cs="Times New Roman"/>
          <w:b w:val="0"/>
          <w:bCs w:val="0"/>
          <w:color w:val="auto"/>
          <w:sz w:val="24"/>
          <w:szCs w:val="24"/>
          <w:highlight w:val="none"/>
          <w:u w:val="none" w:color="auto"/>
          <w:lang w:val="en-US" w:eastAsia="zh-CN"/>
        </w:rPr>
        <w:t>1.17</w:t>
      </w:r>
      <w:r>
        <w:rPr>
          <w:rFonts w:hint="default" w:ascii="Times New Roman" w:hAnsi="Times New Roman" w:eastAsia="宋体" w:cs="Times New Roman"/>
          <w:b w:val="0"/>
          <w:bCs w:val="0"/>
          <w:color w:val="auto"/>
          <w:sz w:val="24"/>
          <w:szCs w:val="24"/>
          <w:highlight w:val="none"/>
          <w:u w:val="none" w:color="auto"/>
          <w:lang w:val="en-US" w:eastAsia="zh-CN"/>
        </w:rPr>
        <w:t>t/a。</w:t>
      </w:r>
      <w:r>
        <w:rPr>
          <w:rFonts w:hint="default" w:ascii="Times New Roman" w:hAnsi="Times New Roman" w:eastAsia="宋体" w:cs="Times New Roman"/>
          <w:color w:val="auto"/>
          <w:sz w:val="24"/>
          <w:szCs w:val="24"/>
          <w:highlight w:val="none"/>
          <w:u w:val="none" w:color="auto"/>
          <w:lang w:val="en-US" w:eastAsia="zh-CN"/>
        </w:rPr>
        <w:t>有机废气处理拟采用</w:t>
      </w:r>
      <w:r>
        <w:rPr>
          <w:rFonts w:hint="eastAsia" w:ascii="Times New Roman" w:hAnsi="Times New Roman" w:eastAsia="宋体" w:cs="Times New Roman"/>
          <w:color w:val="auto"/>
          <w:sz w:val="24"/>
          <w:szCs w:val="24"/>
          <w:highlight w:val="none"/>
          <w:u w:val="none" w:color="auto"/>
          <w:lang w:val="en-US" w:eastAsia="zh-CN"/>
        </w:rPr>
        <w:t>二级</w:t>
      </w:r>
      <w:r>
        <w:rPr>
          <w:rFonts w:hint="default" w:ascii="Times New Roman" w:hAnsi="Times New Roman" w:eastAsia="宋体" w:cs="Times New Roman"/>
          <w:color w:val="auto"/>
          <w:sz w:val="24"/>
          <w:szCs w:val="24"/>
          <w:highlight w:val="none"/>
          <w:u w:val="none" w:color="auto"/>
          <w:lang w:val="en-US" w:eastAsia="zh-CN"/>
        </w:rPr>
        <w:t>活性炭吸附箱</w:t>
      </w:r>
      <w:r>
        <w:rPr>
          <w:rFonts w:hint="eastAsia" w:eastAsia="宋体" w:cs="Times New Roman"/>
          <w:color w:val="auto"/>
          <w:sz w:val="24"/>
          <w:szCs w:val="24"/>
          <w:highlight w:val="none"/>
          <w:u w:val="none" w:color="auto"/>
          <w:lang w:val="en-US" w:eastAsia="zh-CN"/>
        </w:rPr>
        <w:t>处理后</w:t>
      </w:r>
      <w:r>
        <w:rPr>
          <w:rFonts w:hint="eastAsia" w:eastAsia="宋体" w:cs="Times New Roman"/>
          <w:b w:val="0"/>
          <w:bCs w:val="0"/>
          <w:i w:val="0"/>
          <w:color w:val="auto"/>
          <w:kern w:val="0"/>
          <w:sz w:val="24"/>
          <w:szCs w:val="24"/>
          <w:highlight w:val="none"/>
          <w:u w:val="none" w:color="auto"/>
          <w:vertAlign w:val="baseline"/>
          <w:lang w:val="en-US" w:eastAsia="zh-CN" w:bidi="ar"/>
        </w:rPr>
        <w:t>通过15m高排气筒排放。</w:t>
      </w:r>
      <w:r>
        <w:rPr>
          <w:rFonts w:hint="eastAsia" w:eastAsia="宋体" w:cs="Times New Roman"/>
          <w:b w:val="0"/>
          <w:bCs w:val="0"/>
          <w:i w:val="0"/>
          <w:color w:val="auto"/>
          <w:kern w:val="0"/>
          <w:sz w:val="24"/>
          <w:szCs w:val="24"/>
          <w:highlight w:val="none"/>
          <w:u w:val="none" w:color="auto"/>
          <w:lang w:val="en-US" w:eastAsia="zh-CN" w:bidi="ar"/>
        </w:rPr>
        <w:t>在密闭房间采用整体抽风方式，废气</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收集效率</w:t>
      </w:r>
      <w:r>
        <w:rPr>
          <w:rFonts w:hint="eastAsia" w:eastAsia="宋体" w:cs="Times New Roman"/>
          <w:b w:val="0"/>
          <w:bCs w:val="0"/>
          <w:i w:val="0"/>
          <w:color w:val="auto"/>
          <w:kern w:val="0"/>
          <w:sz w:val="24"/>
          <w:szCs w:val="24"/>
          <w:highlight w:val="none"/>
          <w:u w:val="none" w:color="auto"/>
          <w:lang w:val="en-US" w:eastAsia="zh-CN" w:bidi="ar"/>
        </w:rPr>
        <w:t>为</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9</w:t>
      </w:r>
      <w:r>
        <w:rPr>
          <w:rFonts w:hint="eastAsia" w:eastAsia="宋体" w:cs="Times New Roman"/>
          <w:b w:val="0"/>
          <w:bCs w:val="0"/>
          <w:i w:val="0"/>
          <w:color w:val="auto"/>
          <w:kern w:val="0"/>
          <w:sz w:val="24"/>
          <w:szCs w:val="24"/>
          <w:highlight w:val="none"/>
          <w:u w:val="none" w:color="auto"/>
          <w:lang w:val="en-US" w:eastAsia="zh-CN" w:bidi="ar"/>
        </w:rPr>
        <w:t>5</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w:t>
      </w:r>
      <w:r>
        <w:rPr>
          <w:rFonts w:hint="eastAsia" w:eastAsia="宋体" w:cs="Times New Roman"/>
          <w:b w:val="0"/>
          <w:bCs w:val="0"/>
          <w:i w:val="0"/>
          <w:color w:val="auto"/>
          <w:kern w:val="0"/>
          <w:sz w:val="24"/>
          <w:szCs w:val="24"/>
          <w:highlight w:val="none"/>
          <w:u w:val="none" w:color="auto"/>
          <w:lang w:val="en-US" w:eastAsia="zh-CN" w:bidi="ar"/>
        </w:rPr>
        <w:t>，</w:t>
      </w:r>
      <w:r>
        <w:rPr>
          <w:rFonts w:hint="default" w:ascii="Times New Roman" w:hAnsi="Times New Roman" w:eastAsia="宋体" w:cs="Times New Roman"/>
          <w:color w:val="auto"/>
          <w:sz w:val="24"/>
          <w:szCs w:val="24"/>
          <w:highlight w:val="none"/>
          <w:u w:val="none" w:color="auto"/>
          <w:lang w:val="en-US" w:eastAsia="zh-CN"/>
        </w:rPr>
        <w:t>处</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理风量1</w:t>
      </w:r>
      <w:r>
        <w:rPr>
          <w:rFonts w:hint="eastAsia" w:eastAsia="宋体" w:cs="Times New Roman"/>
          <w:b w:val="0"/>
          <w:bCs w:val="0"/>
          <w:i w:val="0"/>
          <w:color w:val="auto"/>
          <w:kern w:val="0"/>
          <w:sz w:val="24"/>
          <w:szCs w:val="24"/>
          <w:highlight w:val="none"/>
          <w:u w:val="none" w:color="auto"/>
          <w:lang w:val="en-US" w:eastAsia="zh-CN" w:bidi="ar"/>
        </w:rPr>
        <w:t>5</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000（m</w:t>
      </w:r>
      <w:r>
        <w:rPr>
          <w:rFonts w:hint="default" w:ascii="Times New Roman" w:hAnsi="Times New Roman" w:eastAsia="宋体" w:cs="Times New Roman"/>
          <w:b w:val="0"/>
          <w:bCs w:val="0"/>
          <w:i w:val="0"/>
          <w:color w:val="auto"/>
          <w:kern w:val="0"/>
          <w:sz w:val="24"/>
          <w:szCs w:val="24"/>
          <w:highlight w:val="none"/>
          <w:u w:val="none" w:color="auto"/>
          <w:vertAlign w:val="superscript"/>
          <w:lang w:val="en-US" w:eastAsia="zh-CN" w:bidi="ar"/>
        </w:rPr>
        <w:t>3</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/h），设计处理效率</w:t>
      </w:r>
      <w:r>
        <w:rPr>
          <w:rFonts w:hint="eastAsia" w:eastAsia="宋体" w:cs="Times New Roman"/>
          <w:b w:val="0"/>
          <w:bCs w:val="0"/>
          <w:i w:val="0"/>
          <w:color w:val="auto"/>
          <w:kern w:val="0"/>
          <w:sz w:val="24"/>
          <w:szCs w:val="24"/>
          <w:highlight w:val="none"/>
          <w:u w:val="none" w:color="auto"/>
          <w:lang w:val="en-US" w:eastAsia="zh-CN" w:bidi="ar"/>
        </w:rPr>
        <w:t>75</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%，年工作时间为2400h，</w:t>
      </w:r>
      <w:r>
        <w:rPr>
          <w:rFonts w:hint="default" w:ascii="Times New Roman" w:hAnsi="Times New Roman" w:eastAsia="宋体" w:cs="Times New Roman"/>
          <w:b w:val="0"/>
          <w:bCs w:val="0"/>
          <w:color w:val="auto"/>
          <w:sz w:val="24"/>
          <w:szCs w:val="24"/>
          <w:highlight w:val="none"/>
          <w:u w:val="none" w:color="auto"/>
          <w:lang w:val="en-US" w:eastAsia="zh-CN"/>
        </w:rPr>
        <w:t>VOCs</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有组织排放量为</w:t>
      </w:r>
      <w:r>
        <w:rPr>
          <w:rFonts w:hint="eastAsia" w:eastAsia="宋体" w:cs="Times New Roman"/>
          <w:b w:val="0"/>
          <w:bCs w:val="0"/>
          <w:i w:val="0"/>
          <w:color w:val="auto"/>
          <w:kern w:val="0"/>
          <w:sz w:val="24"/>
          <w:szCs w:val="24"/>
          <w:highlight w:val="none"/>
          <w:u w:val="none" w:color="auto"/>
          <w:lang w:val="en-US" w:eastAsia="zh-CN" w:bidi="ar"/>
        </w:rPr>
        <w:t>0.2279</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t/a，有组织排放速率为</w:t>
      </w:r>
      <w:r>
        <w:rPr>
          <w:rFonts w:hint="eastAsia" w:eastAsia="宋体" w:cs="Times New Roman"/>
          <w:b w:val="0"/>
          <w:bCs w:val="0"/>
          <w:i w:val="0"/>
          <w:color w:val="auto"/>
          <w:kern w:val="0"/>
          <w:sz w:val="24"/>
          <w:szCs w:val="24"/>
          <w:highlight w:val="none"/>
          <w:u w:val="none" w:color="auto"/>
          <w:lang w:val="en-US" w:eastAsia="zh-CN" w:bidi="ar"/>
        </w:rPr>
        <w:t>0.116</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 xml:space="preserve"> kg/h，有组织排放浓度为</w:t>
      </w:r>
      <w:r>
        <w:rPr>
          <w:rFonts w:hint="eastAsia" w:eastAsia="宋体" w:cs="Times New Roman"/>
          <w:b w:val="0"/>
          <w:bCs w:val="0"/>
          <w:i w:val="0"/>
          <w:color w:val="auto"/>
          <w:kern w:val="0"/>
          <w:sz w:val="24"/>
          <w:szCs w:val="24"/>
          <w:highlight w:val="none"/>
          <w:u w:val="none" w:color="auto"/>
          <w:lang w:val="en-US" w:eastAsia="zh-CN" w:bidi="ar"/>
        </w:rPr>
        <w:t>7.719</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mg/m</w:t>
      </w:r>
      <w:r>
        <w:rPr>
          <w:rFonts w:hint="default" w:ascii="Times New Roman" w:hAnsi="Times New Roman" w:eastAsia="宋体" w:cs="Times New Roman"/>
          <w:b w:val="0"/>
          <w:bCs w:val="0"/>
          <w:i w:val="0"/>
          <w:color w:val="auto"/>
          <w:kern w:val="0"/>
          <w:sz w:val="24"/>
          <w:szCs w:val="24"/>
          <w:highlight w:val="none"/>
          <w:u w:val="none" w:color="auto"/>
          <w:vertAlign w:val="superscript"/>
          <w:lang w:val="en-US" w:eastAsia="zh-CN" w:bidi="ar"/>
        </w:rPr>
        <w:t>3</w:t>
      </w:r>
      <w:r>
        <w:rPr>
          <w:rFonts w:hint="default" w:ascii="Times New Roman" w:hAnsi="Times New Roman" w:eastAsia="宋体" w:cs="Times New Roman"/>
          <w:b w:val="0"/>
          <w:bCs w:val="0"/>
          <w:i w:val="0"/>
          <w:color w:val="auto"/>
          <w:kern w:val="0"/>
          <w:sz w:val="24"/>
          <w:szCs w:val="24"/>
          <w:highlight w:val="none"/>
          <w:u w:val="none" w:color="auto"/>
          <w:vertAlign w:val="baseline"/>
          <w:lang w:val="en-US" w:eastAsia="zh-CN" w:bidi="ar"/>
        </w:rPr>
        <w:t>。</w:t>
      </w:r>
      <w:r>
        <w:rPr>
          <w:rFonts w:hint="eastAsia" w:eastAsia="宋体" w:cs="Times New Roman"/>
          <w:b w:val="0"/>
          <w:bCs w:val="0"/>
          <w:i w:val="0"/>
          <w:color w:val="auto"/>
          <w:kern w:val="0"/>
          <w:sz w:val="24"/>
          <w:szCs w:val="24"/>
          <w:highlight w:val="none"/>
          <w:u w:val="none" w:color="auto"/>
          <w:vertAlign w:val="baseline"/>
          <w:lang w:val="en-US" w:eastAsia="zh-CN" w:bidi="ar"/>
        </w:rPr>
        <w:t>未收集到的</w:t>
      </w:r>
      <w:r>
        <w:rPr>
          <w:rFonts w:hint="default" w:ascii="Times New Roman" w:hAnsi="Times New Roman" w:eastAsia="宋体" w:cs="Times New Roman"/>
          <w:b w:val="0"/>
          <w:bCs w:val="0"/>
          <w:color w:val="auto"/>
          <w:sz w:val="24"/>
          <w:szCs w:val="24"/>
          <w:highlight w:val="none"/>
          <w:u w:val="none" w:color="auto"/>
          <w:lang w:val="en-US" w:eastAsia="zh-CN"/>
        </w:rPr>
        <w:t>VOCs</w:t>
      </w:r>
      <w:r>
        <w:rPr>
          <w:rFonts w:hint="eastAsia" w:eastAsia="宋体" w:cs="Times New Roman"/>
          <w:b w:val="0"/>
          <w:bCs w:val="0"/>
          <w:i w:val="0"/>
          <w:color w:val="auto"/>
          <w:kern w:val="0"/>
          <w:sz w:val="24"/>
          <w:szCs w:val="24"/>
          <w:highlight w:val="none"/>
          <w:u w:val="none" w:color="auto"/>
          <w:vertAlign w:val="baseline"/>
          <w:lang w:val="en-US" w:eastAsia="zh-CN" w:bidi="ar"/>
        </w:rPr>
        <w:t>通过无组织排放，无组织排放量为0.0585</w:t>
      </w:r>
      <w:r>
        <w:rPr>
          <w:rFonts w:hint="default" w:ascii="Times New Roman" w:hAnsi="Times New Roman" w:eastAsia="宋体" w:cs="Times New Roman"/>
          <w:b w:val="0"/>
          <w:bCs w:val="0"/>
          <w:color w:val="auto"/>
          <w:sz w:val="24"/>
          <w:szCs w:val="24"/>
          <w:highlight w:val="none"/>
          <w:u w:val="none" w:color="auto"/>
          <w:lang w:val="en-US" w:eastAsia="zh-CN"/>
        </w:rPr>
        <w:t>t/a</w:t>
      </w:r>
      <w:r>
        <w:rPr>
          <w:rFonts w:hint="eastAsia" w:eastAsia="宋体" w:cs="Times New Roman"/>
          <w:b w:val="0"/>
          <w:bCs w:val="0"/>
          <w:i w:val="0"/>
          <w:color w:val="auto"/>
          <w:kern w:val="0"/>
          <w:sz w:val="24"/>
          <w:szCs w:val="24"/>
          <w:highlight w:val="none"/>
          <w:u w:val="none" w:color="auto"/>
          <w:vertAlign w:val="baseline"/>
          <w:lang w:val="en-US" w:eastAsia="zh-CN" w:bidi="ar"/>
        </w:rPr>
        <w:t>。</w:t>
      </w:r>
    </w:p>
    <w:p w14:paraId="0E4997A4">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eastAsia="宋体" w:cs="Times New Roman"/>
          <w:b/>
          <w:bCs/>
          <w:i w:val="0"/>
          <w:color w:val="auto"/>
          <w:kern w:val="0"/>
          <w:sz w:val="24"/>
          <w:szCs w:val="24"/>
          <w:highlight w:val="none"/>
          <w:u w:val="none" w:color="auto"/>
          <w:vertAlign w:val="baseline"/>
          <w:lang w:val="en-US" w:eastAsia="zh-CN" w:bidi="ar"/>
        </w:rPr>
      </w:pPr>
    </w:p>
    <w:p w14:paraId="0BD66E6F">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eastAsia="宋体" w:cs="Times New Roman"/>
          <w:b/>
          <w:bCs/>
          <w:i w:val="0"/>
          <w:color w:val="auto"/>
          <w:kern w:val="0"/>
          <w:sz w:val="24"/>
          <w:szCs w:val="24"/>
          <w:highlight w:val="none"/>
          <w:u w:val="none" w:color="auto"/>
          <w:vertAlign w:val="baseline"/>
          <w:lang w:val="en-US" w:eastAsia="zh-CN" w:bidi="ar"/>
        </w:rPr>
      </w:pPr>
      <w:r>
        <w:rPr>
          <w:rFonts w:hint="eastAsia" w:eastAsia="宋体" w:cs="Times New Roman"/>
          <w:b/>
          <w:bCs/>
          <w:i w:val="0"/>
          <w:color w:val="auto"/>
          <w:kern w:val="0"/>
          <w:sz w:val="24"/>
          <w:szCs w:val="24"/>
          <w:highlight w:val="none"/>
          <w:u w:val="none" w:color="auto"/>
          <w:vertAlign w:val="baseline"/>
          <w:lang w:val="en-US" w:eastAsia="zh-CN" w:bidi="ar"/>
        </w:rPr>
        <w:t>表4.3-1 有机废气产排情况一览表</w:t>
      </w:r>
    </w:p>
    <w:tbl>
      <w:tblPr>
        <w:tblStyle w:val="23"/>
        <w:tblW w:w="4998" w:type="pct"/>
        <w:tblInd w:w="0" w:type="dxa"/>
        <w:tblLayout w:type="autofit"/>
        <w:tblCellMar>
          <w:top w:w="0" w:type="dxa"/>
          <w:left w:w="108" w:type="dxa"/>
          <w:bottom w:w="0" w:type="dxa"/>
          <w:right w:w="108" w:type="dxa"/>
        </w:tblCellMar>
      </w:tblPr>
      <w:tblGrid>
        <w:gridCol w:w="742"/>
        <w:gridCol w:w="687"/>
        <w:gridCol w:w="741"/>
        <w:gridCol w:w="846"/>
        <w:gridCol w:w="1009"/>
        <w:gridCol w:w="691"/>
        <w:gridCol w:w="775"/>
        <w:gridCol w:w="689"/>
        <w:gridCol w:w="847"/>
        <w:gridCol w:w="795"/>
        <w:gridCol w:w="690"/>
      </w:tblGrid>
      <w:tr w14:paraId="719D36B0">
        <w:tblPrEx>
          <w:tblCellMar>
            <w:top w:w="0" w:type="dxa"/>
            <w:left w:w="108" w:type="dxa"/>
            <w:bottom w:w="0" w:type="dxa"/>
            <w:right w:w="108" w:type="dxa"/>
          </w:tblCellMar>
        </w:tblPrEx>
        <w:trPr>
          <w:trHeight w:val="459" w:hRule="atLeast"/>
        </w:trPr>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49C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污染物</w:t>
            </w:r>
          </w:p>
        </w:tc>
        <w:tc>
          <w:tcPr>
            <w:tcW w:w="4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D057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产生量</w:t>
            </w:r>
          </w:p>
        </w:tc>
        <w:tc>
          <w:tcPr>
            <w:tcW w:w="4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C26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风机风量m</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/h</w:t>
            </w:r>
          </w:p>
        </w:tc>
        <w:tc>
          <w:tcPr>
            <w:tcW w:w="149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DE9F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有组织产生源强</w:t>
            </w:r>
          </w:p>
        </w:tc>
        <w:tc>
          <w:tcPr>
            <w:tcW w:w="135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90DC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有组织排放源强</w:t>
            </w:r>
          </w:p>
        </w:tc>
        <w:tc>
          <w:tcPr>
            <w:tcW w:w="87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AA5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无组织排放源强</w:t>
            </w:r>
          </w:p>
        </w:tc>
      </w:tr>
      <w:tr w14:paraId="5C79EFF6">
        <w:tblPrEx>
          <w:tblCellMar>
            <w:top w:w="0" w:type="dxa"/>
            <w:left w:w="108" w:type="dxa"/>
            <w:bottom w:w="0" w:type="dxa"/>
            <w:right w:w="108" w:type="dxa"/>
          </w:tblCellMar>
        </w:tblPrEx>
        <w:trPr>
          <w:trHeight w:val="285" w:hRule="atLeast"/>
        </w:trPr>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FA0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DFC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4D7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D5D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污染物收集量（t/a）</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037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产生浓度</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mg/m</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3</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CB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产生速率kg/h</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F74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排放浓度mg/m</w:t>
            </w:r>
            <w:r>
              <w:rPr>
                <w:rFonts w:hint="default" w:ascii="Times New Roman" w:hAnsi="Times New Roman" w:eastAsia="宋体" w:cs="Times New Roman"/>
                <w:color w:val="000000" w:themeColor="text1"/>
                <w:kern w:val="0"/>
                <w:sz w:val="21"/>
                <w:szCs w:val="21"/>
                <w:highlight w:val="none"/>
                <w:vertAlign w:val="superscript"/>
                <w:lang w:bidi="ar"/>
                <w14:textFill>
                  <w14:solidFill>
                    <w14:schemeClr w14:val="tx1"/>
                  </w14:solidFill>
                </w14:textFill>
              </w:rPr>
              <w:t>3</w:t>
            </w:r>
          </w:p>
        </w:tc>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BB9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排放速率kg/h</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A06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排放量（t/a）</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48C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排放量t/a</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8CE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排放速率kg/h</w:t>
            </w:r>
          </w:p>
        </w:tc>
      </w:tr>
      <w:tr w14:paraId="0FC84F26">
        <w:tblPrEx>
          <w:tblCellMar>
            <w:top w:w="0" w:type="dxa"/>
            <w:left w:w="108" w:type="dxa"/>
            <w:bottom w:w="0" w:type="dxa"/>
            <w:right w:w="108" w:type="dxa"/>
          </w:tblCellMar>
        </w:tblPrEx>
        <w:trPr>
          <w:trHeight w:val="495" w:hRule="atLeast"/>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6F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auto"/>
                <w:sz w:val="21"/>
                <w:szCs w:val="21"/>
                <w:highlight w:val="none"/>
                <w:u w:val="none" w:color="auto"/>
                <w:lang w:val="en-US" w:eastAsia="zh-CN"/>
              </w:rPr>
              <w:t>VOCs</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9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1.17</w:t>
            </w:r>
          </w:p>
        </w:tc>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CE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15000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53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1.112 </w:t>
            </w:r>
          </w:p>
        </w:tc>
        <w:tc>
          <w:tcPr>
            <w:tcW w:w="5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9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32.5</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4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0.463 </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A4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7.719 </w:t>
            </w:r>
          </w:p>
        </w:tc>
        <w:tc>
          <w:tcPr>
            <w:tcW w:w="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9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0.116 </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8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0.2779 </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9A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0.0585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B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0.024 </w:t>
            </w:r>
          </w:p>
        </w:tc>
      </w:tr>
    </w:tbl>
    <w:p w14:paraId="088AB01A">
      <w:pPr>
        <w:keepNext w:val="0"/>
        <w:keepLines w:val="0"/>
        <w:widowControl/>
        <w:suppressLineNumbers w:val="0"/>
        <w:jc w:val="left"/>
        <w:rPr>
          <w:rFonts w:hint="default"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（2）投料、打粉粉尘（G2）</w:t>
      </w:r>
    </w:p>
    <w:p w14:paraId="0A091671">
      <w:pPr>
        <w:keepNext w:val="0"/>
        <w:keepLines w:val="0"/>
        <w:widowControl/>
        <w:suppressLineNumbers w:val="0"/>
        <w:jc w:val="left"/>
        <w:rPr>
          <w:rFonts w:hint="default" w:ascii="Times New Roman" w:hAnsi="Times New Roman"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本项目粉尘主要源于酶制剂粉剂投料粉尘，及助剂粉剂投料、打粉阶段产生的粉尘。</w:t>
      </w:r>
      <w:r>
        <w:rPr>
          <w:rFonts w:hint="eastAsia" w:ascii="Times New Roman" w:hAnsi="Times New Roman" w:eastAsia="宋体" w:cs="Times New Roman"/>
          <w:color w:val="auto"/>
          <w:sz w:val="24"/>
          <w:szCs w:val="24"/>
          <w:highlight w:val="none"/>
          <w:u w:val="none" w:color="auto"/>
          <w:lang w:val="en-US" w:eastAsia="zh-CN"/>
        </w:rPr>
        <w:t>参照《《浙江恒弘新材料有限公司年产18万吨环保纺织助剂、5万吨特殊添加剂和纸管胶建设项目环评报告书》</w:t>
      </w:r>
      <w:r>
        <w:rPr>
          <w:rFonts w:hint="eastAsia"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粉状物料粉尘产生量为原料用料的0.1%。</w:t>
      </w:r>
    </w:p>
    <w:p w14:paraId="023CF68E">
      <w:pPr>
        <w:keepNext w:val="0"/>
        <w:keepLines w:val="0"/>
        <w:widowControl/>
        <w:suppressLineNumbers w:val="0"/>
        <w:jc w:val="left"/>
        <w:rPr>
          <w:rFonts w:hint="eastAsia" w:eastAsia="宋体" w:cs="Times New Roman"/>
          <w:color w:val="auto"/>
          <w:sz w:val="24"/>
          <w:szCs w:val="24"/>
          <w:highlight w:val="none"/>
          <w:u w:val="none" w:color="auto"/>
          <w:lang w:val="en-US" w:eastAsia="zh-CN"/>
        </w:rPr>
      </w:pPr>
      <w:r>
        <w:rPr>
          <w:rFonts w:hint="eastAsia" w:eastAsia="宋体" w:cs="Times New Roman"/>
          <w:color w:val="auto"/>
          <w:sz w:val="24"/>
          <w:szCs w:val="24"/>
          <w:highlight w:val="none"/>
          <w:u w:val="none" w:color="auto"/>
          <w:lang w:val="en-US" w:eastAsia="zh-CN"/>
        </w:rPr>
        <w:t>因此，考虑到本项目投料方式及涉及粉体物料物性特征，类比同类型项目投料和助剂打粉阶段产生的粉尘量为原料的0.1%。根据建设单位提供资料，本项目生物酶粉剂粉剂原料用量为1500t/a，则粉尘产生量为1.5t/a。助剂粉剂原料用量为761t/a（包含聚乙二醇4000、聚酯切片、平平加、防染粉（1#）的10%），则粉尘产生量为0.761t/a。则本项目酶剂粉剂投料和助剂粉剂投料、打粉阶段产生的粉尘一共产生量为2.261t/a。</w:t>
      </w:r>
    </w:p>
    <w:p w14:paraId="0890EC52">
      <w:pPr>
        <w:keepNext w:val="0"/>
        <w:keepLines w:val="0"/>
        <w:widowControl/>
        <w:suppressLineNumbers w:val="0"/>
        <w:jc w:val="left"/>
        <w:rPr>
          <w:rFonts w:hint="default"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酶制剂粉剂复配车间、</w:t>
      </w:r>
      <w:r>
        <w:rPr>
          <w:rFonts w:hint="eastAsia" w:eastAsia="宋体" w:cs="Times New Roman"/>
          <w:color w:val="auto"/>
          <w:sz w:val="24"/>
          <w:szCs w:val="24"/>
          <w:highlight w:val="none"/>
          <w:u w:val="none" w:color="auto"/>
          <w:lang w:val="en-US" w:eastAsia="zh-CN"/>
        </w:rPr>
        <w:t>固体助剂车间、</w:t>
      </w:r>
      <w:r>
        <w:rPr>
          <w:rFonts w:hint="eastAsia" w:ascii="Times New Roman" w:hAnsi="Times New Roman" w:eastAsia="宋体" w:cs="Times New Roman"/>
          <w:color w:val="auto"/>
          <w:sz w:val="24"/>
          <w:szCs w:val="24"/>
          <w:highlight w:val="none"/>
          <w:u w:val="none" w:color="auto"/>
          <w:lang w:val="en-US" w:eastAsia="zh-CN"/>
        </w:rPr>
        <w:t>打粉车间均为单独的密闭生产车间，车间在非运行时间进行定期通风，工作时进行密封。安</w:t>
      </w:r>
      <w:r>
        <w:rPr>
          <w:rFonts w:hint="eastAsia" w:eastAsia="宋体" w:cs="Times New Roman"/>
          <w:color w:val="auto"/>
          <w:sz w:val="24"/>
          <w:szCs w:val="24"/>
          <w:highlight w:val="none"/>
          <w:u w:val="none" w:color="auto"/>
          <w:lang w:val="en-US" w:eastAsia="zh-CN"/>
        </w:rPr>
        <w:t>装了粉尘收集装置和布袋除尘器，风机风量为2500</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m</w:t>
      </w:r>
      <w:r>
        <w:rPr>
          <w:rFonts w:hint="default" w:ascii="Times New Roman" w:hAnsi="Times New Roman" w:eastAsia="宋体" w:cs="Times New Roman"/>
          <w:b w:val="0"/>
          <w:bCs w:val="0"/>
          <w:i w:val="0"/>
          <w:color w:val="auto"/>
          <w:kern w:val="0"/>
          <w:sz w:val="24"/>
          <w:szCs w:val="24"/>
          <w:highlight w:val="none"/>
          <w:u w:val="none" w:color="auto"/>
          <w:vertAlign w:val="superscript"/>
          <w:lang w:val="en-US" w:eastAsia="zh-CN" w:bidi="ar"/>
        </w:rPr>
        <w:t>3</w:t>
      </w:r>
      <w:r>
        <w:rPr>
          <w:rFonts w:hint="default" w:ascii="Times New Roman" w:hAnsi="Times New Roman" w:eastAsia="宋体" w:cs="Times New Roman"/>
          <w:b w:val="0"/>
          <w:bCs w:val="0"/>
          <w:i w:val="0"/>
          <w:color w:val="auto"/>
          <w:kern w:val="0"/>
          <w:sz w:val="24"/>
          <w:szCs w:val="24"/>
          <w:highlight w:val="none"/>
          <w:u w:val="none" w:color="auto"/>
          <w:lang w:val="en-US" w:eastAsia="zh-CN" w:bidi="ar"/>
        </w:rPr>
        <w:t>/h</w:t>
      </w:r>
      <w:r>
        <w:rPr>
          <w:rFonts w:hint="eastAsia" w:eastAsia="宋体" w:cs="Times New Roman"/>
          <w:color w:val="auto"/>
          <w:sz w:val="24"/>
          <w:szCs w:val="24"/>
          <w:highlight w:val="none"/>
          <w:u w:val="none" w:color="auto"/>
          <w:lang w:val="en-US" w:eastAsia="zh-CN"/>
        </w:rPr>
        <w:t>，不设置集中风网式外排气筒，粉尘收集后通过布袋除尘器进行处理后无组织排放在车间内，布袋处理后的粉尘经收集后返回车间重新回用于生产，未收集到的少量粉尘则在车间内自然沉降，定期清扫作为辅料进行回收利用。粉尘收集效率为95%，布袋除尘器处理效率为99%。则粉尘逸散产生量为2.261</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（1-9</w:t>
      </w:r>
      <w:r>
        <w:rPr>
          <w:rFonts w:hint="eastAsia" w:eastAsia="宋体" w:cs="Times New Roman"/>
          <w:color w:val="auto"/>
          <w:sz w:val="24"/>
          <w:szCs w:val="24"/>
          <w:highlight w:val="none"/>
          <w:u w:val="none" w:color="auto"/>
          <w:lang w:val="en-US" w:eastAsia="zh-CN"/>
        </w:rPr>
        <w:t>5</w:t>
      </w:r>
      <w:r>
        <w:rPr>
          <w:rFonts w:hint="eastAsia" w:ascii="Times New Roman" w:hAnsi="Times New Roman" w:eastAsia="宋体" w:cs="Times New Roman"/>
          <w:color w:val="auto"/>
          <w:sz w:val="24"/>
          <w:szCs w:val="24"/>
          <w:highlight w:val="none"/>
          <w:u w:val="none" w:color="auto"/>
          <w:lang w:val="en-US" w:eastAsia="zh-CN"/>
        </w:rPr>
        <w:t>%）+</w:t>
      </w:r>
      <w:r>
        <w:rPr>
          <w:rFonts w:hint="eastAsia" w:eastAsia="宋体" w:cs="Times New Roman"/>
          <w:color w:val="auto"/>
          <w:sz w:val="24"/>
          <w:szCs w:val="24"/>
          <w:highlight w:val="none"/>
          <w:u w:val="none" w:color="auto"/>
          <w:lang w:val="en-US" w:eastAsia="zh-CN"/>
        </w:rPr>
        <w:t>2.261</w:t>
      </w:r>
      <w:r>
        <w:rPr>
          <w:rFonts w:hint="default" w:ascii="Times New Roman" w:hAnsi="Times New Roman" w:eastAsia="宋体" w:cs="Times New Roman"/>
          <w:color w:val="auto"/>
          <w:sz w:val="24"/>
          <w:szCs w:val="24"/>
          <w:highlight w:val="none"/>
          <w:u w:val="none" w:color="auto"/>
          <w:lang w:val="en-US" w:eastAsia="zh-CN"/>
        </w:rPr>
        <w:t>×</w:t>
      </w:r>
      <w:r>
        <w:rPr>
          <w:rFonts w:hint="eastAsia" w:ascii="Times New Roman" w:hAnsi="Times New Roman" w:eastAsia="宋体" w:cs="Times New Roman"/>
          <w:color w:val="auto"/>
          <w:sz w:val="24"/>
          <w:szCs w:val="24"/>
          <w:highlight w:val="none"/>
          <w:u w:val="none" w:color="auto"/>
          <w:lang w:val="en-US" w:eastAsia="zh-CN"/>
        </w:rPr>
        <w:t>9</w:t>
      </w:r>
      <w:r>
        <w:rPr>
          <w:rFonts w:hint="eastAsia" w:eastAsia="宋体" w:cs="Times New Roman"/>
          <w:color w:val="auto"/>
          <w:sz w:val="24"/>
          <w:szCs w:val="24"/>
          <w:highlight w:val="none"/>
          <w:u w:val="none" w:color="auto"/>
          <w:lang w:val="en-US" w:eastAsia="zh-CN"/>
        </w:rPr>
        <w:t>5</w:t>
      </w:r>
      <w:r>
        <w:rPr>
          <w:rFonts w:hint="eastAsia" w:ascii="Times New Roman" w:hAnsi="Times New Roman" w:eastAsia="宋体" w:cs="Times New Roman"/>
          <w:color w:val="auto"/>
          <w:sz w:val="24"/>
          <w:szCs w:val="24"/>
          <w:highlight w:val="none"/>
          <w:u w:val="none" w:color="auto"/>
          <w:lang w:val="en-US" w:eastAsia="zh-CN"/>
        </w:rPr>
        <w:t>%（1-99%）=</w:t>
      </w:r>
      <w:r>
        <w:rPr>
          <w:rFonts w:hint="eastAsia" w:eastAsia="宋体" w:cs="Times New Roman"/>
          <w:color w:val="auto"/>
          <w:sz w:val="24"/>
          <w:szCs w:val="24"/>
          <w:highlight w:val="none"/>
          <w:u w:val="none" w:color="auto"/>
          <w:lang w:val="en-US" w:eastAsia="zh-CN"/>
        </w:rPr>
        <w:t>0.134</w:t>
      </w:r>
      <w:r>
        <w:rPr>
          <w:rFonts w:hint="eastAsia" w:ascii="Times New Roman" w:hAnsi="Times New Roman" w:eastAsia="宋体" w:cs="Times New Roman"/>
          <w:color w:val="auto"/>
          <w:sz w:val="24"/>
          <w:szCs w:val="24"/>
          <w:highlight w:val="none"/>
          <w:u w:val="none" w:color="auto"/>
          <w:lang w:val="en-US" w:eastAsia="zh-CN"/>
        </w:rPr>
        <w:t>t/a。则拟建项目</w:t>
      </w:r>
      <w:r>
        <w:rPr>
          <w:rFonts w:hint="eastAsia" w:eastAsia="宋体" w:cs="Times New Roman"/>
          <w:color w:val="auto"/>
          <w:sz w:val="24"/>
          <w:szCs w:val="24"/>
          <w:highlight w:val="none"/>
          <w:u w:val="none" w:color="auto"/>
          <w:lang w:val="en-US" w:eastAsia="zh-CN"/>
        </w:rPr>
        <w:t>粉尘逸散产生</w:t>
      </w:r>
      <w:r>
        <w:rPr>
          <w:rFonts w:hint="eastAsia" w:ascii="Times New Roman" w:hAnsi="Times New Roman" w:eastAsia="宋体" w:cs="Times New Roman"/>
          <w:color w:val="auto"/>
          <w:sz w:val="24"/>
          <w:szCs w:val="24"/>
          <w:highlight w:val="none"/>
          <w:u w:val="none" w:color="auto"/>
          <w:lang w:val="en-US" w:eastAsia="zh-CN"/>
        </w:rPr>
        <w:t>量为0.</w:t>
      </w:r>
      <w:r>
        <w:rPr>
          <w:rFonts w:hint="eastAsia" w:eastAsia="宋体" w:cs="Times New Roman"/>
          <w:color w:val="auto"/>
          <w:sz w:val="24"/>
          <w:szCs w:val="24"/>
          <w:highlight w:val="none"/>
          <w:u w:val="none" w:color="auto"/>
          <w:lang w:val="en-US" w:eastAsia="zh-CN"/>
        </w:rPr>
        <w:t>134</w:t>
      </w:r>
      <w:r>
        <w:rPr>
          <w:rFonts w:hint="eastAsia" w:ascii="Times New Roman" w:hAnsi="Times New Roman" w:eastAsia="宋体" w:cs="Times New Roman"/>
          <w:color w:val="auto"/>
          <w:sz w:val="24"/>
          <w:szCs w:val="24"/>
          <w:highlight w:val="none"/>
          <w:u w:val="none" w:color="auto"/>
          <w:lang w:val="en-US" w:eastAsia="zh-CN"/>
        </w:rPr>
        <w:t xml:space="preserve">t/a。无组织粉尘逸散于车间内，部分沉降于车间地面，形成固态废物。沉降率以 </w:t>
      </w:r>
      <w:r>
        <w:rPr>
          <w:rFonts w:hint="eastAsia" w:eastAsia="宋体" w:cs="Times New Roman"/>
          <w:color w:val="auto"/>
          <w:sz w:val="24"/>
          <w:szCs w:val="24"/>
          <w:highlight w:val="none"/>
          <w:u w:val="none" w:color="auto"/>
          <w:lang w:val="en-US" w:eastAsia="zh-CN"/>
        </w:rPr>
        <w:t>90</w:t>
      </w:r>
      <w:r>
        <w:rPr>
          <w:rFonts w:hint="eastAsia" w:ascii="Times New Roman" w:hAnsi="Times New Roman" w:eastAsia="宋体" w:cs="Times New Roman"/>
          <w:color w:val="auto"/>
          <w:sz w:val="24"/>
          <w:szCs w:val="24"/>
          <w:highlight w:val="none"/>
          <w:u w:val="none" w:color="auto"/>
          <w:lang w:val="en-US" w:eastAsia="zh-CN"/>
        </w:rPr>
        <w:t>%计，沉降的粉尘量约0.</w:t>
      </w:r>
      <w:r>
        <w:rPr>
          <w:rFonts w:hint="eastAsia" w:eastAsia="宋体" w:cs="Times New Roman"/>
          <w:color w:val="auto"/>
          <w:sz w:val="24"/>
          <w:szCs w:val="24"/>
          <w:highlight w:val="none"/>
          <w:u w:val="none" w:color="auto"/>
          <w:lang w:val="en-US" w:eastAsia="zh-CN"/>
        </w:rPr>
        <w:t>1206</w:t>
      </w:r>
      <w:r>
        <w:rPr>
          <w:rFonts w:hint="eastAsia" w:ascii="Times New Roman" w:hAnsi="Times New Roman" w:eastAsia="宋体" w:cs="Times New Roman"/>
          <w:color w:val="auto"/>
          <w:sz w:val="24"/>
          <w:szCs w:val="24"/>
          <w:highlight w:val="none"/>
          <w:u w:val="none" w:color="auto"/>
          <w:lang w:val="en-US" w:eastAsia="zh-CN"/>
        </w:rPr>
        <w:t>t/a，则无组织粉尘排放量约</w:t>
      </w:r>
      <w:r>
        <w:rPr>
          <w:rFonts w:hint="eastAsia" w:eastAsia="宋体" w:cs="Times New Roman"/>
          <w:color w:val="auto"/>
          <w:sz w:val="24"/>
          <w:szCs w:val="24"/>
          <w:highlight w:val="none"/>
          <w:u w:val="none" w:color="auto"/>
          <w:lang w:val="en-US" w:eastAsia="zh-CN"/>
        </w:rPr>
        <w:t>0.0134</w:t>
      </w:r>
      <w:r>
        <w:rPr>
          <w:rFonts w:hint="eastAsia" w:ascii="Times New Roman" w:hAnsi="Times New Roman" w:eastAsia="宋体" w:cs="Times New Roman"/>
          <w:color w:val="auto"/>
          <w:sz w:val="24"/>
          <w:szCs w:val="24"/>
          <w:highlight w:val="none"/>
          <w:u w:val="none" w:color="auto"/>
          <w:lang w:val="en-US" w:eastAsia="zh-CN"/>
        </w:rPr>
        <w:t>t/a，无组织粉尘排放</w:t>
      </w:r>
      <w:r>
        <w:rPr>
          <w:rFonts w:hint="default" w:ascii="Times New Roman" w:hAnsi="Times New Roman" w:eastAsia="宋体" w:cs="Times New Roman"/>
          <w:i w:val="0"/>
          <w:iCs w:val="0"/>
          <w:color w:val="000000"/>
          <w:kern w:val="0"/>
          <w:sz w:val="24"/>
          <w:szCs w:val="24"/>
          <w:highlight w:val="none"/>
          <w:u w:val="none"/>
          <w:lang w:val="en-US" w:eastAsia="zh-CN" w:bidi="ar"/>
        </w:rPr>
        <w:t>速率</w:t>
      </w:r>
      <w:r>
        <w:rPr>
          <w:rFonts w:hint="eastAsia" w:eastAsia="宋体" w:cs="Times New Roman"/>
          <w:i w:val="0"/>
          <w:iCs w:val="0"/>
          <w:color w:val="000000"/>
          <w:kern w:val="0"/>
          <w:sz w:val="24"/>
          <w:szCs w:val="24"/>
          <w:highlight w:val="none"/>
          <w:u w:val="none"/>
          <w:lang w:val="en-US" w:eastAsia="zh-CN" w:bidi="ar"/>
        </w:rPr>
        <w:t>0.0055</w:t>
      </w:r>
      <w:r>
        <w:rPr>
          <w:rFonts w:hint="default" w:ascii="Times New Roman" w:hAnsi="Times New Roman" w:eastAsia="宋体" w:cs="Times New Roman"/>
          <w:i w:val="0"/>
          <w:iCs w:val="0"/>
          <w:color w:val="000000"/>
          <w:kern w:val="0"/>
          <w:sz w:val="24"/>
          <w:szCs w:val="24"/>
          <w:highlight w:val="none"/>
          <w:u w:val="none"/>
          <w:lang w:val="en-US" w:eastAsia="zh-CN" w:bidi="ar"/>
        </w:rPr>
        <w:t xml:space="preserve"> kg/h</w:t>
      </w:r>
      <w:r>
        <w:rPr>
          <w:rFonts w:hint="eastAsia" w:ascii="Times New Roman" w:hAnsi="Times New Roman" w:eastAsia="宋体" w:cs="Times New Roman"/>
          <w:color w:val="auto"/>
          <w:sz w:val="24"/>
          <w:szCs w:val="24"/>
          <w:highlight w:val="none"/>
          <w:u w:val="none" w:color="auto"/>
          <w:lang w:val="en-US" w:eastAsia="zh-CN"/>
        </w:rPr>
        <w:t>。</w:t>
      </w:r>
      <w:r>
        <w:rPr>
          <w:rFonts w:hint="eastAsia" w:eastAsia="宋体" w:cs="Times New Roman"/>
          <w:color w:val="auto"/>
          <w:sz w:val="24"/>
          <w:szCs w:val="24"/>
          <w:highlight w:val="none"/>
          <w:u w:val="none" w:color="auto"/>
          <w:lang w:val="en-US" w:eastAsia="zh-CN"/>
        </w:rPr>
        <w:t>最终布袋除尘器收集的粉尘量为2.127</w:t>
      </w:r>
      <w:r>
        <w:rPr>
          <w:rFonts w:hint="eastAsia" w:ascii="Times New Roman" w:hAnsi="Times New Roman" w:eastAsia="宋体" w:cs="Times New Roman"/>
          <w:color w:val="auto"/>
          <w:sz w:val="24"/>
          <w:szCs w:val="24"/>
          <w:highlight w:val="none"/>
          <w:u w:val="none" w:color="auto"/>
          <w:lang w:val="en-US" w:eastAsia="zh-CN"/>
        </w:rPr>
        <w:t>t/a</w:t>
      </w:r>
      <w:r>
        <w:rPr>
          <w:rFonts w:hint="eastAsia" w:eastAsia="宋体" w:cs="Times New Roman"/>
          <w:color w:val="auto"/>
          <w:sz w:val="24"/>
          <w:szCs w:val="24"/>
          <w:highlight w:val="none"/>
          <w:u w:val="none" w:color="auto"/>
          <w:lang w:val="en-US" w:eastAsia="zh-CN"/>
        </w:rPr>
        <w:t>。</w:t>
      </w:r>
    </w:p>
    <w:p w14:paraId="3B9EB441">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eastAsia="宋体" w:cs="Times New Roman"/>
          <w:b/>
          <w:bCs/>
          <w:color w:val="auto"/>
          <w:sz w:val="24"/>
          <w:szCs w:val="24"/>
          <w:highlight w:val="none"/>
          <w:u w:val="none" w:color="auto"/>
          <w:lang w:val="en-US" w:eastAsia="zh-CN"/>
        </w:rPr>
      </w:pPr>
    </w:p>
    <w:p w14:paraId="11E1484A">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eastAsia="宋体" w:cs="Times New Roman"/>
          <w:b/>
          <w:bCs/>
          <w:color w:val="auto"/>
          <w:sz w:val="24"/>
          <w:szCs w:val="24"/>
          <w:highlight w:val="none"/>
          <w:u w:val="none" w:color="auto"/>
          <w:lang w:val="en-US" w:eastAsia="zh-CN"/>
        </w:rPr>
      </w:pPr>
    </w:p>
    <w:p w14:paraId="2C0AD08D">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eastAsia" w:eastAsia="宋体" w:cs="Times New Roman"/>
          <w:b/>
          <w:bCs/>
          <w:i w:val="0"/>
          <w:color w:val="auto"/>
          <w:kern w:val="0"/>
          <w:sz w:val="24"/>
          <w:szCs w:val="24"/>
          <w:highlight w:val="none"/>
          <w:u w:val="none" w:color="auto"/>
          <w:vertAlign w:val="baseline"/>
          <w:lang w:val="en-US" w:eastAsia="zh-CN" w:bidi="ar"/>
        </w:rPr>
      </w:pPr>
      <w:r>
        <w:rPr>
          <w:rFonts w:hint="eastAsia" w:eastAsia="宋体" w:cs="Times New Roman"/>
          <w:b/>
          <w:bCs/>
          <w:color w:val="auto"/>
          <w:sz w:val="24"/>
          <w:szCs w:val="24"/>
          <w:highlight w:val="none"/>
          <w:u w:val="none" w:color="auto"/>
          <w:lang w:val="en-US" w:eastAsia="zh-CN"/>
        </w:rPr>
        <w:t>表</w:t>
      </w:r>
      <w:r>
        <w:rPr>
          <w:rFonts w:hint="eastAsia" w:eastAsia="宋体" w:cs="Times New Roman"/>
          <w:b/>
          <w:bCs/>
          <w:i w:val="0"/>
          <w:color w:val="auto"/>
          <w:kern w:val="0"/>
          <w:sz w:val="24"/>
          <w:szCs w:val="24"/>
          <w:highlight w:val="none"/>
          <w:u w:val="none" w:color="auto"/>
          <w:vertAlign w:val="baseline"/>
          <w:lang w:val="en-US" w:eastAsia="zh-CN" w:bidi="ar"/>
        </w:rPr>
        <w:t>4.3-2 粉尘产排情况一览表</w:t>
      </w:r>
    </w:p>
    <w:tbl>
      <w:tblPr>
        <w:tblStyle w:val="23"/>
        <w:tblW w:w="4998" w:type="pct"/>
        <w:tblInd w:w="0" w:type="dxa"/>
        <w:tblLayout w:type="autofit"/>
        <w:tblCellMar>
          <w:top w:w="0" w:type="dxa"/>
          <w:left w:w="108" w:type="dxa"/>
          <w:bottom w:w="0" w:type="dxa"/>
          <w:right w:w="108" w:type="dxa"/>
        </w:tblCellMar>
      </w:tblPr>
      <w:tblGrid>
        <w:gridCol w:w="562"/>
        <w:gridCol w:w="714"/>
        <w:gridCol w:w="848"/>
        <w:gridCol w:w="2614"/>
        <w:gridCol w:w="1616"/>
        <w:gridCol w:w="2158"/>
      </w:tblGrid>
      <w:tr w14:paraId="162B7212">
        <w:trPr>
          <w:trHeight w:val="710" w:hRule="atLeast"/>
        </w:trPr>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7F6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污染物</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77C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产生量</w:t>
            </w:r>
          </w:p>
        </w:tc>
        <w:tc>
          <w:tcPr>
            <w:tcW w:w="4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125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风机风量m</w:t>
            </w:r>
            <w:r>
              <w:rPr>
                <w:rFonts w:hint="default" w:ascii="Times New Roman" w:hAnsi="Times New Roman" w:eastAsia="宋体" w:cs="Times New Roman"/>
                <w:color w:val="auto"/>
                <w:kern w:val="0"/>
                <w:sz w:val="21"/>
                <w:szCs w:val="21"/>
                <w:highlight w:val="none"/>
                <w:vertAlign w:val="superscript"/>
                <w:lang w:bidi="ar"/>
              </w:rPr>
              <w:t>3</w:t>
            </w:r>
            <w:r>
              <w:rPr>
                <w:rFonts w:hint="default" w:ascii="Times New Roman" w:hAnsi="Times New Roman" w:eastAsia="宋体" w:cs="Times New Roman"/>
                <w:color w:val="auto"/>
                <w:kern w:val="0"/>
                <w:sz w:val="21"/>
                <w:szCs w:val="21"/>
                <w:highlight w:val="none"/>
                <w:lang w:bidi="ar"/>
              </w:rPr>
              <w:t>/h</w:t>
            </w:r>
          </w:p>
        </w:tc>
        <w:tc>
          <w:tcPr>
            <w:tcW w:w="1535" w:type="pct"/>
            <w:vMerge w:val="restart"/>
            <w:tcBorders>
              <w:top w:val="single" w:color="000000" w:sz="4" w:space="0"/>
              <w:left w:val="single" w:color="000000" w:sz="4" w:space="0"/>
              <w:right w:val="single" w:color="000000" w:sz="4" w:space="0"/>
            </w:tcBorders>
            <w:shd w:val="clear" w:color="auto" w:fill="auto"/>
            <w:vAlign w:val="center"/>
          </w:tcPr>
          <w:p w14:paraId="329AEF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粉尘逸散在车间产生量</w:t>
            </w:r>
            <w:r>
              <w:rPr>
                <w:rFonts w:hint="default" w:ascii="Times New Roman" w:hAnsi="Times New Roman" w:eastAsia="宋体" w:cs="Times New Roman"/>
                <w:color w:val="auto"/>
                <w:kern w:val="0"/>
                <w:sz w:val="21"/>
                <w:szCs w:val="21"/>
                <w:highlight w:val="none"/>
                <w:lang w:bidi="ar"/>
              </w:rPr>
              <w:t>（t/a）</w:t>
            </w:r>
          </w:p>
        </w:tc>
        <w:tc>
          <w:tcPr>
            <w:tcW w:w="22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355D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无组织排放源强</w:t>
            </w:r>
          </w:p>
        </w:tc>
      </w:tr>
      <w:tr w14:paraId="50993318">
        <w:tblPrEx>
          <w:tblCellMar>
            <w:top w:w="0" w:type="dxa"/>
            <w:left w:w="108" w:type="dxa"/>
            <w:bottom w:w="0" w:type="dxa"/>
            <w:right w:w="108" w:type="dxa"/>
          </w:tblCellMar>
        </w:tblPrEx>
        <w:trPr>
          <w:trHeight w:val="285" w:hRule="atLeast"/>
        </w:trPr>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189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1BE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BB5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535" w:type="pct"/>
            <w:vMerge w:val="continue"/>
            <w:tcBorders>
              <w:left w:val="single" w:color="000000" w:sz="4" w:space="0"/>
              <w:bottom w:val="single" w:color="000000" w:sz="4" w:space="0"/>
              <w:right w:val="single" w:color="000000" w:sz="4" w:space="0"/>
            </w:tcBorders>
            <w:shd w:val="clear" w:color="auto" w:fill="auto"/>
            <w:vAlign w:val="center"/>
          </w:tcPr>
          <w:p w14:paraId="6839C8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1F5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排放量t/a</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17D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排放速率kg/h</w:t>
            </w:r>
          </w:p>
        </w:tc>
      </w:tr>
      <w:tr w14:paraId="7000C2B1">
        <w:tblPrEx>
          <w:tblCellMar>
            <w:top w:w="0" w:type="dxa"/>
            <w:left w:w="108" w:type="dxa"/>
            <w:bottom w:w="0" w:type="dxa"/>
            <w:right w:w="108" w:type="dxa"/>
          </w:tblCellMar>
        </w:tblPrEx>
        <w:trPr>
          <w:trHeight w:val="285"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A1C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49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2.2</w:t>
            </w:r>
            <w:r>
              <w:rPr>
                <w:rFonts w:hint="eastAsia" w:eastAsia="宋体" w:cs="Times New Roman"/>
                <w:i w:val="0"/>
                <w:iCs w:val="0"/>
                <w:color w:val="auto"/>
                <w:kern w:val="0"/>
                <w:sz w:val="21"/>
                <w:szCs w:val="21"/>
                <w:highlight w:val="none"/>
                <w:u w:val="none"/>
                <w:lang w:val="en-US" w:eastAsia="zh-CN" w:bidi="ar"/>
              </w:rPr>
              <w:t>61</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809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5000</w:t>
            </w:r>
          </w:p>
        </w:tc>
        <w:tc>
          <w:tcPr>
            <w:tcW w:w="1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4B5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val="en-US" w:eastAsia="zh-CN" w:bidi="ar"/>
              </w:rPr>
              <w:t>0.134</w:t>
            </w:r>
          </w:p>
        </w:tc>
        <w:tc>
          <w:tcPr>
            <w:tcW w:w="9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9C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bidi="ar"/>
              </w:rPr>
            </w:pPr>
            <w:r>
              <w:rPr>
                <w:rFonts w:hint="eastAsia" w:eastAsia="宋体" w:cs="Times New Roman"/>
                <w:color w:val="auto"/>
                <w:sz w:val="21"/>
                <w:szCs w:val="21"/>
                <w:highlight w:val="none"/>
                <w:u w:val="none" w:color="auto"/>
                <w:lang w:val="en-US" w:eastAsia="zh-CN"/>
              </w:rPr>
              <w:t>0.0134</w:t>
            </w:r>
          </w:p>
        </w:tc>
        <w:tc>
          <w:tcPr>
            <w:tcW w:w="12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997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eastAsia="宋体" w:cs="Times New Roman"/>
                <w:i w:val="0"/>
                <w:iCs w:val="0"/>
                <w:color w:val="000000"/>
                <w:kern w:val="0"/>
                <w:sz w:val="21"/>
                <w:szCs w:val="21"/>
                <w:highlight w:val="none"/>
                <w:u w:val="none"/>
                <w:lang w:val="en-US" w:eastAsia="zh-CN" w:bidi="ar"/>
              </w:rPr>
              <w:t>0.0055</w:t>
            </w:r>
          </w:p>
        </w:tc>
      </w:tr>
    </w:tbl>
    <w:p w14:paraId="18EA76C0">
      <w:pPr>
        <w:keepNext w:val="0"/>
        <w:keepLines w:val="0"/>
        <w:widowControl/>
        <w:numPr>
          <w:ilvl w:val="0"/>
          <w:numId w:val="8"/>
        </w:numPr>
        <w:suppressLineNumbers w:val="0"/>
        <w:ind w:left="80" w:leftChars="0" w:firstLine="482" w:firstLineChars="0"/>
        <w:jc w:val="left"/>
        <w:rPr>
          <w:rFonts w:hint="eastAsia"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厨房油烟废气（G3）</w:t>
      </w:r>
    </w:p>
    <w:p w14:paraId="1A900707">
      <w:pPr>
        <w:adjustRightInd w:val="0"/>
        <w:snapToGrid w:val="0"/>
        <w:ind w:firstLine="42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根据建设方提供的资料，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项目就餐人数为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14:textFill>
            <w14:solidFill>
              <w14:schemeClr w14:val="tx1"/>
            </w14:solidFill>
          </w14:textFill>
        </w:rPr>
        <w:t>人，厨房油烟废气主要成分是动植物油烟。人均食用油用量约30g/人·d，一般油烟挥发量占总耗油量的2%～3%，平均2.84%，则食堂油烟产生量为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0.0085</w:t>
      </w:r>
      <w:r>
        <w:rPr>
          <w:rFonts w:hint="default" w:ascii="Times New Roman" w:hAnsi="Times New Roman" w:eastAsia="宋体" w:cs="Times New Roman"/>
          <w:color w:val="000000" w:themeColor="text1"/>
          <w:sz w:val="24"/>
          <w:szCs w:val="24"/>
          <w:highlight w:val="none"/>
          <w14:textFill>
            <w14:solidFill>
              <w14:schemeClr w14:val="tx1"/>
            </w14:solidFill>
          </w14:textFill>
        </w:rPr>
        <w:t>kg/d。设一个基准灶头，灶头的排油烟机的总设计风量为</w:t>
      </w:r>
      <w:r>
        <w:rPr>
          <w:rFonts w:hint="eastAsia"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000m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/h，每天的工作时间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餐），建设单位安装净化效率不低于</w:t>
      </w:r>
      <w:r>
        <w:rPr>
          <w:rFonts w:hint="eastAsia" w:eastAsia="宋体" w:cs="Times New Roman"/>
          <w:color w:val="000000" w:themeColor="text1"/>
          <w:sz w:val="24"/>
          <w:szCs w:val="24"/>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4"/>
          <w:szCs w:val="24"/>
          <w:highlight w:val="none"/>
          <w14:textFill>
            <w14:solidFill>
              <w14:schemeClr w14:val="tx1"/>
            </w14:solidFill>
          </w14:textFill>
        </w:rPr>
        <w:t>%的油烟净化装置，油烟经处理后排放浓度为0.</w:t>
      </w:r>
      <w:r>
        <w:rPr>
          <w:rFonts w:hint="eastAsia" w:eastAsia="宋体"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，油烟排放量为约0.00</w:t>
      </w:r>
      <w:r>
        <w:rPr>
          <w:rFonts w:hint="eastAsia"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t/a，满足《饮食业油烟排放标准（试行）》（GB18483-2001），饮食油烟经油烟净化器处理后经专用排烟管道于楼顶排放。</w:t>
      </w:r>
    </w:p>
    <w:p w14:paraId="05CAB8EC">
      <w:pPr>
        <w:keepNext w:val="0"/>
        <w:keepLines w:val="0"/>
        <w:widowControl/>
        <w:numPr>
          <w:ilvl w:val="0"/>
          <w:numId w:val="0"/>
        </w:numPr>
        <w:suppressLineNumbers w:val="0"/>
        <w:ind w:left="562" w:leftChars="0"/>
        <w:jc w:val="left"/>
        <w:rPr>
          <w:rFonts w:hint="eastAsia" w:eastAsia="宋体" w:cs="Times New Roman"/>
          <w:color w:val="auto"/>
          <w:sz w:val="24"/>
          <w:szCs w:val="24"/>
          <w:highlight w:val="none"/>
          <w:u w:val="none"/>
          <w:lang w:val="en-US" w:eastAsia="zh-CN"/>
        </w:rPr>
      </w:pPr>
      <w:r>
        <w:rPr>
          <w:rFonts w:hint="eastAsia" w:eastAsia="宋体" w:cs="Times New Roman"/>
          <w:color w:val="auto"/>
          <w:sz w:val="24"/>
          <w:szCs w:val="24"/>
          <w:highlight w:val="none"/>
          <w:u w:val="none"/>
          <w:lang w:val="en-US" w:eastAsia="zh-CN"/>
        </w:rPr>
        <w:t>（4）非正常工况废气</w:t>
      </w:r>
    </w:p>
    <w:p w14:paraId="51D16E42">
      <w:pPr>
        <w:adjustRightInd w:val="0"/>
        <w:snapToGrid w:val="0"/>
        <w:ind w:firstLine="420"/>
        <w:jc w:val="left"/>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非正常排放指生产中设备检修、工艺设备运转异常等非正常工况下的污染物排放，以及污染排放控制措施达不到应有效率等情况下的排放。</w:t>
      </w:r>
      <w:r>
        <w:rPr>
          <w:rFonts w:hint="eastAsia" w:ascii="Times New Roman" w:hAnsi="Times New Roman" w:eastAsia="宋体" w:cs="Times New Roman"/>
          <w:color w:val="000000" w:themeColor="text1"/>
          <w:sz w:val="24"/>
          <w:szCs w:val="24"/>
          <w:highlight w:val="none"/>
          <w14:textFill>
            <w14:solidFill>
              <w14:schemeClr w14:val="tx1"/>
            </w14:solidFill>
          </w14:textFill>
        </w:rPr>
        <w:t>根据项目污染源分析，本评价针对非正常工况下VOC</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s和粉尘</w:t>
      </w:r>
      <w:r>
        <w:rPr>
          <w:rFonts w:hint="eastAsia" w:ascii="Times New Roman" w:hAnsi="Times New Roman" w:eastAsia="宋体" w:cs="Times New Roman"/>
          <w:color w:val="000000" w:themeColor="text1"/>
          <w:sz w:val="24"/>
          <w:szCs w:val="24"/>
          <w:highlight w:val="none"/>
          <w14:textFill>
            <w14:solidFill>
              <w14:schemeClr w14:val="tx1"/>
            </w14:solidFill>
          </w14:textFill>
        </w:rPr>
        <w:t>的污染源源强进行核算。</w:t>
      </w:r>
    </w:p>
    <w:p w14:paraId="5B7116C1">
      <w:pPr>
        <w:adjustRightInd w:val="0"/>
        <w:snapToGrid w:val="0"/>
        <w:ind w:firstLine="42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VOC</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s</w:t>
      </w:r>
      <w:r>
        <w:rPr>
          <w:rFonts w:hint="eastAsia" w:ascii="Times New Roman" w:hAnsi="Times New Roman" w:eastAsia="宋体" w:cs="Times New Roman"/>
          <w:color w:val="000000" w:themeColor="text1"/>
          <w:sz w:val="24"/>
          <w:szCs w:val="24"/>
          <w:highlight w:val="none"/>
          <w14:textFill>
            <w14:solidFill>
              <w14:schemeClr w14:val="tx1"/>
            </w14:solidFill>
          </w14:textFill>
        </w:rPr>
        <w:t>的非正常工况情况下主要指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二级活性炭吸附装置</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达不到应有效率等情况下的排放，</w:t>
      </w:r>
      <w:r>
        <w:rPr>
          <w:rFonts w:hint="eastAsia" w:ascii="Times New Roman" w:hAnsi="Times New Roman" w:eastAsia="宋体" w:cs="Times New Roman"/>
          <w:color w:val="000000" w:themeColor="text1"/>
          <w:sz w:val="24"/>
          <w:szCs w:val="24"/>
          <w:highlight w:val="none"/>
          <w14:textFill>
            <w14:solidFill>
              <w14:schemeClr w14:val="tx1"/>
            </w14:solidFill>
          </w14:textFill>
        </w:rPr>
        <w:t>而导致VOC</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s未经处理</w:t>
      </w:r>
      <w:r>
        <w:rPr>
          <w:rFonts w:hint="eastAsia" w:ascii="Times New Roman" w:hAnsi="Times New Roman" w:eastAsia="宋体" w:cs="Times New Roman"/>
          <w:color w:val="000000" w:themeColor="text1"/>
          <w:sz w:val="24"/>
          <w:szCs w:val="24"/>
          <w:highlight w:val="none"/>
          <w14:textFill>
            <w14:solidFill>
              <w14:schemeClr w14:val="tx1"/>
            </w14:solidFill>
          </w14:textFill>
        </w:rPr>
        <w:t>直接排放。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粉尘</w:t>
      </w:r>
      <w:r>
        <w:rPr>
          <w:rFonts w:hint="eastAsia" w:ascii="Times New Roman" w:hAnsi="Times New Roman" w:eastAsia="宋体" w:cs="Times New Roman"/>
          <w:color w:val="000000" w:themeColor="text1"/>
          <w:sz w:val="24"/>
          <w:szCs w:val="24"/>
          <w:highlight w:val="none"/>
          <w14:textFill>
            <w14:solidFill>
              <w14:schemeClr w14:val="tx1"/>
            </w14:solidFill>
          </w14:textFill>
        </w:rPr>
        <w:t>的非正常工况情况下主要指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布袋除尘器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达不到应有效率等情况下的排放，</w:t>
      </w:r>
      <w:r>
        <w:rPr>
          <w:rFonts w:hint="eastAsia" w:ascii="Times New Roman" w:hAnsi="Times New Roman" w:eastAsia="宋体" w:cs="Times New Roman"/>
          <w:color w:val="000000" w:themeColor="text1"/>
          <w:sz w:val="24"/>
          <w:szCs w:val="24"/>
          <w:highlight w:val="none"/>
          <w14:textFill>
            <w14:solidFill>
              <w14:schemeClr w14:val="tx1"/>
            </w14:solidFill>
          </w14:textFill>
        </w:rPr>
        <w:t>而导致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粉尘未经处理直接排放。本次按收集效率和废气处置设施处理效率都为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0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时作为非正常工况的最不利后果。非正常工况频率 按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1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年，单次持续时间约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1h</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169D2F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表4.3-3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非正常工况废气污染物排放一览表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125"/>
        <w:gridCol w:w="1200"/>
        <w:gridCol w:w="1320"/>
        <w:gridCol w:w="1260"/>
        <w:gridCol w:w="990"/>
        <w:gridCol w:w="1882"/>
      </w:tblGrid>
      <w:tr w14:paraId="2D5C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0B02A8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序号</w:t>
            </w:r>
          </w:p>
        </w:tc>
        <w:tc>
          <w:tcPr>
            <w:tcW w:w="1125" w:type="dxa"/>
            <w:vAlign w:val="center"/>
          </w:tcPr>
          <w:p w14:paraId="7C518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污染物</w:t>
            </w:r>
          </w:p>
        </w:tc>
        <w:tc>
          <w:tcPr>
            <w:tcW w:w="1200" w:type="dxa"/>
            <w:vAlign w:val="center"/>
          </w:tcPr>
          <w:p w14:paraId="7906A1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非正常排放浓度（</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sz w:val="21"/>
                <w:szCs w:val="21"/>
                <w:highlight w:val="none"/>
                <w:vertAlign w:val="baseline"/>
                <w:lang w:val="en-US" w:eastAsia="zh-CN"/>
              </w:rPr>
              <w:t>）</w:t>
            </w:r>
          </w:p>
        </w:tc>
        <w:tc>
          <w:tcPr>
            <w:tcW w:w="1320" w:type="dxa"/>
            <w:vAlign w:val="center"/>
          </w:tcPr>
          <w:p w14:paraId="22D63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非正常排放速率（</w:t>
            </w:r>
            <w:r>
              <w:rPr>
                <w:rFonts w:hint="default" w:ascii="Times New Roman" w:hAnsi="Times New Roman" w:eastAsia="宋体" w:cs="Times New Roman"/>
                <w:color w:val="auto"/>
                <w:kern w:val="0"/>
                <w:sz w:val="21"/>
                <w:szCs w:val="21"/>
                <w:highlight w:val="none"/>
                <w:lang w:bidi="ar"/>
              </w:rPr>
              <w:t>kg/h</w:t>
            </w:r>
            <w:r>
              <w:rPr>
                <w:rFonts w:hint="default" w:ascii="Times New Roman" w:hAnsi="Times New Roman" w:eastAsia="宋体" w:cs="Times New Roman"/>
                <w:sz w:val="21"/>
                <w:szCs w:val="21"/>
                <w:highlight w:val="none"/>
                <w:vertAlign w:val="baseline"/>
                <w:lang w:val="en-US" w:eastAsia="zh-CN"/>
              </w:rPr>
              <w:t>）</w:t>
            </w:r>
          </w:p>
        </w:tc>
        <w:tc>
          <w:tcPr>
            <w:tcW w:w="1260" w:type="dxa"/>
            <w:vAlign w:val="center"/>
          </w:tcPr>
          <w:p w14:paraId="3616E2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单次持续</w:t>
            </w:r>
          </w:p>
        </w:tc>
        <w:tc>
          <w:tcPr>
            <w:tcW w:w="990" w:type="dxa"/>
            <w:vAlign w:val="center"/>
          </w:tcPr>
          <w:p w14:paraId="26B8CF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年发生频次</w:t>
            </w:r>
          </w:p>
        </w:tc>
        <w:tc>
          <w:tcPr>
            <w:tcW w:w="1882" w:type="dxa"/>
            <w:vAlign w:val="center"/>
          </w:tcPr>
          <w:p w14:paraId="3C7CC3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应对措施</w:t>
            </w:r>
          </w:p>
        </w:tc>
      </w:tr>
      <w:tr w14:paraId="3ED3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1BAC22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1</w:t>
            </w:r>
          </w:p>
        </w:tc>
        <w:tc>
          <w:tcPr>
            <w:tcW w:w="1125" w:type="dxa"/>
            <w:vAlign w:val="center"/>
          </w:tcPr>
          <w:p w14:paraId="0CF761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color w:val="000000" w:themeColor="text1"/>
                <w:sz w:val="24"/>
                <w:szCs w:val="24"/>
                <w:highlight w:val="none"/>
                <w14:textFill>
                  <w14:solidFill>
                    <w14:schemeClr w14:val="tx1"/>
                  </w14:solidFill>
                </w14:textFill>
              </w:rPr>
              <w:t>VOC</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s</w:t>
            </w:r>
          </w:p>
        </w:tc>
        <w:tc>
          <w:tcPr>
            <w:tcW w:w="1200" w:type="dxa"/>
            <w:vAlign w:val="center"/>
          </w:tcPr>
          <w:p w14:paraId="46CEA7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eastAsia="宋体" w:cs="Times New Roman"/>
                <w:sz w:val="21"/>
                <w:szCs w:val="21"/>
                <w:highlight w:val="none"/>
                <w:vertAlign w:val="baseline"/>
                <w:lang w:val="en-US" w:eastAsia="zh-CN"/>
              </w:rPr>
              <w:t>32.5</w:t>
            </w:r>
          </w:p>
        </w:tc>
        <w:tc>
          <w:tcPr>
            <w:tcW w:w="1320" w:type="dxa"/>
            <w:vAlign w:val="center"/>
          </w:tcPr>
          <w:p w14:paraId="1D58C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w:t>
            </w:r>
            <w:r>
              <w:rPr>
                <w:rFonts w:hint="eastAsia" w:eastAsia="宋体" w:cs="Times New Roman"/>
                <w:sz w:val="21"/>
                <w:szCs w:val="21"/>
                <w:highlight w:val="none"/>
                <w:vertAlign w:val="baseline"/>
                <w:lang w:val="en-US" w:eastAsia="zh-CN"/>
              </w:rPr>
              <w:t>488</w:t>
            </w:r>
          </w:p>
        </w:tc>
        <w:tc>
          <w:tcPr>
            <w:tcW w:w="1260" w:type="dxa"/>
            <w:vAlign w:val="center"/>
          </w:tcPr>
          <w:p w14:paraId="027FF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1h</w:t>
            </w:r>
          </w:p>
        </w:tc>
        <w:tc>
          <w:tcPr>
            <w:tcW w:w="990" w:type="dxa"/>
            <w:vAlign w:val="center"/>
          </w:tcPr>
          <w:p w14:paraId="75E6E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1</w:t>
            </w:r>
          </w:p>
        </w:tc>
        <w:tc>
          <w:tcPr>
            <w:tcW w:w="1882" w:type="dxa"/>
            <w:vMerge w:val="restart"/>
            <w:vAlign w:val="center"/>
          </w:tcPr>
          <w:p w14:paraId="53DEF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立即停止生产，直至废气处理设备恢复正常</w:t>
            </w:r>
          </w:p>
        </w:tc>
      </w:tr>
      <w:tr w14:paraId="68DC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038B1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2</w:t>
            </w:r>
          </w:p>
        </w:tc>
        <w:tc>
          <w:tcPr>
            <w:tcW w:w="1125" w:type="dxa"/>
            <w:vAlign w:val="center"/>
          </w:tcPr>
          <w:p w14:paraId="53F457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粉尘</w:t>
            </w:r>
          </w:p>
        </w:tc>
        <w:tc>
          <w:tcPr>
            <w:tcW w:w="1200" w:type="dxa"/>
            <w:vAlign w:val="center"/>
          </w:tcPr>
          <w:p w14:paraId="51F835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eastAsia="宋体" w:cs="Times New Roman"/>
                <w:sz w:val="21"/>
                <w:szCs w:val="21"/>
                <w:highlight w:val="none"/>
                <w:vertAlign w:val="baseline"/>
                <w:lang w:val="en-US" w:eastAsia="zh-CN"/>
              </w:rPr>
              <w:t>188.417</w:t>
            </w:r>
          </w:p>
        </w:tc>
        <w:tc>
          <w:tcPr>
            <w:tcW w:w="1320" w:type="dxa"/>
            <w:vAlign w:val="center"/>
          </w:tcPr>
          <w:p w14:paraId="7CD477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0.</w:t>
            </w:r>
            <w:r>
              <w:rPr>
                <w:rFonts w:hint="eastAsia" w:eastAsia="宋体" w:cs="Times New Roman"/>
                <w:sz w:val="21"/>
                <w:szCs w:val="21"/>
                <w:highlight w:val="none"/>
                <w:vertAlign w:val="baseline"/>
                <w:lang w:val="en-US" w:eastAsia="zh-CN"/>
              </w:rPr>
              <w:t>942</w:t>
            </w:r>
          </w:p>
        </w:tc>
        <w:tc>
          <w:tcPr>
            <w:tcW w:w="1260" w:type="dxa"/>
            <w:vAlign w:val="center"/>
          </w:tcPr>
          <w:p w14:paraId="7867AC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1h</w:t>
            </w:r>
          </w:p>
        </w:tc>
        <w:tc>
          <w:tcPr>
            <w:tcW w:w="990" w:type="dxa"/>
            <w:vAlign w:val="center"/>
          </w:tcPr>
          <w:p w14:paraId="330E04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1</w:t>
            </w:r>
          </w:p>
        </w:tc>
        <w:tc>
          <w:tcPr>
            <w:tcW w:w="1882" w:type="dxa"/>
            <w:vMerge w:val="continue"/>
            <w:vAlign w:val="center"/>
          </w:tcPr>
          <w:p w14:paraId="18688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p>
        </w:tc>
      </w:tr>
    </w:tbl>
    <w:p w14:paraId="6F2C3432">
      <w:pPr>
        <w:pStyle w:val="9"/>
        <w:bidi w:val="0"/>
        <w:rPr>
          <w:rFonts w:hint="eastAsia"/>
          <w:highlight w:val="none"/>
          <w:lang w:val="en-US" w:eastAsia="zh-CN"/>
        </w:rPr>
      </w:pPr>
      <w:r>
        <w:rPr>
          <w:rFonts w:hint="eastAsia"/>
          <w:highlight w:val="none"/>
          <w:lang w:val="en-US" w:eastAsia="zh-CN"/>
        </w:rPr>
        <w:t>4.3.2.2 废水污染源分析</w:t>
      </w:r>
    </w:p>
    <w:p w14:paraId="357BFE09">
      <w:pPr>
        <w:autoSpaceDE w:val="0"/>
        <w:autoSpaceDN w:val="0"/>
        <w:adjustRightInd w:val="0"/>
        <w:snapToGrid w:val="0"/>
        <w:ind w:firstLine="420"/>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本项目生产</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用水全部用于产品中不外排。</w:t>
      </w:r>
    </w:p>
    <w:p w14:paraId="2ACE80A9">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搅拌罐设备清洗用水回用于</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3T的助剂水剂搅拌罐</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，用于生产</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助剂水剂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防染剂。</w:t>
      </w:r>
      <w:r>
        <w:rPr>
          <w:rFonts w:hint="eastAsia" w:ascii="Times New Roman" w:hAnsi="Times New Roman" w:eastAsia="宋体" w:cs="Times New Roman"/>
          <w:spacing w:val="-2"/>
          <w:sz w:val="24"/>
          <w:szCs w:val="24"/>
          <w:highlight w:val="yellow"/>
          <w:lang w:val="en-US" w:eastAsia="zh-CN"/>
        </w:rPr>
        <w:t>防染剂的生产是在密闭的固体助剂车间向3T的</w:t>
      </w:r>
      <w:r>
        <w:rPr>
          <w:rFonts w:hint="default" w:ascii="Times New Roman" w:hAnsi="Times New Roman" w:eastAsia="宋体" w:cs="Times New Roman"/>
          <w:spacing w:val="-2"/>
          <w:sz w:val="24"/>
          <w:szCs w:val="24"/>
          <w:highlight w:val="yellow"/>
          <w:lang w:val="en-US" w:eastAsia="zh-CN"/>
        </w:rPr>
        <w:t>电加热搅拌釜</w:t>
      </w:r>
      <w:r>
        <w:rPr>
          <w:rFonts w:hint="eastAsia" w:ascii="Times New Roman" w:hAnsi="Times New Roman" w:eastAsia="宋体" w:cs="Times New Roman"/>
          <w:spacing w:val="-2"/>
          <w:sz w:val="24"/>
          <w:szCs w:val="24"/>
          <w:highlight w:val="yellow"/>
          <w:lang w:val="en-US" w:eastAsia="zh-CN"/>
        </w:rPr>
        <w:t>中，</w:t>
      </w:r>
      <w:r>
        <w:rPr>
          <w:rFonts w:hint="eastAsia" w:eastAsia="宋体" w:cs="Times New Roman"/>
          <w:color w:val="auto"/>
          <w:kern w:val="0"/>
          <w:sz w:val="24"/>
          <w:szCs w:val="24"/>
          <w:highlight w:val="yellow"/>
          <w:u w:val="none"/>
          <w:lang w:val="en-US" w:eastAsia="zh-CN"/>
        </w:rPr>
        <w:t>取</w:t>
      </w:r>
      <w:r>
        <w:rPr>
          <w:rFonts w:hint="eastAsia" w:ascii="Times New Roman" w:hAnsi="Times New Roman" w:eastAsia="宋体" w:cs="Times New Roman"/>
          <w:color w:val="auto"/>
          <w:kern w:val="0"/>
          <w:sz w:val="24"/>
          <w:szCs w:val="24"/>
          <w:highlight w:val="yellow"/>
          <w:u w:val="none"/>
          <w:lang w:val="en-US" w:eastAsia="zh-CN"/>
        </w:rPr>
        <w:t>本项目</w:t>
      </w:r>
      <w:r>
        <w:rPr>
          <w:rFonts w:hint="eastAsia" w:eastAsia="宋体" w:cs="Times New Roman"/>
          <w:color w:val="auto"/>
          <w:kern w:val="0"/>
          <w:sz w:val="24"/>
          <w:szCs w:val="24"/>
          <w:highlight w:val="yellow"/>
          <w:u w:val="none"/>
          <w:lang w:val="en-US" w:eastAsia="zh-CN"/>
        </w:rPr>
        <w:t>防染粉1#中间</w:t>
      </w:r>
      <w:r>
        <w:rPr>
          <w:rFonts w:hint="eastAsia" w:ascii="Times New Roman" w:hAnsi="Times New Roman" w:eastAsia="宋体" w:cs="Times New Roman"/>
          <w:color w:val="auto"/>
          <w:kern w:val="0"/>
          <w:sz w:val="24"/>
          <w:szCs w:val="24"/>
          <w:highlight w:val="yellow"/>
          <w:u w:val="none"/>
          <w:lang w:val="en-US" w:eastAsia="zh-CN"/>
        </w:rPr>
        <w:t>产品</w:t>
      </w:r>
      <w:r>
        <w:rPr>
          <w:rFonts w:hint="eastAsia" w:eastAsia="宋体" w:cs="Times New Roman"/>
          <w:color w:val="auto"/>
          <w:kern w:val="0"/>
          <w:sz w:val="24"/>
          <w:szCs w:val="24"/>
          <w:highlight w:val="yellow"/>
          <w:u w:val="none"/>
          <w:lang w:val="en-US" w:eastAsia="zh-CN"/>
        </w:rPr>
        <w:t>（</w:t>
      </w:r>
      <w:r>
        <w:rPr>
          <w:rFonts w:hint="eastAsia" w:ascii="Times New Roman" w:hAnsi="Times New Roman" w:eastAsia="宋体" w:cs="Times New Roman"/>
          <w:color w:val="auto"/>
          <w:kern w:val="0"/>
          <w:sz w:val="24"/>
          <w:szCs w:val="24"/>
          <w:highlight w:val="yellow"/>
          <w:u w:val="none"/>
          <w:lang w:val="en-US" w:eastAsia="zh-CN"/>
        </w:rPr>
        <w:t>20%</w:t>
      </w:r>
      <w:r>
        <w:rPr>
          <w:rFonts w:hint="eastAsia" w:eastAsia="宋体" w:cs="Times New Roman"/>
          <w:color w:val="auto"/>
          <w:kern w:val="0"/>
          <w:sz w:val="24"/>
          <w:szCs w:val="24"/>
          <w:highlight w:val="yellow"/>
          <w:u w:val="none"/>
          <w:lang w:val="en-US" w:eastAsia="zh-CN"/>
        </w:rPr>
        <w:t>助剂粉剂</w:t>
      </w:r>
      <w:r>
        <w:rPr>
          <w:rFonts w:hint="eastAsia" w:ascii="Times New Roman" w:hAnsi="Times New Roman" w:eastAsia="宋体" w:cs="Times New Roman"/>
          <w:color w:val="auto"/>
          <w:kern w:val="0"/>
          <w:sz w:val="24"/>
          <w:szCs w:val="24"/>
          <w:highlight w:val="yellow"/>
          <w:u w:val="none"/>
          <w:lang w:val="en-US" w:eastAsia="zh-CN"/>
        </w:rPr>
        <w:t>热浆</w:t>
      </w:r>
      <w:r>
        <w:rPr>
          <w:rFonts w:hint="eastAsia" w:eastAsia="宋体" w:cs="Times New Roman"/>
          <w:color w:val="auto"/>
          <w:kern w:val="0"/>
          <w:sz w:val="24"/>
          <w:szCs w:val="24"/>
          <w:highlight w:val="yellow"/>
          <w:u w:val="none"/>
          <w:lang w:val="en-US" w:eastAsia="zh-CN"/>
        </w:rPr>
        <w:t>）作为原材料</w:t>
      </w:r>
      <w:r>
        <w:rPr>
          <w:rFonts w:hint="eastAsia" w:ascii="Times New Roman" w:hAnsi="Times New Roman" w:eastAsia="宋体" w:cs="Times New Roman"/>
          <w:color w:val="auto"/>
          <w:kern w:val="0"/>
          <w:sz w:val="24"/>
          <w:szCs w:val="24"/>
          <w:highlight w:val="yellow"/>
          <w:u w:val="none"/>
          <w:lang w:val="en-US" w:eastAsia="zh-CN"/>
        </w:rPr>
        <w:t>加水开稀</w:t>
      </w:r>
      <w:r>
        <w:rPr>
          <w:rFonts w:hint="eastAsia" w:eastAsia="宋体" w:cs="Times New Roman"/>
          <w:color w:val="auto"/>
          <w:kern w:val="0"/>
          <w:sz w:val="24"/>
          <w:szCs w:val="24"/>
          <w:highlight w:val="yellow"/>
          <w:u w:val="none"/>
          <w:lang w:val="en-US" w:eastAsia="zh-CN"/>
        </w:rPr>
        <w:t>复配而成</w:t>
      </w:r>
      <w:r>
        <w:rPr>
          <w:rFonts w:hint="eastAsia" w:ascii="Times New Roman" w:hAnsi="Times New Roman" w:eastAsia="宋体" w:cs="Times New Roman"/>
          <w:spacing w:val="-2"/>
          <w:sz w:val="24"/>
          <w:szCs w:val="24"/>
          <w:highlight w:val="yellow"/>
          <w:lang w:val="en-US" w:eastAsia="zh-CN"/>
        </w:rPr>
        <w:t>（用水包括自来水，不足的用各搅拌罐设备的清洗水</w:t>
      </w:r>
      <w:r>
        <w:rPr>
          <w:rFonts w:hint="default" w:ascii="Times New Roman" w:hAnsi="Times New Roman" w:eastAsia="宋体" w:cs="Times New Roman"/>
          <w:spacing w:val="-2"/>
          <w:sz w:val="24"/>
          <w:szCs w:val="24"/>
          <w:highlight w:val="yellow"/>
          <w:lang w:val="en-US" w:eastAsia="zh-CN"/>
        </w:rPr>
        <w:t>回用于3T的助剂水剂搅拌罐</w:t>
      </w:r>
      <w:r>
        <w:rPr>
          <w:rFonts w:hint="eastAsia" w:eastAsia="宋体" w:cs="Times New Roman"/>
          <w:spacing w:val="-2"/>
          <w:sz w:val="24"/>
          <w:szCs w:val="24"/>
          <w:highlight w:val="yellow"/>
          <w:lang w:val="en-US" w:eastAsia="zh-CN"/>
        </w:rPr>
        <w:t>，由于本项目搅拌罐清洗次数很少，每次用水量很少，同时</w:t>
      </w:r>
      <w:r>
        <w:rPr>
          <w:rFonts w:hint="eastAsia" w:ascii="Times New Roman" w:hAnsi="Times New Roman" w:eastAsia="宋体" w:cs="Times New Roman"/>
          <w:spacing w:val="-2"/>
          <w:sz w:val="24"/>
          <w:szCs w:val="24"/>
          <w:highlight w:val="yellow"/>
          <w:lang w:val="en-US" w:eastAsia="zh-CN"/>
        </w:rPr>
        <w:t>各搅拌罐设备的清洗水</w:t>
      </w:r>
      <w:r>
        <w:rPr>
          <w:rFonts w:hint="eastAsia" w:eastAsia="宋体" w:cs="Times New Roman"/>
          <w:spacing w:val="-2"/>
          <w:sz w:val="24"/>
          <w:szCs w:val="24"/>
          <w:highlight w:val="yellow"/>
          <w:lang w:val="en-US" w:eastAsia="zh-CN"/>
        </w:rPr>
        <w:t>中残留的少量原材料不影响防染剂产品质量，因此搅拌罐清洗水回用于生产助剂水剂——防染剂可行</w:t>
      </w:r>
      <w:r>
        <w:rPr>
          <w:rFonts w:hint="eastAsia" w:ascii="Times New Roman" w:hAnsi="Times New Roman" w:eastAsia="宋体" w:cs="Times New Roman"/>
          <w:spacing w:val="-2"/>
          <w:sz w:val="24"/>
          <w:szCs w:val="24"/>
          <w:highlight w:val="yellow"/>
          <w:lang w:val="en-US" w:eastAsia="zh-CN"/>
        </w:rPr>
        <w:t>）</w:t>
      </w:r>
      <w:r>
        <w:rPr>
          <w:rFonts w:hint="eastAsia" w:ascii="Times New Roman" w:eastAsia="宋体" w:cs="Times New Roman"/>
          <w:spacing w:val="-2"/>
          <w:sz w:val="24"/>
          <w:szCs w:val="24"/>
          <w:highlight w:val="yellow"/>
          <w:lang w:val="en-US" w:eastAsia="zh-CN"/>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因此本项目产生的</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搅拌罐</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设备清洗水全部二次</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利用</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，回用于助剂水剂</w:t>
      </w:r>
      <w:r>
        <w:rPr>
          <w:rFonts w:hint="eastAsia" w:eastAsia="宋体" w:cs="Times New Roman"/>
          <w:spacing w:val="-2"/>
          <w:sz w:val="24"/>
          <w:szCs w:val="24"/>
          <w:highlight w:val="yellow"/>
          <w:lang w:val="en-US" w:eastAsia="zh-CN"/>
        </w:rPr>
        <w:t>——防染剂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中</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不</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外排。</w:t>
      </w:r>
    </w:p>
    <w:p w14:paraId="451B8CD5">
      <w:pPr>
        <w:autoSpaceDE w:val="0"/>
        <w:autoSpaceDN w:val="0"/>
        <w:adjustRightInd w:val="0"/>
        <w:snapToGrid w:val="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冷却水循环利用不外排。外排废水包括生活废水、</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地面清洁废水</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纯水制备浓水</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p>
    <w:p w14:paraId="3836341F">
      <w:pPr>
        <w:autoSpaceDE w:val="0"/>
        <w:autoSpaceDN w:val="0"/>
        <w:adjustRightInd w:val="0"/>
        <w:snapToGrid w:val="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①生活污水</w:t>
      </w:r>
    </w:p>
    <w:p w14:paraId="6FCFE3C6">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eastAsiaTheme="minorEastAsia"/>
          <w:sz w:val="24"/>
          <w:szCs w:val="24"/>
          <w:highlight w:val="none"/>
          <w:u w:val="none"/>
          <w:lang w:val="en-US" w:eastAsia="zh-CN"/>
        </w:rPr>
        <w:t>本项目</w:t>
      </w:r>
      <w:r>
        <w:rPr>
          <w:rFonts w:hint="default" w:ascii="Times New Roman" w:hAnsi="Times New Roman" w:cs="Times New Roman" w:eastAsiaTheme="minorEastAsia"/>
          <w:sz w:val="24"/>
          <w:szCs w:val="24"/>
          <w:highlight w:val="none"/>
          <w:u w:val="none"/>
        </w:rPr>
        <w:t>劳动定员 18 人，其中 10 人</w:t>
      </w:r>
      <w:r>
        <w:rPr>
          <w:rFonts w:hint="default" w:ascii="Times New Roman" w:hAnsi="Times New Roman" w:cs="Times New Roman" w:eastAsiaTheme="minorEastAsia"/>
          <w:sz w:val="24"/>
          <w:szCs w:val="24"/>
          <w:highlight w:val="none"/>
          <w:u w:val="none"/>
          <w:lang w:val="en-US" w:eastAsia="zh-CN"/>
        </w:rPr>
        <w:t>餐饮，不住</w:t>
      </w:r>
      <w:r>
        <w:rPr>
          <w:rFonts w:hint="default" w:ascii="Times New Roman" w:hAnsi="Times New Roman" w:cs="Times New Roman" w:eastAsiaTheme="minorEastAsia"/>
          <w:sz w:val="24"/>
          <w:szCs w:val="24"/>
          <w:highlight w:val="none"/>
          <w:lang w:val="en-US" w:eastAsia="zh-CN"/>
        </w:rPr>
        <w:t>宿。</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根据《湖南省用水定额》（DB43/T388-2020），非</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餐饮</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人员按</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45</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L/（人·d）计算；</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餐饮</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人员按140L/（人·d）计算，则生活用水量约</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1.48</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/d（</w:t>
      </w:r>
      <w:r>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 xml:space="preserve">444 </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m</w:t>
      </w:r>
      <w:r>
        <w:rPr>
          <w:rFonts w:hint="default" w:ascii="Times New Roman" w:hAnsi="Times New Roman" w:cs="Times New Roman" w:eastAsiaTheme="minorEastAsia"/>
          <w:color w:val="000000" w:themeColor="text1"/>
          <w:kern w:val="0"/>
          <w:sz w:val="24"/>
          <w:szCs w:val="24"/>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eastAsia="zh-CN"/>
          <w14:textFill>
            <w14:solidFill>
              <w14:schemeClr w14:val="tx1"/>
            </w14:solidFill>
          </w14:textFill>
        </w:rPr>
        <w:t>。</w:t>
      </w:r>
      <w:r>
        <w:rPr>
          <w:rFonts w:hint="default" w:ascii="Times New Roman" w:hAnsi="Times New Roman" w:cs="Times New Roman" w:eastAsiaTheme="minorEastAsia"/>
          <w:color w:val="auto"/>
          <w:sz w:val="24"/>
          <w:szCs w:val="24"/>
          <w:highlight w:val="none"/>
          <w:u w:val="none" w:color="auto"/>
        </w:rPr>
        <w:t>污水排放系数以80%计，则项目员工</w:t>
      </w:r>
      <w:r>
        <w:rPr>
          <w:rFonts w:hint="default" w:ascii="Times New Roman" w:hAnsi="Times New Roman" w:cs="Times New Roman" w:eastAsiaTheme="minorEastAsia"/>
          <w:color w:val="auto"/>
          <w:sz w:val="24"/>
          <w:szCs w:val="24"/>
          <w:highlight w:val="none"/>
          <w:u w:val="none" w:color="auto"/>
          <w:lang w:eastAsia="zh-CN"/>
        </w:rPr>
        <w:t>生活污水</w:t>
      </w:r>
      <w:r>
        <w:rPr>
          <w:rFonts w:hint="eastAsia" w:ascii="Times New Roman" w:hAnsi="Times New Roman" w:cs="Times New Roman" w:eastAsiaTheme="minorEastAsia"/>
          <w:color w:val="auto"/>
          <w:sz w:val="24"/>
          <w:szCs w:val="24"/>
          <w:highlight w:val="none"/>
          <w:u w:val="none" w:color="auto"/>
          <w:lang w:val="en-US" w:eastAsia="zh-CN"/>
        </w:rPr>
        <w:t>排放</w:t>
      </w:r>
      <w:r>
        <w:rPr>
          <w:rFonts w:hint="default" w:ascii="Times New Roman" w:hAnsi="Times New Roman" w:cs="Times New Roman" w:eastAsiaTheme="minorEastAsia"/>
          <w:color w:val="auto"/>
          <w:sz w:val="24"/>
          <w:szCs w:val="24"/>
          <w:highlight w:val="none"/>
          <w:u w:val="none" w:color="auto"/>
        </w:rPr>
        <w:t>量为</w:t>
      </w:r>
      <w:r>
        <w:rPr>
          <w:rFonts w:hint="default" w:ascii="Times New Roman" w:hAnsi="Times New Roman" w:cs="Times New Roman" w:eastAsiaTheme="minorEastAsia"/>
          <w:color w:val="auto"/>
          <w:sz w:val="24"/>
          <w:szCs w:val="24"/>
          <w:highlight w:val="none"/>
          <w:u w:val="none" w:color="auto"/>
          <w:lang w:val="en-US" w:eastAsia="zh-CN"/>
        </w:rPr>
        <w:t>1.184</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default" w:ascii="Times New Roman" w:hAnsi="Times New Roman" w:cs="Times New Roman" w:eastAsiaTheme="minorEastAsia"/>
          <w:color w:val="auto"/>
          <w:sz w:val="24"/>
          <w:szCs w:val="24"/>
          <w:highlight w:val="none"/>
          <w:u w:val="none" w:color="auto"/>
        </w:rPr>
        <w:t>/d</w:t>
      </w:r>
      <w:r>
        <w:rPr>
          <w:rFonts w:hint="default" w:ascii="Times New Roman" w:hAnsi="Times New Roman" w:cs="Times New Roman" w:eastAsiaTheme="minorEastAsia"/>
          <w:color w:val="auto"/>
          <w:sz w:val="24"/>
          <w:szCs w:val="24"/>
          <w:highlight w:val="none"/>
          <w:u w:val="none" w:color="auto"/>
          <w:lang w:eastAsia="zh-CN"/>
        </w:rPr>
        <w:t>（</w:t>
      </w:r>
      <w:r>
        <w:rPr>
          <w:rFonts w:hint="default" w:ascii="Times New Roman" w:hAnsi="Times New Roman" w:cs="Times New Roman" w:eastAsiaTheme="minorEastAsia"/>
          <w:color w:val="auto"/>
          <w:sz w:val="24"/>
          <w:szCs w:val="24"/>
          <w:highlight w:val="none"/>
          <w:u w:val="none" w:color="auto"/>
          <w:lang w:val="en-US" w:eastAsia="zh-CN"/>
        </w:rPr>
        <w:t>355.2</w:t>
      </w:r>
      <w:r>
        <w:rPr>
          <w:rFonts w:hint="default" w:ascii="Times New Roman" w:hAnsi="Times New Roman" w:cs="Times New Roman" w:eastAsiaTheme="minorEastAsia"/>
          <w:color w:val="auto"/>
          <w:sz w:val="24"/>
          <w:szCs w:val="24"/>
          <w:highlight w:val="none"/>
          <w:u w:val="none" w:color="auto"/>
        </w:rPr>
        <w:t>m</w:t>
      </w:r>
      <w:r>
        <w:rPr>
          <w:rFonts w:hint="default" w:ascii="Times New Roman" w:hAnsi="Times New Roman" w:cs="Times New Roman" w:eastAsiaTheme="minorEastAsia"/>
          <w:color w:val="auto"/>
          <w:sz w:val="24"/>
          <w:szCs w:val="24"/>
          <w:highlight w:val="none"/>
          <w:u w:val="none" w:color="auto"/>
          <w:vertAlign w:val="superscript"/>
        </w:rPr>
        <w:t>3</w:t>
      </w:r>
      <w:r>
        <w:rPr>
          <w:rFonts w:hint="default" w:ascii="Times New Roman" w:hAnsi="Times New Roman" w:cs="Times New Roman" w:eastAsiaTheme="minorEastAsia"/>
          <w:color w:val="auto"/>
          <w:sz w:val="24"/>
          <w:szCs w:val="24"/>
          <w:highlight w:val="none"/>
          <w:u w:val="none" w:color="auto"/>
        </w:rPr>
        <w:t>/</w:t>
      </w:r>
      <w:r>
        <w:rPr>
          <w:rFonts w:hint="default" w:ascii="Times New Roman" w:hAnsi="Times New Roman" w:cs="Times New Roman" w:eastAsiaTheme="minorEastAsia"/>
          <w:color w:val="auto"/>
          <w:sz w:val="24"/>
          <w:szCs w:val="24"/>
          <w:highlight w:val="none"/>
          <w:u w:val="none" w:color="auto"/>
          <w:lang w:val="en-US" w:eastAsia="zh-CN"/>
        </w:rPr>
        <w:t>a</w:t>
      </w:r>
      <w:r>
        <w:rPr>
          <w:rFonts w:hint="default" w:ascii="Times New Roman" w:hAnsi="Times New Roman" w:cs="Times New Roman" w:eastAsiaTheme="minorEastAsia"/>
          <w:color w:val="auto"/>
          <w:sz w:val="24"/>
          <w:szCs w:val="24"/>
          <w:highlight w:val="none"/>
          <w:u w:val="none" w:color="auto"/>
          <w:lang w:eastAsia="zh-CN"/>
        </w:rPr>
        <w:t>）</w:t>
      </w:r>
      <w:r>
        <w:rPr>
          <w:rFonts w:hint="eastAsia" w:ascii="Times New Roman" w:hAnsi="Times New Roman" w:cs="Times New Roman" w:eastAsiaTheme="minorEastAsia"/>
          <w:color w:val="auto"/>
          <w:sz w:val="24"/>
          <w:szCs w:val="24"/>
          <w:highlight w:val="none"/>
          <w:u w:val="none" w:color="auto"/>
          <w:lang w:eastAsia="zh-CN"/>
        </w:rPr>
        <w:t>。</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生活废水依托园区</w:t>
      </w:r>
      <w:r>
        <w:rPr>
          <w:rFonts w:hint="eastAsia" w:ascii="Times New Roman" w:hAnsi="Times New Roman" w:cs="Times New Roman" w:eastAsiaTheme="minorEastAsia"/>
          <w:color w:val="000000" w:themeColor="text1"/>
          <w:kern w:val="0"/>
          <w:sz w:val="24"/>
          <w:szCs w:val="24"/>
          <w:highlight w:val="none"/>
          <w14:textFill>
            <w14:solidFill>
              <w14:schemeClr w14:val="tx1"/>
            </w14:solidFill>
          </w14:textFill>
        </w:rPr>
        <w:t>创新创业基地</w:t>
      </w:r>
      <w:r>
        <w:rPr>
          <w:rFonts w:hint="eastAsia"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t>隔油池与化粪池预处理进入园区污水管网最终进入岳阳高新技术产业园污水处理厂。</w:t>
      </w:r>
    </w:p>
    <w:p w14:paraId="5B5C782F">
      <w:pPr>
        <w:widowControl/>
        <w:autoSpaceDN w:val="0"/>
        <w:adjustRightInd w:val="0"/>
        <w:snapToGrid w:val="0"/>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14:textFill>
            <w14:solidFill>
              <w14:schemeClr w14:val="tx1"/>
            </w14:solidFill>
          </w14:textFill>
        </w:rPr>
        <w:t>纯水制备浓水</w:t>
      </w:r>
    </w:p>
    <w:p w14:paraId="5E31C967">
      <w:pPr>
        <w:pStyle w:val="42"/>
        <w:keepNext w:val="0"/>
        <w:keepLines w:val="0"/>
        <w:pageBreakBefore w:val="0"/>
        <w:widowControl w:val="0"/>
        <w:numPr>
          <w:ilvl w:val="0"/>
          <w:numId w:val="0"/>
        </w:numPr>
        <w:kinsoku/>
        <w:wordWrap/>
        <w:overflowPunct/>
        <w:topLinePunct w:val="0"/>
        <w:autoSpaceDE/>
        <w:autoSpaceDN/>
        <w:bidi w:val="0"/>
        <w:adjustRightInd w:val="0"/>
        <w:snapToGrid w:val="0"/>
        <w:ind w:firstLine="48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本项目采用</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RO</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反渗透制水设备制备纯水，</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RO膜，即反渗透膜，</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反渗透是一项新的膜分离技术，是利用渗透压力差为动力的膜分离过滤技术。RO 反渗透膜孔径小至纳米级，在一定的压力下，水分子可以通过RO膜，而源水中的无机盐、重金属离子、有机物、胶体、细菌、病毒等杂质无法通过 RO 膜从而使可以透过的纯水和无法透过的浓缩水严格区分开来。</w:t>
      </w:r>
    </w:p>
    <w:p w14:paraId="7D292991">
      <w:pPr>
        <w:rPr>
          <w:rFonts w:hint="default" w:ascii="Times New Roman" w:hAnsi="Times New Roman" w:eastAsia="宋体" w:cs="Times New Roman"/>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kern w:val="0"/>
          <w:sz w:val="24"/>
          <w:szCs w:val="24"/>
          <w:highlight w:val="none"/>
          <w:lang w:val="en-US" w:eastAsia="zh-CN"/>
        </w:rPr>
        <w:t>反渗透制水设备</w:t>
      </w:r>
      <w:r>
        <w:rPr>
          <w:rFonts w:hint="default" w:ascii="Times New Roman" w:hAnsi="Times New Roman" w:eastAsia="宋体" w:cs="Times New Roman"/>
          <w:color w:val="000000" w:themeColor="text1"/>
          <w:sz w:val="24"/>
          <w:szCs w:val="24"/>
          <w:highlight w:val="none"/>
          <w14:textFill>
            <w14:solidFill>
              <w14:schemeClr w14:val="tx1"/>
            </w14:solidFill>
          </w14:textFill>
        </w:rPr>
        <w:t>制备纯水产生的清净水（浓水）产生量为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/a。根据参考《生活饮用水卫生标准》（GB5749-2006），纯水制备系统浓排水水质中pH值6.5~8.5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COD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浓度为</w:t>
      </w:r>
      <w:r>
        <w:rPr>
          <w:rFonts w:hint="default" w:ascii="Times New Roman" w:hAnsi="Times New Roman" w:eastAsia="宋体" w:cs="Times New Roman"/>
          <w:color w:val="000000" w:themeColor="text1"/>
          <w:sz w:val="24"/>
          <w:szCs w:val="24"/>
          <w:highlight w:val="none"/>
          <w14:textFill>
            <w14:solidFill>
              <w14:schemeClr w14:val="tx1"/>
            </w14:solidFill>
          </w14:textFill>
        </w:rPr>
        <w:t>30~50mg/L，纯水制备系统浓排水通过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污水管道</w:t>
      </w:r>
      <w:r>
        <w:rPr>
          <w:rFonts w:hint="default" w:ascii="Times New Roman" w:hAnsi="Times New Roman" w:eastAsia="宋体" w:cs="Times New Roman"/>
          <w:color w:val="000000" w:themeColor="text1"/>
          <w:sz w:val="24"/>
          <w:szCs w:val="24"/>
          <w:highlight w:val="none"/>
          <w14:textFill>
            <w14:solidFill>
              <w14:schemeClr w14:val="tx1"/>
            </w14:solidFill>
          </w14:textFill>
        </w:rPr>
        <w:t>排入市政污水管网进</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岳阳高新技术产业园污水处理厂处理。</w:t>
      </w:r>
    </w:p>
    <w:p w14:paraId="19206EC5">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③地面清洁废水</w:t>
      </w:r>
    </w:p>
    <w:p w14:paraId="65154004">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拟建项目</w:t>
      </w:r>
      <w:r>
        <w:rPr>
          <w:rFonts w:hint="eastAsia" w:ascii="Times New Roman" w:hAnsi="Times New Roman" w:eastAsia="宋体" w:cs="Times New Roman"/>
          <w:color w:val="000000" w:themeColor="text1"/>
          <w:sz w:val="24"/>
          <w:szCs w:val="24"/>
          <w:highlight w:val="none"/>
          <w14:textFill>
            <w14:solidFill>
              <w14:schemeClr w14:val="tx1"/>
            </w14:solidFill>
          </w14:textFill>
        </w:rPr>
        <w:t>车间粉尘均为原辅材料及产品，建设单位将对厂区的粉尘进行清扫后回用于工艺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再采用拖把对地面进行清洁。本项目地面清洁用水量约为30m</w:t>
      </w:r>
      <w:r>
        <w:rPr>
          <w:rFonts w:hint="default" w:ascii="Times New Roman" w:hAnsi="Times New Roman" w:eastAsia="宋体" w:cs="Times New Roman"/>
          <w:bCs/>
          <w:snapToGrid w:val="0"/>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/a</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废水产生系数取 80%，则地面清洁废水排放量约为 24m</w:t>
      </w:r>
      <w:r>
        <w:rPr>
          <w:rFonts w:hint="default" w:ascii="Times New Roman" w:hAnsi="Times New Roman" w:eastAsia="宋体" w:cs="Times New Roman"/>
          <w:bCs/>
          <w:snapToGrid w:val="0"/>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/a。类比《湖南凯瑞合诚生物科技有限公司年产1000吨生物酶及生物制品项目环境影响报告书》、《湖南晨金纺织有限公司年加工 3000 吨定型化纤布建设项目环评报告表》等同类企业，污染物产生浓度 CODcr:300mg/L，氨氮:5mg/L，SS:200mg/L</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地面清洁废水由沉淀池沉淀后</w:t>
      </w:r>
      <w:r>
        <w:rPr>
          <w:rFonts w:hint="default" w:ascii="Times New Roman" w:hAnsi="Times New Roman" w:eastAsia="宋体" w:cs="Times New Roman"/>
          <w:color w:val="000000" w:themeColor="text1"/>
          <w:sz w:val="24"/>
          <w:szCs w:val="24"/>
          <w:highlight w:val="none"/>
          <w14:textFill>
            <w14:solidFill>
              <w14:schemeClr w14:val="tx1"/>
            </w14:solidFill>
          </w14:textFill>
        </w:rPr>
        <w:t>通过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污水管道</w:t>
      </w:r>
      <w:r>
        <w:rPr>
          <w:rFonts w:hint="default" w:ascii="Times New Roman" w:hAnsi="Times New Roman" w:eastAsia="宋体" w:cs="Times New Roman"/>
          <w:color w:val="000000" w:themeColor="text1"/>
          <w:sz w:val="24"/>
          <w:szCs w:val="24"/>
          <w:highlight w:val="none"/>
          <w14:textFill>
            <w14:solidFill>
              <w14:schemeClr w14:val="tx1"/>
            </w14:solidFill>
          </w14:textFill>
        </w:rPr>
        <w:t>排入市政污水管网进</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岳阳高新技术产业园污水处理厂处理。</w:t>
      </w:r>
    </w:p>
    <w:p w14:paraId="084E5EA2">
      <w:pPr>
        <w:adjustRightInd w:val="0"/>
        <w:snapToGrid w:val="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w:t>
      </w:r>
      <w:r>
        <w:rPr>
          <w:rFonts w:hint="eastAsia" w:eastAsia="宋体" w:cs="Times New Roman"/>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highlight w:val="none"/>
          <w14:textFill>
            <w14:solidFill>
              <w14:schemeClr w14:val="tx1"/>
            </w14:solidFill>
          </w14:textFill>
        </w:rPr>
        <w:t>源强核算</w:t>
      </w:r>
    </w:p>
    <w:p w14:paraId="7C479757">
      <w:pPr>
        <w:widowControl/>
        <w:autoSpaceDN w:val="0"/>
        <w:adjustRightInd w:val="0"/>
        <w:snapToGrid w:val="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项目外排废水为职工生活污水（含食堂废水）和纯水制备浓水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地面清洁废水</w:t>
      </w:r>
      <w:r>
        <w:rPr>
          <w:rFonts w:hint="default" w:ascii="Times New Roman" w:hAnsi="Times New Roman" w:eastAsia="宋体" w:cs="Times New Roman"/>
          <w:color w:val="000000" w:themeColor="text1"/>
          <w:sz w:val="24"/>
          <w:szCs w:val="24"/>
          <w:highlight w:val="none"/>
          <w14:textFill>
            <w14:solidFill>
              <w14:schemeClr w14:val="tx1"/>
            </w14:solidFill>
          </w14:textFill>
        </w:rPr>
        <w:t>。变更项目废水源强如下表。</w:t>
      </w:r>
    </w:p>
    <w:p w14:paraId="622CFE00">
      <w:pPr>
        <w:keepNext w:val="0"/>
        <w:keepLines w:val="0"/>
        <w:pageBreakBefore w:val="0"/>
        <w:widowControl/>
        <w:kinsoku/>
        <w:wordWrap/>
        <w:overflowPunct/>
        <w:topLinePunct w:val="0"/>
        <w:autoSpaceDE/>
        <w:autoSpaceDN w:val="0"/>
        <w:bidi w:val="0"/>
        <w:adjustRightInd w:val="0"/>
        <w:snapToGrid w:val="0"/>
        <w:ind w:firstLine="420"/>
        <w:jc w:val="center"/>
        <w:textAlignment w:val="auto"/>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t>水污染物源强核算表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95"/>
        <w:gridCol w:w="1110"/>
        <w:gridCol w:w="1255"/>
        <w:gridCol w:w="1156"/>
        <w:gridCol w:w="1083"/>
        <w:gridCol w:w="1255"/>
        <w:gridCol w:w="1158"/>
      </w:tblGrid>
      <w:tr w14:paraId="6611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55C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污染物</w:t>
            </w:r>
          </w:p>
        </w:tc>
        <w:tc>
          <w:tcPr>
            <w:tcW w:w="6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4F0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污染因子</w:t>
            </w:r>
          </w:p>
        </w:tc>
        <w:tc>
          <w:tcPr>
            <w:tcW w:w="141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4D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处理前</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03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污染防治措施</w:t>
            </w:r>
          </w:p>
        </w:tc>
        <w:tc>
          <w:tcPr>
            <w:tcW w:w="14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A1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处理后</w:t>
            </w:r>
          </w:p>
        </w:tc>
      </w:tr>
      <w:tr w14:paraId="2017A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8D1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highlight w:val="none"/>
                <w:u w:val="none"/>
              </w:rPr>
            </w:pPr>
          </w:p>
        </w:tc>
        <w:tc>
          <w:tcPr>
            <w:tcW w:w="6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9D4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5C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浓度（</w:t>
            </w:r>
            <w:r>
              <w:rPr>
                <w:rStyle w:val="46"/>
                <w:rFonts w:eastAsia="宋体"/>
                <w:highlight w:val="none"/>
                <w:lang w:val="en-US" w:eastAsia="zh-CN" w:bidi="ar"/>
              </w:rPr>
              <w:t>mg/L</w:t>
            </w:r>
            <w:r>
              <w:rPr>
                <w:rFonts w:hint="eastAsia" w:ascii="宋体" w:hAnsi="宋体" w:eastAsia="宋体" w:cs="宋体"/>
                <w:b/>
                <w:bCs/>
                <w:i w:val="0"/>
                <w:iCs w:val="0"/>
                <w:color w:val="000000"/>
                <w:kern w:val="0"/>
                <w:sz w:val="21"/>
                <w:szCs w:val="21"/>
                <w:highlight w:val="none"/>
                <w:u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5D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排放量（</w:t>
            </w:r>
            <w:r>
              <w:rPr>
                <w:rStyle w:val="46"/>
                <w:rFonts w:eastAsia="宋体"/>
                <w:highlight w:val="none"/>
                <w:lang w:val="en-US" w:eastAsia="zh-CN" w:bidi="ar"/>
              </w:rPr>
              <w:t>t/a</w:t>
            </w:r>
            <w:r>
              <w:rPr>
                <w:rFonts w:hint="eastAsia" w:ascii="宋体" w:hAnsi="宋体" w:eastAsia="宋体" w:cs="宋体"/>
                <w:b/>
                <w:bCs/>
                <w:i w:val="0"/>
                <w:iCs w:val="0"/>
                <w:color w:val="000000"/>
                <w:kern w:val="0"/>
                <w:sz w:val="21"/>
                <w:szCs w:val="21"/>
                <w:highlight w:val="none"/>
                <w:u w:val="none"/>
                <w:lang w:val="en-US" w:eastAsia="zh-CN" w:bidi="ar"/>
              </w:rPr>
              <w:t>）</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815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DE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浓度（</w:t>
            </w:r>
            <w:r>
              <w:rPr>
                <w:rStyle w:val="46"/>
                <w:rFonts w:eastAsia="宋体"/>
                <w:highlight w:val="none"/>
                <w:lang w:val="en-US" w:eastAsia="zh-CN" w:bidi="ar"/>
              </w:rPr>
              <w:t>mg/L</w:t>
            </w:r>
            <w:r>
              <w:rPr>
                <w:rFonts w:hint="eastAsia" w:ascii="宋体" w:hAnsi="宋体" w:eastAsia="宋体" w:cs="宋体"/>
                <w:b/>
                <w:bCs/>
                <w:i w:val="0"/>
                <w:iCs w:val="0"/>
                <w:color w:val="000000"/>
                <w:kern w:val="0"/>
                <w:sz w:val="21"/>
                <w:szCs w:val="21"/>
                <w:highlight w:val="none"/>
                <w:u w:val="none"/>
                <w:lang w:val="en-US" w:eastAsia="zh-CN" w:bidi="ar"/>
              </w:rPr>
              <w:t>）</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8C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排放量（</w:t>
            </w:r>
            <w:r>
              <w:rPr>
                <w:rStyle w:val="46"/>
                <w:rFonts w:eastAsia="宋体"/>
                <w:highlight w:val="none"/>
                <w:lang w:val="en-US" w:eastAsia="zh-CN" w:bidi="ar"/>
              </w:rPr>
              <w:t>t/a</w:t>
            </w:r>
            <w:r>
              <w:rPr>
                <w:rFonts w:hint="eastAsia" w:ascii="宋体" w:hAnsi="宋体" w:eastAsia="宋体" w:cs="宋体"/>
                <w:b/>
                <w:bCs/>
                <w:i w:val="0"/>
                <w:iCs w:val="0"/>
                <w:color w:val="000000"/>
                <w:kern w:val="0"/>
                <w:sz w:val="21"/>
                <w:szCs w:val="21"/>
                <w:highlight w:val="none"/>
                <w:u w:val="none"/>
                <w:lang w:val="en-US" w:eastAsia="zh-CN" w:bidi="ar"/>
              </w:rPr>
              <w:t>）</w:t>
            </w:r>
          </w:p>
        </w:tc>
      </w:tr>
      <w:tr w14:paraId="6BF1B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A54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生活污水（</w:t>
            </w:r>
            <w:r>
              <w:rPr>
                <w:rStyle w:val="47"/>
                <w:rFonts w:eastAsia="宋体"/>
                <w:highlight w:val="none"/>
                <w:lang w:val="en-US" w:eastAsia="zh-CN" w:bidi="ar"/>
              </w:rPr>
              <w:t xml:space="preserve"> 355.2 m³/a</w:t>
            </w:r>
            <w:r>
              <w:rPr>
                <w:rFonts w:hint="eastAsia" w:ascii="宋体" w:hAnsi="宋体" w:eastAsia="宋体" w:cs="宋体"/>
                <w:i w:val="0"/>
                <w:iCs w:val="0"/>
                <w:color w:val="000000"/>
                <w:kern w:val="0"/>
                <w:sz w:val="21"/>
                <w:szCs w:val="21"/>
                <w:highlight w:val="none"/>
                <w:u w:val="none"/>
                <w:lang w:val="en-US" w:eastAsia="zh-CN" w:bidi="ar"/>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39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cs="Times New Roman"/>
                <w:color w:val="auto"/>
                <w:sz w:val="21"/>
                <w:szCs w:val="21"/>
                <w:highlight w:val="none"/>
              </w:rPr>
              <w:t>COD</w:t>
            </w:r>
            <w:r>
              <w:rPr>
                <w:rFonts w:hint="eastAsia" w:ascii="Times New Roman" w:cs="Times New Roman"/>
                <w:color w:val="auto"/>
                <w:sz w:val="21"/>
                <w:szCs w:val="21"/>
                <w:highlight w:val="none"/>
                <w:vertAlign w:val="subscript"/>
              </w:rPr>
              <w:t>cr</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932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300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48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0.107 </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2826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依托园区创新创业基地隔油池、化粪池</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246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180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7F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0.064 </w:t>
            </w:r>
          </w:p>
        </w:tc>
      </w:tr>
      <w:tr w14:paraId="10EB1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F06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A42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BOD</w:t>
            </w:r>
            <w:r>
              <w:rPr>
                <w:rStyle w:val="48"/>
                <w:rFonts w:eastAsia="宋体"/>
                <w:highlight w:val="none"/>
                <w:lang w:val="en-US" w:eastAsia="zh-CN" w:bidi="ar"/>
              </w:rPr>
              <w:t>5</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9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180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8D2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0.064 </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338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89C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E0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0.036 </w:t>
            </w:r>
          </w:p>
        </w:tc>
      </w:tr>
      <w:tr w14:paraId="1FE6E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F2B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0C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SS</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3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180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566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0.064 </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BD6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CD5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80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23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0.028 </w:t>
            </w:r>
          </w:p>
        </w:tc>
      </w:tr>
      <w:tr w14:paraId="26EEE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3B4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2BF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氨氮</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C6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BE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0.011 </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053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1BB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28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0.007 </w:t>
            </w:r>
          </w:p>
        </w:tc>
      </w:tr>
      <w:tr w14:paraId="4FAAC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D47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7A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动植物油</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09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BED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0.007 </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DD0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D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6FD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0.004 </w:t>
            </w:r>
          </w:p>
        </w:tc>
      </w:tr>
      <w:tr w14:paraId="0FC22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8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1F3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纯水制备浓水（</w:t>
            </w:r>
            <w:r>
              <w:rPr>
                <w:rStyle w:val="47"/>
                <w:rFonts w:eastAsia="宋体"/>
                <w:highlight w:val="none"/>
                <w:lang w:val="en-US" w:eastAsia="zh-CN" w:bidi="ar"/>
              </w:rPr>
              <w:t>400 m³/a</w:t>
            </w:r>
            <w:r>
              <w:rPr>
                <w:rFonts w:hint="eastAsia" w:ascii="宋体" w:hAnsi="宋体" w:eastAsia="宋体" w:cs="宋体"/>
                <w:i w:val="0"/>
                <w:iCs w:val="0"/>
                <w:color w:val="000000"/>
                <w:kern w:val="0"/>
                <w:sz w:val="21"/>
                <w:szCs w:val="21"/>
                <w:highlight w:val="none"/>
                <w:u w:val="none"/>
                <w:lang w:val="en-US" w:eastAsia="zh-CN" w:bidi="ar"/>
              </w:rPr>
              <w:t>）</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FD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cs="Times New Roman"/>
                <w:color w:val="auto"/>
                <w:sz w:val="21"/>
                <w:szCs w:val="21"/>
                <w:highlight w:val="none"/>
              </w:rPr>
              <w:t>COD</w:t>
            </w:r>
            <w:r>
              <w:rPr>
                <w:rFonts w:hint="eastAsia" w:ascii="Times New Roman" w:cs="Times New Roman"/>
                <w:color w:val="auto"/>
                <w:sz w:val="21"/>
                <w:szCs w:val="21"/>
                <w:highlight w:val="none"/>
                <w:vertAlign w:val="subscript"/>
              </w:rPr>
              <w:t>cr</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CD1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889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54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AE9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6B2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r>
      <w:tr w14:paraId="5F736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8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F8D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地面清洁废水（</w:t>
            </w:r>
            <w:r>
              <w:rPr>
                <w:rStyle w:val="47"/>
                <w:rFonts w:eastAsia="宋体"/>
                <w:highlight w:val="none"/>
                <w:lang w:val="en-US" w:eastAsia="zh-CN" w:bidi="ar"/>
              </w:rPr>
              <w:t xml:space="preserve"> 24m³/a</w:t>
            </w:r>
            <w:r>
              <w:rPr>
                <w:rFonts w:hint="eastAsia" w:ascii="宋体" w:hAnsi="宋体" w:eastAsia="宋体" w:cs="宋体"/>
                <w:i w:val="0"/>
                <w:iCs w:val="0"/>
                <w:color w:val="000000"/>
                <w:kern w:val="0"/>
                <w:sz w:val="21"/>
                <w:szCs w:val="21"/>
                <w:highlight w:val="none"/>
                <w:u w:val="none"/>
                <w:lang w:val="en-US" w:eastAsia="zh-CN" w:bidi="ar"/>
              </w:rPr>
              <w:t>）</w:t>
            </w:r>
          </w:p>
        </w:tc>
        <w:tc>
          <w:tcPr>
            <w:tcW w:w="6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A66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eastAsia" w:ascii="Times New Roman" w:cs="Times New Roman"/>
                <w:color w:val="auto"/>
                <w:sz w:val="21"/>
                <w:szCs w:val="21"/>
                <w:highlight w:val="none"/>
              </w:rPr>
              <w:t>COD</w:t>
            </w:r>
            <w:r>
              <w:rPr>
                <w:rFonts w:hint="eastAsia" w:ascii="Times New Roman" w:cs="Times New Roman"/>
                <w:color w:val="auto"/>
                <w:sz w:val="21"/>
                <w:szCs w:val="21"/>
                <w:highlight w:val="none"/>
                <w:vertAlign w:val="subscript"/>
              </w:rPr>
              <w:t>cr</w:t>
            </w:r>
          </w:p>
        </w:tc>
        <w:tc>
          <w:tcPr>
            <w:tcW w:w="7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DD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300</w:t>
            </w: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A3F4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0.0072</w:t>
            </w:r>
          </w:p>
        </w:tc>
        <w:tc>
          <w:tcPr>
            <w:tcW w:w="6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F1F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沉淀池</w:t>
            </w:r>
          </w:p>
        </w:tc>
        <w:tc>
          <w:tcPr>
            <w:tcW w:w="73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E0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210</w:t>
            </w:r>
          </w:p>
        </w:tc>
        <w:tc>
          <w:tcPr>
            <w:tcW w:w="6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334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0.005 </w:t>
            </w:r>
          </w:p>
        </w:tc>
      </w:tr>
      <w:tr w14:paraId="44463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B20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6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5D8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7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A16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A8B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3EE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73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D5E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6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32D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r>
      <w:tr w14:paraId="6BF2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58"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E0B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8F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氨氮</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C6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69B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0.0001 </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5C7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0D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0E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0.0001 </w:t>
            </w:r>
          </w:p>
        </w:tc>
      </w:tr>
      <w:tr w14:paraId="20C3B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1C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5E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SS</w:t>
            </w: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B48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500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C4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0.012 </w:t>
            </w:r>
          </w:p>
        </w:tc>
        <w:tc>
          <w:tcPr>
            <w:tcW w:w="6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5CE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1"/>
                <w:szCs w:val="21"/>
                <w:highlight w:val="none"/>
                <w:u w:val="none"/>
              </w:rPr>
            </w:pPr>
          </w:p>
        </w:tc>
        <w:tc>
          <w:tcPr>
            <w:tcW w:w="7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8F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100</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D04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0.0024 </w:t>
            </w:r>
          </w:p>
        </w:tc>
      </w:tr>
    </w:tbl>
    <w:p w14:paraId="53BD2275">
      <w:pPr>
        <w:keepNext w:val="0"/>
        <w:keepLines w:val="0"/>
        <w:pageBreakBefore w:val="0"/>
        <w:widowControl/>
        <w:kinsoku/>
        <w:wordWrap/>
        <w:overflowPunct/>
        <w:topLinePunct w:val="0"/>
        <w:autoSpaceDE/>
        <w:autoSpaceDN w:val="0"/>
        <w:bidi w:val="0"/>
        <w:adjustRightInd w:val="0"/>
        <w:snapToGrid w:val="0"/>
        <w:ind w:firstLine="420"/>
        <w:jc w:val="center"/>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eastAsia="宋体" w:cs="Times New Roman"/>
          <w:b/>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eastAsia" w:eastAsia="宋体" w:cs="Times New Roman"/>
          <w:b/>
          <w:bCs/>
          <w:color w:val="000000" w:themeColor="text1"/>
          <w:sz w:val="24"/>
          <w:szCs w:val="24"/>
          <w:highlight w:val="none"/>
          <w:lang w:val="en-US" w:eastAsia="zh-CN"/>
          <w14:textFill>
            <w14:solidFill>
              <w14:schemeClr w14:val="tx1"/>
            </w14:solidFill>
          </w14:textFill>
        </w:rPr>
        <w:t>全厂</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废水排放总量统计表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6"/>
        <w:gridCol w:w="2837"/>
        <w:gridCol w:w="2839"/>
      </w:tblGrid>
      <w:tr w14:paraId="1DE5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Align w:val="center"/>
          </w:tcPr>
          <w:p w14:paraId="0359F52E">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废水排放总量</w:t>
            </w:r>
          </w:p>
        </w:tc>
        <w:tc>
          <w:tcPr>
            <w:tcW w:w="1666" w:type="pct"/>
            <w:vAlign w:val="center"/>
          </w:tcPr>
          <w:p w14:paraId="665D765A">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污染因子</w:t>
            </w:r>
          </w:p>
        </w:tc>
        <w:tc>
          <w:tcPr>
            <w:tcW w:w="1667" w:type="pct"/>
            <w:vAlign w:val="center"/>
          </w:tcPr>
          <w:p w14:paraId="3FD7F14F">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 xml:space="preserve">污染物排放量 </w:t>
            </w:r>
            <w:r>
              <w:rPr>
                <w:rStyle w:val="47"/>
                <w:rFonts w:eastAsia="宋体"/>
                <w:b w:val="0"/>
                <w:bCs w:val="0"/>
                <w:sz w:val="21"/>
                <w:szCs w:val="21"/>
                <w:highlight w:val="none"/>
                <w:lang w:val="en-US" w:eastAsia="zh-CN" w:bidi="ar"/>
              </w:rPr>
              <w:t>m³/a</w:t>
            </w:r>
          </w:p>
        </w:tc>
      </w:tr>
      <w:tr w14:paraId="5344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14:paraId="284858E7">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779.2</w:t>
            </w:r>
            <w:r>
              <w:rPr>
                <w:rStyle w:val="47"/>
                <w:rFonts w:eastAsia="宋体"/>
                <w:b w:val="0"/>
                <w:bCs w:val="0"/>
                <w:sz w:val="21"/>
                <w:szCs w:val="21"/>
                <w:highlight w:val="none"/>
                <w:lang w:val="en-US" w:eastAsia="zh-CN" w:bidi="ar"/>
              </w:rPr>
              <w:t>m³/a</w:t>
            </w:r>
          </w:p>
        </w:tc>
        <w:tc>
          <w:tcPr>
            <w:tcW w:w="1666" w:type="pct"/>
            <w:vAlign w:val="center"/>
          </w:tcPr>
          <w:p w14:paraId="6CDC5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cs="Times New Roman"/>
                <w:color w:val="auto"/>
                <w:sz w:val="21"/>
                <w:szCs w:val="21"/>
                <w:highlight w:val="none"/>
              </w:rPr>
              <w:t>COD</w:t>
            </w:r>
            <w:r>
              <w:rPr>
                <w:rFonts w:hint="eastAsia" w:ascii="Times New Roman" w:cs="Times New Roman"/>
                <w:color w:val="auto"/>
                <w:sz w:val="21"/>
                <w:szCs w:val="21"/>
                <w:highlight w:val="none"/>
                <w:vertAlign w:val="subscript"/>
              </w:rPr>
              <w:t>cr</w:t>
            </w:r>
          </w:p>
        </w:tc>
        <w:tc>
          <w:tcPr>
            <w:tcW w:w="1667" w:type="pct"/>
            <w:vAlign w:val="center"/>
          </w:tcPr>
          <w:p w14:paraId="6FB71531">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0.089</w:t>
            </w:r>
          </w:p>
        </w:tc>
      </w:tr>
      <w:tr w14:paraId="130E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14:paraId="560591FD">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666" w:type="pct"/>
            <w:vAlign w:val="center"/>
          </w:tcPr>
          <w:p w14:paraId="5F63A2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BOD</w:t>
            </w:r>
            <w:r>
              <w:rPr>
                <w:rStyle w:val="48"/>
                <w:rFonts w:eastAsia="宋体"/>
                <w:b w:val="0"/>
                <w:bCs w:val="0"/>
                <w:sz w:val="21"/>
                <w:szCs w:val="21"/>
                <w:highlight w:val="none"/>
                <w:lang w:val="en-US" w:eastAsia="zh-CN" w:bidi="ar"/>
              </w:rPr>
              <w:t>5</w:t>
            </w:r>
          </w:p>
        </w:tc>
        <w:tc>
          <w:tcPr>
            <w:tcW w:w="1667" w:type="pct"/>
            <w:vAlign w:val="center"/>
          </w:tcPr>
          <w:p w14:paraId="0DF34341">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0.036</w:t>
            </w:r>
          </w:p>
        </w:tc>
      </w:tr>
      <w:tr w14:paraId="21DC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14:paraId="6E804947">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666" w:type="pct"/>
            <w:vAlign w:val="center"/>
          </w:tcPr>
          <w:p w14:paraId="3C293D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SS</w:t>
            </w:r>
          </w:p>
        </w:tc>
        <w:tc>
          <w:tcPr>
            <w:tcW w:w="1667" w:type="pct"/>
            <w:vAlign w:val="center"/>
          </w:tcPr>
          <w:p w14:paraId="350030C2">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0.0304</w:t>
            </w:r>
          </w:p>
        </w:tc>
      </w:tr>
      <w:tr w14:paraId="40BD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14:paraId="0B125F6C">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666" w:type="pct"/>
            <w:vAlign w:val="center"/>
          </w:tcPr>
          <w:p w14:paraId="04904B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i w:val="0"/>
                <w:iCs w:val="0"/>
                <w:color w:val="000000"/>
                <w:kern w:val="0"/>
                <w:sz w:val="21"/>
                <w:szCs w:val="21"/>
                <w:highlight w:val="none"/>
                <w:u w:val="none"/>
                <w:lang w:val="en-US" w:eastAsia="zh-CN" w:bidi="ar"/>
              </w:rPr>
              <w:t>氨氮</w:t>
            </w:r>
          </w:p>
        </w:tc>
        <w:tc>
          <w:tcPr>
            <w:tcW w:w="1667" w:type="pct"/>
            <w:vAlign w:val="center"/>
          </w:tcPr>
          <w:p w14:paraId="3B6F3C95">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0.0071</w:t>
            </w:r>
          </w:p>
        </w:tc>
      </w:tr>
      <w:tr w14:paraId="6046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14:paraId="527F8EE7">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c>
          <w:tcPr>
            <w:tcW w:w="1666" w:type="pct"/>
            <w:vAlign w:val="center"/>
          </w:tcPr>
          <w:p w14:paraId="31250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i w:val="0"/>
                <w:iCs w:val="0"/>
                <w:color w:val="000000"/>
                <w:kern w:val="0"/>
                <w:sz w:val="21"/>
                <w:szCs w:val="21"/>
                <w:highlight w:val="none"/>
                <w:u w:val="none"/>
                <w:lang w:val="en-US" w:eastAsia="zh-CN" w:bidi="ar"/>
              </w:rPr>
              <w:t>动植物油</w:t>
            </w:r>
          </w:p>
        </w:tc>
        <w:tc>
          <w:tcPr>
            <w:tcW w:w="1667" w:type="pct"/>
            <w:vAlign w:val="center"/>
          </w:tcPr>
          <w:p w14:paraId="0697D9C6">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0.004</w:t>
            </w:r>
          </w:p>
        </w:tc>
      </w:tr>
    </w:tbl>
    <w:p w14:paraId="428B8D5F">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综合，本项目排入岳阳高新技术产业园污水处理厂的废水总量为779.2m³/a。</w:t>
      </w:r>
    </w:p>
    <w:p w14:paraId="4B82E5CD">
      <w:pPr>
        <w:pStyle w:val="9"/>
        <w:bidi w:val="0"/>
        <w:rPr>
          <w:rFonts w:hint="eastAsia"/>
          <w:highlight w:val="none"/>
          <w:lang w:val="en-US" w:eastAsia="zh-CN"/>
        </w:rPr>
      </w:pPr>
      <w:r>
        <w:rPr>
          <w:rFonts w:hint="eastAsia"/>
          <w:highlight w:val="none"/>
          <w:lang w:val="en-US" w:eastAsia="zh-CN"/>
        </w:rPr>
        <w:t>4.3.2.3 噪声污染源分析</w:t>
      </w:r>
    </w:p>
    <w:p w14:paraId="17B0FA85">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拟建项目噪声主要为</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搅拌</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釜</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打粉机、风机、空压机</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等运行噪声。拟建工程大部分设备均在车间内密封，生产线实行集中控制，主要噪声源设备噪声级在</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70</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85</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dB(A)左右。</w:t>
      </w:r>
    </w:p>
    <w:p w14:paraId="2171FC13">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本项目在工程设计时，为了降低噪声污染主要采取以下措施：</w:t>
      </w:r>
    </w:p>
    <w:p w14:paraId="6AF95C25">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bookmarkStart w:id="114" w:name="_Toc458173480"/>
      <w:bookmarkStart w:id="115" w:name="_Toc457308104"/>
      <w:bookmarkStart w:id="116" w:name="_Toc394911004"/>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(1)设备选型</w:t>
      </w:r>
      <w:bookmarkEnd w:id="114"/>
      <w:bookmarkEnd w:id="115"/>
      <w:bookmarkEnd w:id="116"/>
    </w:p>
    <w:p w14:paraId="4E116AB4">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建设项目设备在满足生产的前提下，在采购设备时选用低噪声设备。</w:t>
      </w:r>
    </w:p>
    <w:p w14:paraId="5CE57524">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bookmarkStart w:id="117" w:name="_Toc457308105"/>
      <w:bookmarkStart w:id="118" w:name="_Toc394911005"/>
      <w:bookmarkStart w:id="119" w:name="_Toc458173481"/>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(2)设备安装设计的防噪措施</w:t>
      </w:r>
      <w:bookmarkEnd w:id="117"/>
      <w:bookmarkEnd w:id="118"/>
      <w:bookmarkEnd w:id="119"/>
    </w:p>
    <w:p w14:paraId="32C49739">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在设备安装时完全按照安装要求进行，避免设备的重心偏移和安装间隙，减少不必要的噪声。车间各种风机、空压机均设置在独立空间，采用减振基底，连接处采用柔性接头；定期进行设备维修，加装润滑剂，减轻设备运转时产生的噪声，确保噪声达标。</w:t>
      </w:r>
    </w:p>
    <w:p w14:paraId="46FBC35C">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bookmarkStart w:id="120" w:name="_Toc457308106"/>
      <w:bookmarkStart w:id="121" w:name="_Toc394911006"/>
      <w:bookmarkStart w:id="122" w:name="_Toc458173482"/>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(3)厂房建筑设计中的防噪措施</w:t>
      </w:r>
      <w:bookmarkEnd w:id="120"/>
      <w:bookmarkEnd w:id="121"/>
      <w:bookmarkEnd w:id="122"/>
    </w:p>
    <w:p w14:paraId="464F32A7">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设置隔声门和楔形窗，降低室内混响，增大隔声量；高噪声设备的车间尽量不要安排在靠近厂界的地方。</w:t>
      </w:r>
    </w:p>
    <w:p w14:paraId="4DCD1876">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bookmarkStart w:id="123" w:name="_Toc394911007"/>
      <w:bookmarkStart w:id="124" w:name="_Toc457308107"/>
      <w:bookmarkStart w:id="125" w:name="_Toc458173483"/>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(4)厂区总布置中的防噪措施</w:t>
      </w:r>
      <w:bookmarkEnd w:id="123"/>
      <w:bookmarkEnd w:id="124"/>
      <w:bookmarkEnd w:id="125"/>
    </w:p>
    <w:p w14:paraId="780676EF">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厂区合理布局，以降低噪声的影响，噪声尽量远离办公区，噪声较高的生产车间周边布置运输通道，降低生产噪声对厂界处影响。</w:t>
      </w:r>
    </w:p>
    <w:p w14:paraId="1218E492">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bookmarkStart w:id="126" w:name="_Toc394911008"/>
      <w:bookmarkStart w:id="127" w:name="_Toc457308108"/>
      <w:bookmarkStart w:id="128" w:name="_Toc458173484"/>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(5)设备维护</w:t>
      </w:r>
      <w:bookmarkEnd w:id="126"/>
      <w:bookmarkEnd w:id="127"/>
      <w:bookmarkEnd w:id="128"/>
    </w:p>
    <w:p w14:paraId="15B5B49E">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生产中加强设备维护，确保设备处于良好的运转状态，杜绝因设备不正常运转时产生的高噪声现象。</w:t>
      </w:r>
    </w:p>
    <w:p w14:paraId="1AFA7F42">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(6)拟建项目在机加工下料阶段会产生相当强度的瞬时噪声，可通过轮岗的方式减少操作人员受噪声影响的时间；操作人员工作时佩戴耳塞作为劳动保护措施。</w:t>
      </w:r>
    </w:p>
    <w:p w14:paraId="0A9C3F8B">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(7)厂房周边种植树木，有效降低噪声的影响。</w:t>
      </w:r>
    </w:p>
    <w:p w14:paraId="51675B86">
      <w:pPr>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根据厂家提供资料及类比同类型企业，项目主要噪声源强见下表：表</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4.3-6</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p>
    <w:p w14:paraId="3A50C35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t>表4.3-</w:t>
      </w:r>
      <w:r>
        <w:rPr>
          <w:rFonts w:hint="eastAsia" w:eastAsia="宋体" w:cs="Times New Roman"/>
          <w:b/>
          <w:bCs w:val="0"/>
          <w:snapToGrid w:val="0"/>
          <w:color w:val="000000" w:themeColor="text1"/>
          <w:kern w:val="0"/>
          <w:sz w:val="24"/>
          <w:szCs w:val="24"/>
          <w:highlight w:val="none"/>
          <w:lang w:val="en-US" w:eastAsia="zh-CN"/>
          <w14:textFill>
            <w14:solidFill>
              <w14:schemeClr w14:val="tx1"/>
            </w14:solidFill>
          </w14:textFill>
        </w:rPr>
        <w:t>6</w:t>
      </w:r>
      <w:r>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t>项目噪声源强一览表  单位：dB(A)</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1870"/>
        <w:gridCol w:w="732"/>
        <w:gridCol w:w="1405"/>
        <w:gridCol w:w="1885"/>
        <w:gridCol w:w="1886"/>
      </w:tblGrid>
      <w:tr w14:paraId="10316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5DF4E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序号</w:t>
            </w:r>
          </w:p>
        </w:tc>
        <w:tc>
          <w:tcPr>
            <w:tcW w:w="1098" w:type="pct"/>
            <w:tcBorders>
              <w:tl2br w:val="nil"/>
              <w:tr2bl w:val="nil"/>
            </w:tcBorders>
            <w:noWrap w:val="0"/>
            <w:vAlign w:val="center"/>
          </w:tcPr>
          <w:p w14:paraId="35165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设备名称</w:t>
            </w:r>
          </w:p>
        </w:tc>
        <w:tc>
          <w:tcPr>
            <w:tcW w:w="430" w:type="pct"/>
            <w:tcBorders>
              <w:tl2br w:val="nil"/>
              <w:tr2bl w:val="nil"/>
            </w:tcBorders>
            <w:noWrap w:val="0"/>
            <w:vAlign w:val="center"/>
          </w:tcPr>
          <w:p w14:paraId="62B32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数量</w:t>
            </w:r>
          </w:p>
        </w:tc>
        <w:tc>
          <w:tcPr>
            <w:tcW w:w="825" w:type="pct"/>
            <w:tcBorders>
              <w:tl2br w:val="nil"/>
              <w:tr2bl w:val="nil"/>
            </w:tcBorders>
            <w:noWrap w:val="0"/>
            <w:vAlign w:val="center"/>
          </w:tcPr>
          <w:p w14:paraId="59E64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源强[dB(A)]</w:t>
            </w:r>
          </w:p>
        </w:tc>
        <w:tc>
          <w:tcPr>
            <w:tcW w:w="1107" w:type="pct"/>
            <w:tcBorders>
              <w:tl2br w:val="nil"/>
              <w:tr2bl w:val="nil"/>
            </w:tcBorders>
            <w:noWrap w:val="0"/>
            <w:vAlign w:val="center"/>
          </w:tcPr>
          <w:p w14:paraId="09E965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治理措施</w:t>
            </w:r>
          </w:p>
        </w:tc>
        <w:tc>
          <w:tcPr>
            <w:tcW w:w="1107" w:type="pct"/>
            <w:tcBorders>
              <w:tl2br w:val="nil"/>
              <w:tr2bl w:val="nil"/>
            </w:tcBorders>
            <w:noWrap w:val="0"/>
            <w:vAlign w:val="center"/>
          </w:tcPr>
          <w:p w14:paraId="577A9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lang w:val="en-US" w:eastAsia="zh-CN"/>
              </w:rPr>
            </w:pPr>
            <w:r>
              <w:rPr>
                <w:rFonts w:hint="eastAsia" w:ascii="Times New Roman" w:hAnsi="Times New Roman" w:cs="Times New Roman" w:eastAsiaTheme="minorEastAsia"/>
                <w:b/>
                <w:color w:val="auto"/>
                <w:sz w:val="21"/>
                <w:szCs w:val="21"/>
                <w:highlight w:val="none"/>
                <w:u w:val="none"/>
                <w:lang w:val="en-US" w:eastAsia="zh-CN"/>
              </w:rPr>
              <w:t>采取措施后噪声级</w:t>
            </w:r>
          </w:p>
        </w:tc>
      </w:tr>
      <w:tr w14:paraId="2C9EC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250FE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1</w:t>
            </w:r>
          </w:p>
        </w:tc>
        <w:tc>
          <w:tcPr>
            <w:tcW w:w="1098" w:type="pct"/>
            <w:tcBorders>
              <w:tl2br w:val="nil"/>
              <w:tr2bl w:val="nil"/>
            </w:tcBorders>
            <w:noWrap w:val="0"/>
            <w:vAlign w:val="center"/>
          </w:tcPr>
          <w:p w14:paraId="2224A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水剂搅拌釜</w:t>
            </w:r>
          </w:p>
        </w:tc>
        <w:tc>
          <w:tcPr>
            <w:tcW w:w="430" w:type="pct"/>
            <w:tcBorders>
              <w:tl2br w:val="nil"/>
              <w:tr2bl w:val="nil"/>
            </w:tcBorders>
            <w:noWrap w:val="0"/>
            <w:vAlign w:val="center"/>
          </w:tcPr>
          <w:p w14:paraId="446250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1</w:t>
            </w:r>
          </w:p>
        </w:tc>
        <w:tc>
          <w:tcPr>
            <w:tcW w:w="825" w:type="pct"/>
            <w:tcBorders>
              <w:tl2br w:val="nil"/>
              <w:tr2bl w:val="nil"/>
            </w:tcBorders>
            <w:noWrap w:val="0"/>
            <w:vAlign w:val="center"/>
          </w:tcPr>
          <w:p w14:paraId="1E5623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34873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0DE8BF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3D5E9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431" w:type="pct"/>
            <w:tcBorders>
              <w:tl2br w:val="nil"/>
              <w:tr2bl w:val="nil"/>
            </w:tcBorders>
            <w:noWrap w:val="0"/>
            <w:vAlign w:val="center"/>
          </w:tcPr>
          <w:p w14:paraId="3B198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2</w:t>
            </w:r>
          </w:p>
        </w:tc>
        <w:tc>
          <w:tcPr>
            <w:tcW w:w="1098" w:type="pct"/>
            <w:tcBorders>
              <w:tl2br w:val="nil"/>
              <w:tr2bl w:val="nil"/>
            </w:tcBorders>
            <w:noWrap w:val="0"/>
            <w:vAlign w:val="center"/>
          </w:tcPr>
          <w:p w14:paraId="36EAAA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粉剂搅拌罐</w:t>
            </w:r>
          </w:p>
        </w:tc>
        <w:tc>
          <w:tcPr>
            <w:tcW w:w="430" w:type="pct"/>
            <w:tcBorders>
              <w:tl2br w:val="nil"/>
              <w:tr2bl w:val="nil"/>
            </w:tcBorders>
            <w:noWrap w:val="0"/>
            <w:vAlign w:val="center"/>
          </w:tcPr>
          <w:p w14:paraId="40F76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3AB00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3FCF6E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10A80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1BD0D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533478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3</w:t>
            </w:r>
          </w:p>
        </w:tc>
        <w:tc>
          <w:tcPr>
            <w:tcW w:w="1098" w:type="pct"/>
            <w:tcBorders>
              <w:tl2br w:val="nil"/>
              <w:tr2bl w:val="nil"/>
            </w:tcBorders>
            <w:noWrap w:val="0"/>
            <w:vAlign w:val="center"/>
          </w:tcPr>
          <w:p w14:paraId="78082A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多功能混合搅拌罐</w:t>
            </w:r>
          </w:p>
        </w:tc>
        <w:tc>
          <w:tcPr>
            <w:tcW w:w="430" w:type="pct"/>
            <w:tcBorders>
              <w:tl2br w:val="nil"/>
              <w:tr2bl w:val="nil"/>
            </w:tcBorders>
            <w:noWrap w:val="0"/>
            <w:vAlign w:val="center"/>
          </w:tcPr>
          <w:p w14:paraId="2ECB3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470B70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644F7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0A188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11806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7EDB26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4</w:t>
            </w:r>
          </w:p>
        </w:tc>
        <w:tc>
          <w:tcPr>
            <w:tcW w:w="1098" w:type="pct"/>
            <w:tcBorders>
              <w:tl2br w:val="nil"/>
              <w:tr2bl w:val="nil"/>
            </w:tcBorders>
            <w:noWrap w:val="0"/>
            <w:vAlign w:val="center"/>
          </w:tcPr>
          <w:p w14:paraId="12663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电加热搅拌釜</w:t>
            </w:r>
            <w:r>
              <w:rPr>
                <w:rFonts w:hint="eastAsia" w:cs="Times New Roman" w:eastAsiaTheme="minorEastAsia"/>
                <w:color w:val="auto"/>
                <w:sz w:val="21"/>
                <w:szCs w:val="21"/>
                <w:highlight w:val="none"/>
                <w:u w:val="none"/>
                <w:lang w:val="en-US" w:eastAsia="zh-CN"/>
              </w:rPr>
              <w:t>（3T）</w:t>
            </w:r>
          </w:p>
        </w:tc>
        <w:tc>
          <w:tcPr>
            <w:tcW w:w="430" w:type="pct"/>
            <w:tcBorders>
              <w:tl2br w:val="nil"/>
              <w:tr2bl w:val="nil"/>
            </w:tcBorders>
            <w:noWrap w:val="0"/>
            <w:vAlign w:val="center"/>
          </w:tcPr>
          <w:p w14:paraId="4F737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68F67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u w:val="none"/>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361712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42E25C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61E5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tcBorders>
              <w:tl2br w:val="nil"/>
              <w:tr2bl w:val="nil"/>
            </w:tcBorders>
            <w:noWrap w:val="0"/>
            <w:vAlign w:val="center"/>
          </w:tcPr>
          <w:p w14:paraId="1C3B2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w:t>
            </w:r>
          </w:p>
        </w:tc>
        <w:tc>
          <w:tcPr>
            <w:tcW w:w="1098" w:type="pct"/>
            <w:tcBorders>
              <w:tl2br w:val="nil"/>
              <w:tr2bl w:val="nil"/>
            </w:tcBorders>
            <w:noWrap w:val="0"/>
            <w:vAlign w:val="center"/>
          </w:tcPr>
          <w:p w14:paraId="32460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简易电加热搅拌釜（2T）</w:t>
            </w:r>
          </w:p>
        </w:tc>
        <w:tc>
          <w:tcPr>
            <w:tcW w:w="430" w:type="pct"/>
            <w:tcBorders>
              <w:tl2br w:val="nil"/>
              <w:tr2bl w:val="nil"/>
            </w:tcBorders>
            <w:noWrap w:val="0"/>
            <w:vAlign w:val="center"/>
          </w:tcPr>
          <w:p w14:paraId="1A7507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2</w:t>
            </w:r>
          </w:p>
        </w:tc>
        <w:tc>
          <w:tcPr>
            <w:tcW w:w="825" w:type="pct"/>
            <w:tcBorders>
              <w:tl2br w:val="nil"/>
              <w:tr2bl w:val="nil"/>
            </w:tcBorders>
            <w:noWrap w:val="0"/>
            <w:vAlign w:val="center"/>
          </w:tcPr>
          <w:p w14:paraId="2FAC81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70-75</w:t>
            </w:r>
          </w:p>
        </w:tc>
        <w:tc>
          <w:tcPr>
            <w:tcW w:w="1885" w:type="dxa"/>
            <w:tcBorders>
              <w:tl2br w:val="nil"/>
              <w:tr2bl w:val="nil"/>
            </w:tcBorders>
            <w:noWrap w:val="0"/>
            <w:vAlign w:val="center"/>
          </w:tcPr>
          <w:p w14:paraId="61654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886" w:type="dxa"/>
            <w:tcBorders>
              <w:tl2br w:val="nil"/>
              <w:tr2bl w:val="nil"/>
            </w:tcBorders>
            <w:noWrap w:val="0"/>
            <w:vAlign w:val="center"/>
          </w:tcPr>
          <w:p w14:paraId="447D2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7B952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tcBorders>
              <w:tl2br w:val="nil"/>
              <w:tr2bl w:val="nil"/>
            </w:tcBorders>
            <w:noWrap w:val="0"/>
            <w:vAlign w:val="center"/>
          </w:tcPr>
          <w:p w14:paraId="241CFD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w:t>
            </w:r>
          </w:p>
        </w:tc>
        <w:tc>
          <w:tcPr>
            <w:tcW w:w="1870" w:type="dxa"/>
            <w:tcBorders>
              <w:tl2br w:val="nil"/>
              <w:tr2bl w:val="nil"/>
            </w:tcBorders>
            <w:noWrap w:val="0"/>
            <w:vAlign w:val="center"/>
          </w:tcPr>
          <w:p w14:paraId="5B2CA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打</w:t>
            </w:r>
            <w:r>
              <w:rPr>
                <w:rFonts w:hint="default" w:ascii="Times New Roman" w:hAnsi="Times New Roman" w:cs="Times New Roman" w:eastAsiaTheme="minorEastAsia"/>
                <w:color w:val="auto"/>
                <w:sz w:val="21"/>
                <w:szCs w:val="21"/>
                <w:highlight w:val="none"/>
                <w:u w:val="none"/>
              </w:rPr>
              <w:t>粉机</w:t>
            </w:r>
          </w:p>
        </w:tc>
        <w:tc>
          <w:tcPr>
            <w:tcW w:w="732" w:type="dxa"/>
            <w:tcBorders>
              <w:tl2br w:val="nil"/>
              <w:tr2bl w:val="nil"/>
            </w:tcBorders>
            <w:noWrap w:val="0"/>
            <w:vAlign w:val="center"/>
          </w:tcPr>
          <w:p w14:paraId="429AF6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1405" w:type="dxa"/>
            <w:tcBorders>
              <w:tl2br w:val="nil"/>
              <w:tr2bl w:val="nil"/>
            </w:tcBorders>
            <w:noWrap w:val="0"/>
            <w:vAlign w:val="center"/>
          </w:tcPr>
          <w:p w14:paraId="5D70E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75-80</w:t>
            </w:r>
          </w:p>
        </w:tc>
        <w:tc>
          <w:tcPr>
            <w:tcW w:w="1885" w:type="dxa"/>
            <w:tcBorders>
              <w:tl2br w:val="nil"/>
              <w:tr2bl w:val="nil"/>
            </w:tcBorders>
            <w:noWrap w:val="0"/>
            <w:vAlign w:val="center"/>
          </w:tcPr>
          <w:p w14:paraId="07A99C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886" w:type="dxa"/>
            <w:tcBorders>
              <w:tl2br w:val="nil"/>
              <w:tr2bl w:val="nil"/>
            </w:tcBorders>
            <w:noWrap w:val="0"/>
            <w:vAlign w:val="center"/>
          </w:tcPr>
          <w:p w14:paraId="1CF841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60</w:t>
            </w:r>
          </w:p>
        </w:tc>
      </w:tr>
      <w:tr w14:paraId="45BF3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tcBorders>
              <w:tl2br w:val="nil"/>
              <w:tr2bl w:val="nil"/>
            </w:tcBorders>
            <w:noWrap w:val="0"/>
            <w:vAlign w:val="center"/>
          </w:tcPr>
          <w:p w14:paraId="708B48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w:t>
            </w:r>
          </w:p>
        </w:tc>
        <w:tc>
          <w:tcPr>
            <w:tcW w:w="1098" w:type="pct"/>
            <w:tcBorders>
              <w:tl2br w:val="nil"/>
              <w:tr2bl w:val="nil"/>
            </w:tcBorders>
            <w:noWrap w:val="0"/>
            <w:vAlign w:val="center"/>
          </w:tcPr>
          <w:p w14:paraId="1C41F7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风机</w:t>
            </w:r>
          </w:p>
        </w:tc>
        <w:tc>
          <w:tcPr>
            <w:tcW w:w="430" w:type="pct"/>
            <w:tcBorders>
              <w:tl2br w:val="nil"/>
              <w:tr2bl w:val="nil"/>
            </w:tcBorders>
            <w:noWrap w:val="0"/>
            <w:vAlign w:val="center"/>
          </w:tcPr>
          <w:p w14:paraId="166126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2</w:t>
            </w:r>
          </w:p>
        </w:tc>
        <w:tc>
          <w:tcPr>
            <w:tcW w:w="825" w:type="pct"/>
            <w:tcBorders>
              <w:tl2br w:val="nil"/>
              <w:tr2bl w:val="nil"/>
            </w:tcBorders>
            <w:noWrap w:val="0"/>
            <w:vAlign w:val="center"/>
          </w:tcPr>
          <w:p w14:paraId="6F5B46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75-80</w:t>
            </w:r>
          </w:p>
        </w:tc>
        <w:tc>
          <w:tcPr>
            <w:tcW w:w="1107" w:type="pct"/>
            <w:tcBorders>
              <w:tl2br w:val="nil"/>
              <w:tr2bl w:val="nil"/>
            </w:tcBorders>
            <w:noWrap w:val="0"/>
            <w:vAlign w:val="center"/>
          </w:tcPr>
          <w:p w14:paraId="5DE1B8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7DA2B7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60</w:t>
            </w:r>
          </w:p>
        </w:tc>
      </w:tr>
      <w:tr w14:paraId="18F81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1EAEC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8</w:t>
            </w:r>
          </w:p>
        </w:tc>
        <w:tc>
          <w:tcPr>
            <w:tcW w:w="1098" w:type="pct"/>
            <w:tcBorders>
              <w:tl2br w:val="nil"/>
              <w:tr2bl w:val="nil"/>
            </w:tcBorders>
            <w:noWrap w:val="0"/>
            <w:vAlign w:val="center"/>
          </w:tcPr>
          <w:p w14:paraId="624CF4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空压机</w:t>
            </w:r>
          </w:p>
        </w:tc>
        <w:tc>
          <w:tcPr>
            <w:tcW w:w="430" w:type="pct"/>
            <w:tcBorders>
              <w:tl2br w:val="nil"/>
              <w:tr2bl w:val="nil"/>
            </w:tcBorders>
            <w:noWrap w:val="0"/>
            <w:vAlign w:val="center"/>
          </w:tcPr>
          <w:p w14:paraId="24424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482FDA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75-85</w:t>
            </w:r>
          </w:p>
        </w:tc>
        <w:tc>
          <w:tcPr>
            <w:tcW w:w="1107" w:type="pct"/>
            <w:tcBorders>
              <w:tl2br w:val="nil"/>
              <w:tr2bl w:val="nil"/>
            </w:tcBorders>
            <w:noWrap w:val="0"/>
            <w:vAlign w:val="center"/>
          </w:tcPr>
          <w:p w14:paraId="3A93D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6607F5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65</w:t>
            </w:r>
          </w:p>
        </w:tc>
      </w:tr>
    </w:tbl>
    <w:p w14:paraId="6313AA3F">
      <w:pPr>
        <w:pStyle w:val="9"/>
        <w:bidi w:val="0"/>
        <w:rPr>
          <w:rFonts w:hint="eastAsia"/>
          <w:highlight w:val="none"/>
          <w:lang w:val="en-US" w:eastAsia="zh-CN"/>
        </w:rPr>
      </w:pPr>
      <w:r>
        <w:rPr>
          <w:rFonts w:hint="eastAsia"/>
          <w:highlight w:val="none"/>
          <w:lang w:val="en-US" w:eastAsia="zh-CN"/>
        </w:rPr>
        <w:t>4.3.2.4 固体废物</w:t>
      </w:r>
    </w:p>
    <w:p w14:paraId="1EE90967">
      <w:pP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项目产生的固体废物主要包括废包装材料、地面收集粉尘、布袋除尘器收集的粉尘、废 RO膜、废活性炭、实验室废液、实验室检验成品、废导热油以及生活垃圾。</w:t>
      </w:r>
    </w:p>
    <w:p w14:paraId="65B71B10">
      <w:pP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（1）布袋除尘器收集粉尘</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（S1）</w:t>
      </w:r>
    </w:p>
    <w:p w14:paraId="63BF7B99">
      <w:pP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项目在打粉车间内设置一台布袋除尘器，除尘器会截留大部分的工艺粉尘，根据除尘量计算，除尘器粉尘收集总量约为</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2.127</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t/a，该部分粉尘收集后返回生产线做原料。</w:t>
      </w:r>
    </w:p>
    <w:p w14:paraId="3F9A536B">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（2）地面收集粉尘</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（S2）</w:t>
      </w:r>
    </w:p>
    <w:p w14:paraId="4A14699C">
      <w:pP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粉碎工段与进料、混合搅拌工段会产生一定量的粉尘，将有部分未被集气罩收集的无组织粉尘沉降在设备周边，根据工程分析，车间地面收集粉尘</w:t>
      </w:r>
      <w:r>
        <w:rPr>
          <w:rFonts w:hint="eastAsia" w:eastAsia="宋体" w:cs="Times New Roman"/>
          <w:b w:val="0"/>
          <w:bCs/>
          <w:snapToGrid w:val="0"/>
          <w:color w:val="000000" w:themeColor="text1"/>
          <w:kern w:val="0"/>
          <w:sz w:val="24"/>
          <w:szCs w:val="24"/>
          <w:highlight w:val="none"/>
          <w:lang w:val="en-US" w:eastAsia="zh-CN"/>
          <w14:textFill>
            <w14:solidFill>
              <w14:schemeClr w14:val="tx1"/>
            </w14:solidFill>
          </w14:textFill>
        </w:rPr>
        <w:t>0.1206</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t/a，该部分粉尘收集后返回生产线做原料。</w:t>
      </w:r>
    </w:p>
    <w:p w14:paraId="7DEE4C85">
      <w:pP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（3）废 RO 膜</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(S3)</w:t>
      </w:r>
    </w:p>
    <w:p w14:paraId="52756CBB">
      <w:pP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本项目配置一套纯水制备系统，采用RO反渗透技术过滤制备原料纯水。根据建设单位提供资料，为使纯水水质满足生产要求，RO反渗透膜约一年更换一次，由厂家上门更换并对废RO膜进行回收处置。废RO膜属于一般固废，产生量约 0.01kg/a。</w:t>
      </w:r>
    </w:p>
    <w:p w14:paraId="3733EEE2">
      <w:pPr>
        <w:numPr>
          <w:ilvl w:val="0"/>
          <w:numId w:val="8"/>
        </w:numPr>
        <w:ind w:left="80" w:leftChars="0" w:firstLine="480" w:firstLineChars="0"/>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废活性炭</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（S4）</w:t>
      </w:r>
    </w:p>
    <w:p w14:paraId="4C00641C">
      <w:pPr>
        <w:pStyle w:val="43"/>
        <w:spacing w:line="360" w:lineRule="auto"/>
        <w:ind w:firstLine="420"/>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ascii="Times New Roman" w:cstheme="minorBidi"/>
          <w:color w:val="000000" w:themeColor="text1"/>
          <w:kern w:val="2"/>
          <w:sz w:val="24"/>
          <w:szCs w:val="24"/>
          <w:highlight w:val="none"/>
          <w:u w:val="none"/>
          <w14:textFill>
            <w14:solidFill>
              <w14:schemeClr w14:val="tx1"/>
            </w14:solidFill>
          </w14:textFill>
        </w:rPr>
        <w:t>项目废气处理设施中设有</w:t>
      </w:r>
      <w:r>
        <w:rPr>
          <w:rFonts w:hint="eastAsia" w:ascii="Times New Roman" w:cstheme="minorBidi"/>
          <w:color w:val="000000" w:themeColor="text1"/>
          <w:kern w:val="2"/>
          <w:sz w:val="24"/>
          <w:szCs w:val="24"/>
          <w:highlight w:val="none"/>
          <w:u w:val="none"/>
          <w:lang w:val="en-US" w:eastAsia="zh-CN"/>
          <w14:textFill>
            <w14:solidFill>
              <w14:schemeClr w14:val="tx1"/>
            </w14:solidFill>
          </w14:textFill>
        </w:rPr>
        <w:t>二级</w:t>
      </w:r>
      <w:r>
        <w:rPr>
          <w:rFonts w:ascii="Times New Roman" w:cstheme="minorBidi"/>
          <w:color w:val="000000" w:themeColor="text1"/>
          <w:kern w:val="2"/>
          <w:sz w:val="24"/>
          <w:szCs w:val="24"/>
          <w:highlight w:val="none"/>
          <w:u w:val="none"/>
          <w14:textFill>
            <w14:solidFill>
              <w14:schemeClr w14:val="tx1"/>
            </w14:solidFill>
          </w14:textFill>
        </w:rPr>
        <w:t>活性炭吸附装置</w:t>
      </w:r>
      <w:r>
        <w:rPr>
          <w:rFonts w:hint="eastAsia" w:ascii="Times New Roman" w:cstheme="minorBidi"/>
          <w:color w:val="000000" w:themeColor="text1"/>
          <w:kern w:val="2"/>
          <w:sz w:val="24"/>
          <w:szCs w:val="24"/>
          <w:highlight w:val="none"/>
          <w:u w:val="none"/>
          <w:lang w:eastAsia="zh-CN"/>
          <w14:textFill>
            <w14:solidFill>
              <w14:schemeClr w14:val="tx1"/>
            </w14:solidFill>
          </w14:textFill>
        </w:rPr>
        <w:t>，</w:t>
      </w:r>
      <w:r>
        <w:rPr>
          <w:rFonts w:ascii="Times New Roman" w:cstheme="minorBidi"/>
          <w:color w:val="000000" w:themeColor="text1"/>
          <w:kern w:val="2"/>
          <w:sz w:val="24"/>
          <w:szCs w:val="24"/>
          <w:highlight w:val="none"/>
          <w:u w:val="none"/>
          <w14:textFill>
            <w14:solidFill>
              <w14:schemeClr w14:val="tx1"/>
            </w14:solidFill>
          </w14:textFill>
        </w:rPr>
        <w:t>用于吸附VOCs，</w:t>
      </w:r>
      <w:r>
        <w:rPr>
          <w:rFonts w:hint="eastAsia" w:ascii="Times New Roman" w:cstheme="minorBidi"/>
          <w:color w:val="000000" w:themeColor="text1"/>
          <w:kern w:val="2"/>
          <w:sz w:val="24"/>
          <w:szCs w:val="24"/>
          <w:highlight w:val="none"/>
          <w:u w:val="none"/>
          <w:lang w:val="en-US" w:eastAsia="zh-CN"/>
          <w14:textFill>
            <w14:solidFill>
              <w14:schemeClr w14:val="tx1"/>
            </w14:solidFill>
          </w14:textFill>
        </w:rPr>
        <w:t>挥发性有机物去除量为0.8336t/a</w:t>
      </w:r>
      <w:r>
        <w:rPr>
          <w:rFonts w:ascii="Times New Roman" w:cstheme="minorBidi"/>
          <w:color w:val="000000" w:themeColor="text1"/>
          <w:kern w:val="2"/>
          <w:sz w:val="24"/>
          <w:szCs w:val="24"/>
          <w:highlight w:val="none"/>
          <w:u w:val="none"/>
          <w14:textFill>
            <w14:solidFill>
              <w14:schemeClr w14:val="tx1"/>
            </w14:solidFill>
          </w14:textFill>
        </w:rPr>
        <w:t>，</w:t>
      </w:r>
      <w:r>
        <w:rPr>
          <w:rFonts w:hint="eastAsia" w:ascii="Times New Roman" w:cstheme="minorBidi"/>
          <w:color w:val="000000" w:themeColor="text1"/>
          <w:kern w:val="2"/>
          <w:sz w:val="24"/>
          <w:szCs w:val="24"/>
          <w:highlight w:val="none"/>
          <w:u w:val="none"/>
          <w14:textFill>
            <w14:solidFill>
              <w14:schemeClr w14:val="tx1"/>
            </w14:solidFill>
          </w14:textFill>
        </w:rPr>
        <w:t>根据相关资料可知，活性炭吸附量一般按照每克活性炭吸附 0.25 克有机废气计算，故本项目废气处理过程中废活性炭产生量约</w:t>
      </w:r>
      <w:r>
        <w:rPr>
          <w:rFonts w:hint="eastAsia" w:ascii="Times New Roman" w:cstheme="minorBidi"/>
          <w:color w:val="000000" w:themeColor="text1"/>
          <w:kern w:val="2"/>
          <w:sz w:val="24"/>
          <w:szCs w:val="24"/>
          <w:highlight w:val="none"/>
          <w:u w:val="none"/>
          <w:lang w:val="en-US" w:eastAsia="zh-CN"/>
          <w14:textFill>
            <w14:solidFill>
              <w14:schemeClr w14:val="tx1"/>
            </w14:solidFill>
          </w14:textFill>
        </w:rPr>
        <w:t>3.654t/a</w:t>
      </w:r>
      <w:r>
        <w:rPr>
          <w:rFonts w:hint="eastAsia" w:ascii="Times New Roman" w:cstheme="minorBidi"/>
          <w:color w:val="000000" w:themeColor="text1"/>
          <w:kern w:val="2"/>
          <w:sz w:val="24"/>
          <w:szCs w:val="24"/>
          <w:highlight w:val="none"/>
          <w:u w:val="none"/>
          <w:lang w:eastAsia="zh-CN"/>
          <w14:textFill>
            <w14:solidFill>
              <w14:schemeClr w14:val="tx1"/>
            </w14:solidFill>
          </w14:textFill>
        </w:rPr>
        <w:t>。</w:t>
      </w:r>
      <w:r>
        <w:rPr>
          <w:rFonts w:ascii="Times New Roman" w:cstheme="minorBidi"/>
          <w:color w:val="000000" w:themeColor="text1"/>
          <w:kern w:val="2"/>
          <w:sz w:val="24"/>
          <w:szCs w:val="24"/>
          <w:highlight w:val="none"/>
          <w:u w:val="none"/>
          <w14:textFill>
            <w14:solidFill>
              <w14:schemeClr w14:val="tx1"/>
            </w14:solidFill>
          </w14:textFill>
        </w:rPr>
        <w:t>废气吸附装置中活性炭具有一定的寿命，需要定期更换，</w:t>
      </w:r>
      <w:r>
        <w:rPr>
          <w:rFonts w:hint="eastAsia" w:ascii="Times New Roman" w:cstheme="minorBidi"/>
          <w:color w:val="000000" w:themeColor="text1"/>
          <w:kern w:val="2"/>
          <w:sz w:val="24"/>
          <w:szCs w:val="24"/>
          <w:highlight w:val="none"/>
          <w:u w:val="none"/>
          <w14:textFill>
            <w14:solidFill>
              <w14:schemeClr w14:val="tx1"/>
            </w14:solidFill>
          </w14:textFill>
        </w:rPr>
        <w:t>建议更换周期</w:t>
      </w:r>
      <w:r>
        <w:rPr>
          <w:rFonts w:hint="eastAsia" w:ascii="Times New Roman" w:cstheme="minorBidi"/>
          <w:color w:val="000000" w:themeColor="text1"/>
          <w:kern w:val="2"/>
          <w:sz w:val="24"/>
          <w:szCs w:val="24"/>
          <w:highlight w:val="none"/>
          <w:u w:val="none"/>
          <w:lang w:val="en-US" w:eastAsia="zh-CN"/>
          <w14:textFill>
            <w14:solidFill>
              <w14:schemeClr w14:val="tx1"/>
            </w14:solidFill>
          </w14:textFill>
        </w:rPr>
        <w:t>3</w:t>
      </w:r>
      <w:r>
        <w:rPr>
          <w:rFonts w:hint="eastAsia" w:ascii="Times New Roman" w:cstheme="minorBidi"/>
          <w:color w:val="000000" w:themeColor="text1"/>
          <w:kern w:val="2"/>
          <w:sz w:val="24"/>
          <w:szCs w:val="24"/>
          <w:highlight w:val="none"/>
          <w:u w:val="none"/>
          <w14:textFill>
            <w14:solidFill>
              <w14:schemeClr w14:val="tx1"/>
            </w14:solidFill>
          </w14:textFill>
        </w:rPr>
        <w:t>月一次。根据《国家危险废物名录（202</w:t>
      </w:r>
      <w:r>
        <w:rPr>
          <w:rFonts w:hint="eastAsia" w:ascii="Times New Roman" w:cstheme="minorBidi"/>
          <w:color w:val="000000" w:themeColor="text1"/>
          <w:kern w:val="2"/>
          <w:sz w:val="24"/>
          <w:szCs w:val="24"/>
          <w:highlight w:val="none"/>
          <w:u w:val="none"/>
          <w:lang w:val="en-US" w:eastAsia="zh-CN"/>
          <w14:textFill>
            <w14:solidFill>
              <w14:schemeClr w14:val="tx1"/>
            </w14:solidFill>
          </w14:textFill>
        </w:rPr>
        <w:t>5</w:t>
      </w:r>
      <w:r>
        <w:rPr>
          <w:rFonts w:hint="eastAsia" w:ascii="Times New Roman" w:cstheme="minorBidi"/>
          <w:color w:val="000000" w:themeColor="text1"/>
          <w:kern w:val="2"/>
          <w:sz w:val="24"/>
          <w:szCs w:val="24"/>
          <w:highlight w:val="none"/>
          <w:u w:val="none"/>
          <w14:textFill>
            <w14:solidFill>
              <w14:schemeClr w14:val="tx1"/>
            </w14:solidFill>
          </w14:textFill>
        </w:rPr>
        <w:t>年）》可知，废活性炭属于危险废物，废物类别为HW49，废物代码为900-041-49，含油或沾染毒性、感染性危险废物的废气包装物、容器、过滤吸附介质，厂区内设置危险废物暂存点收集，定期交由有资质单位处理。</w:t>
      </w:r>
    </w:p>
    <w:p w14:paraId="7A034E99">
      <w:pPr>
        <w:numPr>
          <w:ilvl w:val="0"/>
          <w:numId w:val="8"/>
        </w:numPr>
        <w:ind w:left="80" w:leftChars="0" w:firstLine="480" w:firstLineChars="0"/>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废导热油</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（S5）</w:t>
      </w:r>
    </w:p>
    <w:p w14:paraId="50E118D0">
      <w:pPr>
        <w:rPr>
          <w:rFonts w:hint="default"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t>本项目导热油在电加热搅拌罐中是关键的传热介质，其作用是通过高效、均匀的热量传递，保障酶制剂和助剂反应的最佳温度条件，同时提升生产安全性和稳定性。电加热器先将导热油加热至设定温度，再通过循环泵将热油输送至搅拌罐夹套或盘管，间接加热罐内物料。</w:t>
      </w:r>
      <w:r>
        <w:rPr>
          <w:rFonts w:hint="default"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t>避免电加热元件直接接触物料，防止局部过热导致酶活性失活。</w:t>
      </w:r>
      <w:r>
        <w:rPr>
          <w:rFonts w:hint="eastAsia"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t>需要定期换油，维护设备的正常运行，本项目三年更换一次导热油，更换一次的废导热油为0.</w:t>
      </w:r>
      <w:r>
        <w:rPr>
          <w:rFonts w:hint="eastAsia" w:eastAsia="宋体" w:cstheme="minorBidi"/>
          <w:color w:val="000000" w:themeColor="text1"/>
          <w:kern w:val="2"/>
          <w:sz w:val="24"/>
          <w:szCs w:val="24"/>
          <w:highlight w:val="none"/>
          <w:u w:val="none"/>
          <w:lang w:val="en-US" w:eastAsia="zh-CN" w:bidi="ar-SA"/>
          <w14:textFill>
            <w14:solidFill>
              <w14:schemeClr w14:val="tx1"/>
            </w14:solidFill>
          </w14:textFill>
        </w:rPr>
        <w:t>9</w:t>
      </w:r>
      <w:r>
        <w:rPr>
          <w:rFonts w:hint="eastAsia"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t>t/3</w:t>
      </w:r>
      <w:r>
        <w:rPr>
          <w:rFonts w:hint="eastAsia" w:eastAsia="宋体" w:cstheme="minorBidi"/>
          <w:color w:val="000000" w:themeColor="text1"/>
          <w:kern w:val="2"/>
          <w:sz w:val="24"/>
          <w:szCs w:val="24"/>
          <w:highlight w:val="none"/>
          <w:u w:val="none"/>
          <w:lang w:val="en-US" w:eastAsia="zh-CN" w:bidi="ar-SA"/>
          <w14:textFill>
            <w14:solidFill>
              <w14:schemeClr w14:val="tx1"/>
            </w14:solidFill>
          </w14:textFill>
        </w:rPr>
        <w:t>年（折算为0.3t/a）</w:t>
      </w:r>
      <w:r>
        <w:rPr>
          <w:rFonts w:hint="eastAsia"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t>。废导热油属于危险废物，暂存于危险废物暂存间，定期交由有资质单位处置。</w:t>
      </w:r>
    </w:p>
    <w:p w14:paraId="626931FB">
      <w:pPr>
        <w:keepNext w:val="0"/>
        <w:keepLines w:val="0"/>
        <w:pageBreakBefore w:val="0"/>
        <w:widowControl w:val="0"/>
        <w:numPr>
          <w:ilvl w:val="0"/>
          <w:numId w:val="8"/>
        </w:numPr>
        <w:kinsoku/>
        <w:wordWrap/>
        <w:overflowPunct/>
        <w:topLinePunct w:val="0"/>
        <w:autoSpaceDE/>
        <w:autoSpaceDN/>
        <w:bidi w:val="0"/>
        <w:adjustRightInd/>
        <w:snapToGrid/>
        <w:ind w:left="80" w:leftChars="0" w:firstLine="480" w:firstLineChars="0"/>
        <w:jc w:val="both"/>
        <w:textAlignment w:val="auto"/>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废包装材料</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（S6）</w:t>
      </w:r>
    </w:p>
    <w:p w14:paraId="766AD276">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本项目原料使用包装袋建成后使用量约1t/a，建设单位拟将其收集后交由厂家回收。</w:t>
      </w:r>
    </w:p>
    <w:p w14:paraId="0C48FA67">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7</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）生活垃圾</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（S7）</w:t>
      </w:r>
    </w:p>
    <w:p w14:paraId="3694ECB9">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本项目建成后劳动定员为18人，按每人每天产生垃圾0.5kg计算，预计生活垃圾年产生量为2.7t/a，通过垃圾收集箱集中收集后交由环卫部门处置。</w:t>
      </w:r>
    </w:p>
    <w:p w14:paraId="679BC758">
      <w:pPr>
        <w:numPr>
          <w:ilvl w:val="0"/>
          <w:numId w:val="0"/>
        </w:numPr>
        <w:ind w:leftChars="200"/>
        <w:rPr>
          <w:rFonts w:hint="default"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pPr>
      <w:r>
        <w:rPr>
          <w:rFonts w:hint="eastAsia" w:eastAsia="宋体" w:cstheme="minorBidi"/>
          <w:color w:val="000000" w:themeColor="text1"/>
          <w:kern w:val="2"/>
          <w:sz w:val="24"/>
          <w:szCs w:val="24"/>
          <w:highlight w:val="none"/>
          <w:u w:val="none"/>
          <w:lang w:val="en-US" w:eastAsia="zh-CN" w:bidi="ar-SA"/>
          <w14:textFill>
            <w14:solidFill>
              <w14:schemeClr w14:val="tx1"/>
            </w14:solidFill>
          </w14:textFill>
        </w:rPr>
        <w:t>（8）实验室废液</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（S8）</w:t>
      </w:r>
    </w:p>
    <w:p w14:paraId="06B494CA">
      <w:pPr>
        <w:keepNext w:val="0"/>
        <w:keepLines w:val="0"/>
        <w:widowControl/>
        <w:suppressLineNumbers w:val="0"/>
        <w:jc w:val="left"/>
        <w:rPr>
          <w:rFonts w:hint="eastAsia"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本项目实验室主要为验证产品纯度</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等</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是否达到相关标准要求，</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化验分析过程中产生</w:t>
      </w:r>
      <w:r>
        <w:rPr>
          <w:rFonts w:hint="eastAsia" w:ascii="宋体" w:hAnsi="宋体" w:eastAsia="宋体" w:cs="宋体"/>
          <w:color w:val="000000"/>
          <w:kern w:val="0"/>
          <w:sz w:val="24"/>
          <w:szCs w:val="24"/>
          <w:highlight w:val="none"/>
          <w:lang w:val="en-US" w:eastAsia="zh-CN" w:bidi="ar"/>
        </w:rPr>
        <w:t>废试剂、设备冲洗废液等。</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所产生的化验废液为60kg/a，</w:t>
      </w:r>
      <w:r>
        <w:rPr>
          <w:rFonts w:hint="eastAsia" w:ascii="Times New Roman" w:hAnsi="Times New Roman" w:eastAsia="宋体" w:cstheme="minorBidi"/>
          <w:color w:val="000000" w:themeColor="text1"/>
          <w:kern w:val="2"/>
          <w:sz w:val="24"/>
          <w:szCs w:val="24"/>
          <w:highlight w:val="none"/>
          <w:u w:val="none"/>
          <w:lang w:val="en-US" w:eastAsia="zh-CN" w:bidi="ar-SA"/>
          <w14:textFill>
            <w14:solidFill>
              <w14:schemeClr w14:val="tx1"/>
            </w14:solidFill>
          </w14:textFill>
        </w:rPr>
        <w:t>属于危险废物，暂存于危险废物暂存间，定期交由有资质单位处置。</w:t>
      </w:r>
    </w:p>
    <w:p w14:paraId="4A8FA1BC">
      <w:pP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（9）实验室检验成品（S9）</w:t>
      </w:r>
    </w:p>
    <w:p w14:paraId="256467F7">
      <w:pP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本项目的产品在包装前需取样进行检测要是对产品的</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纯度</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、均匀度、粘度等进行检验。根据建设单位提供的资料，检验样品量为0.01t/a</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实验室检验成品固废不合格的回用于工艺。</w:t>
      </w:r>
    </w:p>
    <w:p w14:paraId="23E7EFAC">
      <w:pPr>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拟建项目固体废物产生、治理情况见表</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4.3-7</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p>
    <w:p w14:paraId="28A1FB3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t>表4.3-</w:t>
      </w:r>
      <w:r>
        <w:rPr>
          <w:rFonts w:hint="eastAsia" w:eastAsia="宋体" w:cs="Times New Roman"/>
          <w:b/>
          <w:bCs w:val="0"/>
          <w:snapToGrid w:val="0"/>
          <w:color w:val="000000" w:themeColor="text1"/>
          <w:kern w:val="0"/>
          <w:sz w:val="24"/>
          <w:szCs w:val="24"/>
          <w:highlight w:val="none"/>
          <w:lang w:val="en-US" w:eastAsia="zh-CN"/>
          <w14:textFill>
            <w14:solidFill>
              <w14:schemeClr w14:val="tx1"/>
            </w14:solidFill>
          </w14:textFill>
        </w:rPr>
        <w:t>7</w:t>
      </w:r>
      <w:r>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t xml:space="preserve">  拟建项目固体废物产生、治理情况一览表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54"/>
        <w:gridCol w:w="1199"/>
        <w:gridCol w:w="1024"/>
        <w:gridCol w:w="1003"/>
        <w:gridCol w:w="1299"/>
        <w:gridCol w:w="2207"/>
        <w:gridCol w:w="1124"/>
      </w:tblGrid>
      <w:tr w14:paraId="02EBFD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5518A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704" w:type="pct"/>
            <w:tcBorders>
              <w:tl2br w:val="nil"/>
              <w:tr2bl w:val="nil"/>
            </w:tcBorders>
            <w:noWrap w:val="0"/>
            <w:vAlign w:val="center"/>
          </w:tcPr>
          <w:p w14:paraId="0A32D6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固废名称</w:t>
            </w:r>
          </w:p>
        </w:tc>
        <w:tc>
          <w:tcPr>
            <w:tcW w:w="601" w:type="pct"/>
            <w:tcBorders>
              <w:tl2br w:val="nil"/>
              <w:tr2bl w:val="nil"/>
            </w:tcBorders>
            <w:noWrap w:val="0"/>
            <w:vAlign w:val="center"/>
          </w:tcPr>
          <w:p w14:paraId="5AE483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产生工段</w:t>
            </w:r>
          </w:p>
        </w:tc>
        <w:tc>
          <w:tcPr>
            <w:tcW w:w="589" w:type="pct"/>
            <w:tcBorders>
              <w:tl2br w:val="nil"/>
              <w:tr2bl w:val="nil"/>
            </w:tcBorders>
            <w:noWrap w:val="0"/>
            <w:vAlign w:val="center"/>
          </w:tcPr>
          <w:p w14:paraId="305609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产生量</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t/a</w:t>
            </w:r>
            <w:r>
              <w:rPr>
                <w:rFonts w:hint="eastAsia" w:ascii="Times New Roman" w:hAnsi="Times New Roman" w:eastAsia="宋体" w:cs="Times New Roman"/>
                <w:b w:val="0"/>
                <w:bCs/>
                <w:color w:val="auto"/>
                <w:sz w:val="21"/>
                <w:szCs w:val="21"/>
                <w:highlight w:val="none"/>
                <w:lang w:eastAsia="zh-CN"/>
              </w:rPr>
              <w:t>）</w:t>
            </w:r>
          </w:p>
        </w:tc>
        <w:tc>
          <w:tcPr>
            <w:tcW w:w="763" w:type="pct"/>
            <w:tcBorders>
              <w:tl2br w:val="nil"/>
              <w:tr2bl w:val="nil"/>
            </w:tcBorders>
            <w:noWrap w:val="0"/>
            <w:vAlign w:val="center"/>
          </w:tcPr>
          <w:p w14:paraId="449FE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性质</w:t>
            </w:r>
          </w:p>
        </w:tc>
        <w:tc>
          <w:tcPr>
            <w:tcW w:w="1296" w:type="pct"/>
            <w:tcBorders>
              <w:tl2br w:val="nil"/>
              <w:tr2bl w:val="nil"/>
            </w:tcBorders>
            <w:noWrap w:val="0"/>
            <w:vAlign w:val="center"/>
          </w:tcPr>
          <w:p w14:paraId="256989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利用处置方式和去向</w:t>
            </w:r>
          </w:p>
        </w:tc>
        <w:tc>
          <w:tcPr>
            <w:tcW w:w="660" w:type="pct"/>
            <w:tcBorders>
              <w:tl2br w:val="nil"/>
              <w:tr2bl w:val="nil"/>
            </w:tcBorders>
            <w:noWrap w:val="0"/>
            <w:vAlign w:val="center"/>
          </w:tcPr>
          <w:p w14:paraId="57D04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利用或处置量</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t/a</w:t>
            </w:r>
            <w:r>
              <w:rPr>
                <w:rFonts w:hint="eastAsia" w:ascii="Times New Roman" w:hAnsi="Times New Roman" w:eastAsia="宋体" w:cs="Times New Roman"/>
                <w:b w:val="0"/>
                <w:bCs/>
                <w:color w:val="auto"/>
                <w:sz w:val="21"/>
                <w:szCs w:val="21"/>
                <w:highlight w:val="none"/>
                <w:lang w:eastAsia="zh-CN"/>
              </w:rPr>
              <w:t>）</w:t>
            </w:r>
          </w:p>
        </w:tc>
      </w:tr>
      <w:tr w14:paraId="3D7D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62358F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S1</w:t>
            </w:r>
          </w:p>
        </w:tc>
        <w:tc>
          <w:tcPr>
            <w:tcW w:w="704" w:type="pct"/>
            <w:tcBorders>
              <w:tl2br w:val="nil"/>
              <w:tr2bl w:val="nil"/>
            </w:tcBorders>
            <w:noWrap w:val="0"/>
            <w:vAlign w:val="center"/>
          </w:tcPr>
          <w:p w14:paraId="6ADBD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布袋除尘器收集粉尘</w:t>
            </w:r>
          </w:p>
        </w:tc>
        <w:tc>
          <w:tcPr>
            <w:tcW w:w="601" w:type="pct"/>
            <w:tcBorders>
              <w:tl2br w:val="nil"/>
              <w:tr2bl w:val="nil"/>
            </w:tcBorders>
            <w:noWrap w:val="0"/>
            <w:vAlign w:val="center"/>
          </w:tcPr>
          <w:p w14:paraId="133C4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除尘器</w:t>
            </w:r>
          </w:p>
        </w:tc>
        <w:tc>
          <w:tcPr>
            <w:tcW w:w="589" w:type="pct"/>
            <w:tcBorders>
              <w:tl2br w:val="nil"/>
              <w:tr2bl w:val="nil"/>
            </w:tcBorders>
            <w:shd w:val="clear" w:color="auto" w:fill="auto"/>
            <w:noWrap w:val="0"/>
            <w:vAlign w:val="center"/>
          </w:tcPr>
          <w:p w14:paraId="06DAD1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2.127</w:t>
            </w:r>
          </w:p>
        </w:tc>
        <w:tc>
          <w:tcPr>
            <w:tcW w:w="763" w:type="pct"/>
            <w:tcBorders>
              <w:tl2br w:val="nil"/>
              <w:tr2bl w:val="nil"/>
            </w:tcBorders>
            <w:noWrap w:val="0"/>
            <w:vAlign w:val="center"/>
          </w:tcPr>
          <w:p w14:paraId="4CE2E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一般工业固体废物</w:t>
            </w:r>
          </w:p>
        </w:tc>
        <w:tc>
          <w:tcPr>
            <w:tcW w:w="1296" w:type="pct"/>
            <w:tcBorders>
              <w:tl2br w:val="nil"/>
              <w:tr2bl w:val="nil"/>
            </w:tcBorders>
            <w:noWrap w:val="0"/>
            <w:vAlign w:val="center"/>
          </w:tcPr>
          <w:p w14:paraId="5CA1D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c>
          <w:tcPr>
            <w:tcW w:w="660" w:type="pct"/>
            <w:tcBorders>
              <w:tl2br w:val="nil"/>
              <w:tr2bl w:val="nil"/>
            </w:tcBorders>
            <w:noWrap w:val="0"/>
            <w:vAlign w:val="center"/>
          </w:tcPr>
          <w:p w14:paraId="4773B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i w:val="0"/>
                <w:iCs w:val="0"/>
                <w:color w:val="000000"/>
                <w:kern w:val="0"/>
                <w:sz w:val="22"/>
                <w:szCs w:val="22"/>
                <w:u w:val="none"/>
                <w:lang w:val="en-US" w:eastAsia="zh-CN" w:bidi="ar"/>
              </w:rPr>
              <w:t>2.127</w:t>
            </w:r>
          </w:p>
        </w:tc>
      </w:tr>
      <w:tr w14:paraId="3A42A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50A81C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S2</w:t>
            </w:r>
          </w:p>
        </w:tc>
        <w:tc>
          <w:tcPr>
            <w:tcW w:w="704" w:type="pct"/>
            <w:tcBorders>
              <w:tl2br w:val="nil"/>
              <w:tr2bl w:val="nil"/>
            </w:tcBorders>
            <w:noWrap w:val="0"/>
            <w:vAlign w:val="center"/>
          </w:tcPr>
          <w:p w14:paraId="23968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地面收集粉尘</w:t>
            </w:r>
          </w:p>
        </w:tc>
        <w:tc>
          <w:tcPr>
            <w:tcW w:w="601" w:type="pct"/>
            <w:tcBorders>
              <w:tl2br w:val="nil"/>
              <w:tr2bl w:val="nil"/>
            </w:tcBorders>
            <w:noWrap w:val="0"/>
            <w:vAlign w:val="center"/>
          </w:tcPr>
          <w:p w14:paraId="2C53A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生产线</w:t>
            </w:r>
          </w:p>
        </w:tc>
        <w:tc>
          <w:tcPr>
            <w:tcW w:w="589" w:type="pct"/>
            <w:tcBorders>
              <w:tl2br w:val="nil"/>
              <w:tr2bl w:val="nil"/>
            </w:tcBorders>
            <w:noWrap w:val="0"/>
            <w:vAlign w:val="center"/>
          </w:tcPr>
          <w:p w14:paraId="0971F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rPr>
            </w:pPr>
            <w:r>
              <w:rPr>
                <w:rFonts w:hint="eastAsia" w:eastAsia="宋体" w:cs="Times New Roman"/>
                <w:b w:val="0"/>
                <w:bCs/>
                <w:snapToGrid w:val="0"/>
                <w:color w:val="000000" w:themeColor="text1"/>
                <w:kern w:val="0"/>
                <w:sz w:val="21"/>
                <w:szCs w:val="21"/>
                <w:highlight w:val="none"/>
                <w:lang w:val="en-US" w:eastAsia="zh-CN"/>
                <w14:textFill>
                  <w14:solidFill>
                    <w14:schemeClr w14:val="tx1"/>
                  </w14:solidFill>
                </w14:textFill>
              </w:rPr>
              <w:t>0.1206</w:t>
            </w:r>
          </w:p>
        </w:tc>
        <w:tc>
          <w:tcPr>
            <w:tcW w:w="763" w:type="pct"/>
            <w:tcBorders>
              <w:tl2br w:val="nil"/>
              <w:tr2bl w:val="nil"/>
            </w:tcBorders>
            <w:noWrap w:val="0"/>
            <w:vAlign w:val="center"/>
          </w:tcPr>
          <w:p w14:paraId="33FBF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一般工业固体废物</w:t>
            </w:r>
          </w:p>
        </w:tc>
        <w:tc>
          <w:tcPr>
            <w:tcW w:w="1296" w:type="pct"/>
            <w:tcBorders>
              <w:tl2br w:val="nil"/>
              <w:tr2bl w:val="nil"/>
            </w:tcBorders>
            <w:noWrap w:val="0"/>
            <w:vAlign w:val="center"/>
          </w:tcPr>
          <w:p w14:paraId="0EA29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c>
          <w:tcPr>
            <w:tcW w:w="660" w:type="pct"/>
            <w:tcBorders>
              <w:tl2br w:val="nil"/>
              <w:tr2bl w:val="nil"/>
            </w:tcBorders>
            <w:noWrap w:val="0"/>
            <w:vAlign w:val="center"/>
          </w:tcPr>
          <w:p w14:paraId="198D99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eastAsia="宋体" w:cs="Times New Roman"/>
                <w:b w:val="0"/>
                <w:bCs/>
                <w:snapToGrid w:val="0"/>
                <w:color w:val="000000" w:themeColor="text1"/>
                <w:kern w:val="0"/>
                <w:sz w:val="21"/>
                <w:szCs w:val="21"/>
                <w:highlight w:val="none"/>
                <w:lang w:val="en-US" w:eastAsia="zh-CN"/>
                <w14:textFill>
                  <w14:solidFill>
                    <w14:schemeClr w14:val="tx1"/>
                  </w14:solidFill>
                </w14:textFill>
              </w:rPr>
              <w:t>0.1206</w:t>
            </w:r>
          </w:p>
        </w:tc>
      </w:tr>
      <w:tr w14:paraId="27D78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59EBF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S3</w:t>
            </w:r>
          </w:p>
        </w:tc>
        <w:tc>
          <w:tcPr>
            <w:tcW w:w="704" w:type="pct"/>
            <w:tcBorders>
              <w:tl2br w:val="nil"/>
              <w:tr2bl w:val="nil"/>
            </w:tcBorders>
            <w:noWrap w:val="0"/>
            <w:vAlign w:val="center"/>
          </w:tcPr>
          <w:p w14:paraId="77C9F1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 RO 膜</w:t>
            </w:r>
          </w:p>
        </w:tc>
        <w:tc>
          <w:tcPr>
            <w:tcW w:w="601" w:type="pct"/>
            <w:tcBorders>
              <w:tl2br w:val="nil"/>
              <w:tr2bl w:val="nil"/>
            </w:tcBorders>
            <w:noWrap w:val="0"/>
            <w:vAlign w:val="center"/>
          </w:tcPr>
          <w:p w14:paraId="635AD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纯水制备</w:t>
            </w:r>
          </w:p>
        </w:tc>
        <w:tc>
          <w:tcPr>
            <w:tcW w:w="589" w:type="pct"/>
            <w:tcBorders>
              <w:tl2br w:val="nil"/>
              <w:tr2bl w:val="nil"/>
            </w:tcBorders>
            <w:noWrap w:val="0"/>
            <w:vAlign w:val="center"/>
          </w:tcPr>
          <w:p w14:paraId="214C14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0.01kg/a</w:t>
            </w:r>
          </w:p>
        </w:tc>
        <w:tc>
          <w:tcPr>
            <w:tcW w:w="763" w:type="pct"/>
            <w:tcBorders>
              <w:tl2br w:val="nil"/>
              <w:tr2bl w:val="nil"/>
            </w:tcBorders>
            <w:noWrap w:val="0"/>
            <w:vAlign w:val="center"/>
          </w:tcPr>
          <w:p w14:paraId="66EDAB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一般工业固体废物</w:t>
            </w:r>
          </w:p>
        </w:tc>
        <w:tc>
          <w:tcPr>
            <w:tcW w:w="1296" w:type="pct"/>
            <w:tcBorders>
              <w:tl2br w:val="nil"/>
              <w:tr2bl w:val="nil"/>
            </w:tcBorders>
            <w:noWrap w:val="0"/>
            <w:vAlign w:val="center"/>
          </w:tcPr>
          <w:p w14:paraId="72CF7C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由厂家上门更换并对废RO膜进行回收处置</w:t>
            </w:r>
          </w:p>
        </w:tc>
        <w:tc>
          <w:tcPr>
            <w:tcW w:w="660" w:type="pct"/>
            <w:tcBorders>
              <w:tl2br w:val="nil"/>
              <w:tr2bl w:val="nil"/>
            </w:tcBorders>
            <w:noWrap w:val="0"/>
            <w:vAlign w:val="center"/>
          </w:tcPr>
          <w:p w14:paraId="2A854F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0.01kg/a</w:t>
            </w:r>
          </w:p>
        </w:tc>
      </w:tr>
      <w:tr w14:paraId="4DEE3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32664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S4</w:t>
            </w:r>
          </w:p>
        </w:tc>
        <w:tc>
          <w:tcPr>
            <w:tcW w:w="704" w:type="pct"/>
            <w:tcBorders>
              <w:tl2br w:val="nil"/>
              <w:tr2bl w:val="nil"/>
            </w:tcBorders>
            <w:noWrap w:val="0"/>
            <w:vAlign w:val="center"/>
          </w:tcPr>
          <w:p w14:paraId="6DDE05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废活性炭</w:t>
            </w:r>
          </w:p>
        </w:tc>
        <w:tc>
          <w:tcPr>
            <w:tcW w:w="601" w:type="pct"/>
            <w:tcBorders>
              <w:tl2br w:val="nil"/>
              <w:tr2bl w:val="nil"/>
            </w:tcBorders>
            <w:noWrap w:val="0"/>
            <w:vAlign w:val="center"/>
          </w:tcPr>
          <w:p w14:paraId="29812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废气处理</w:t>
            </w:r>
          </w:p>
        </w:tc>
        <w:tc>
          <w:tcPr>
            <w:tcW w:w="589" w:type="pct"/>
            <w:tcBorders>
              <w:tl2br w:val="nil"/>
              <w:tr2bl w:val="nil"/>
            </w:tcBorders>
            <w:noWrap w:val="0"/>
            <w:vAlign w:val="center"/>
          </w:tcPr>
          <w:p w14:paraId="37F991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3.654</w:t>
            </w:r>
          </w:p>
        </w:tc>
        <w:tc>
          <w:tcPr>
            <w:tcW w:w="763" w:type="pct"/>
            <w:tcBorders>
              <w:tl2br w:val="nil"/>
              <w:tr2bl w:val="nil"/>
            </w:tcBorders>
            <w:noWrap w:val="0"/>
            <w:vAlign w:val="center"/>
          </w:tcPr>
          <w:p w14:paraId="0AD3A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危险废物</w:t>
            </w:r>
          </w:p>
        </w:tc>
        <w:tc>
          <w:tcPr>
            <w:tcW w:w="1296" w:type="pct"/>
            <w:tcBorders>
              <w:tl2br w:val="nil"/>
              <w:tr2bl w:val="nil"/>
            </w:tcBorders>
            <w:noWrap w:val="0"/>
            <w:vAlign w:val="center"/>
          </w:tcPr>
          <w:p w14:paraId="53E871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660" w:type="pct"/>
            <w:tcBorders>
              <w:tl2br w:val="nil"/>
              <w:tr2bl w:val="nil"/>
            </w:tcBorders>
            <w:noWrap w:val="0"/>
            <w:vAlign w:val="center"/>
          </w:tcPr>
          <w:p w14:paraId="3EFF59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3.654</w:t>
            </w:r>
          </w:p>
        </w:tc>
      </w:tr>
      <w:tr w14:paraId="56F42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059C9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S5</w:t>
            </w:r>
          </w:p>
        </w:tc>
        <w:tc>
          <w:tcPr>
            <w:tcW w:w="704" w:type="pct"/>
            <w:tcBorders>
              <w:tl2br w:val="nil"/>
              <w:tr2bl w:val="nil"/>
            </w:tcBorders>
            <w:noWrap w:val="0"/>
            <w:vAlign w:val="center"/>
          </w:tcPr>
          <w:p w14:paraId="335256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废导热油</w:t>
            </w:r>
          </w:p>
        </w:tc>
        <w:tc>
          <w:tcPr>
            <w:tcW w:w="601" w:type="pct"/>
            <w:tcBorders>
              <w:tl2br w:val="nil"/>
              <w:tr2bl w:val="nil"/>
            </w:tcBorders>
            <w:noWrap w:val="0"/>
            <w:vAlign w:val="center"/>
          </w:tcPr>
          <w:p w14:paraId="668D8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设备运行</w:t>
            </w:r>
          </w:p>
        </w:tc>
        <w:tc>
          <w:tcPr>
            <w:tcW w:w="589" w:type="pct"/>
            <w:tcBorders>
              <w:tl2br w:val="nil"/>
              <w:tr2bl w:val="nil"/>
            </w:tcBorders>
            <w:noWrap w:val="0"/>
            <w:vAlign w:val="center"/>
          </w:tcPr>
          <w:p w14:paraId="7B1383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0.</w:t>
            </w: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3</w:t>
            </w:r>
          </w:p>
        </w:tc>
        <w:tc>
          <w:tcPr>
            <w:tcW w:w="763" w:type="pct"/>
            <w:tcBorders>
              <w:tl2br w:val="nil"/>
              <w:tr2bl w:val="nil"/>
            </w:tcBorders>
            <w:noWrap w:val="0"/>
            <w:vAlign w:val="center"/>
          </w:tcPr>
          <w:p w14:paraId="0B00F3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危险废物</w:t>
            </w:r>
          </w:p>
        </w:tc>
        <w:tc>
          <w:tcPr>
            <w:tcW w:w="1296" w:type="pct"/>
            <w:tcBorders>
              <w:tl2br w:val="nil"/>
              <w:tr2bl w:val="nil"/>
            </w:tcBorders>
            <w:noWrap w:val="0"/>
            <w:vAlign w:val="center"/>
          </w:tcPr>
          <w:p w14:paraId="7FBFD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660" w:type="pct"/>
            <w:tcBorders>
              <w:tl2br w:val="nil"/>
              <w:tr2bl w:val="nil"/>
            </w:tcBorders>
            <w:noWrap w:val="0"/>
            <w:vAlign w:val="center"/>
          </w:tcPr>
          <w:p w14:paraId="030D0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0.</w:t>
            </w: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3</w:t>
            </w:r>
          </w:p>
        </w:tc>
      </w:tr>
      <w:tr w14:paraId="5CE1A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15DF2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S6</w:t>
            </w:r>
          </w:p>
        </w:tc>
        <w:tc>
          <w:tcPr>
            <w:tcW w:w="704" w:type="pct"/>
            <w:tcBorders>
              <w:tl2br w:val="nil"/>
              <w:tr2bl w:val="nil"/>
            </w:tcBorders>
            <w:noWrap w:val="0"/>
            <w:vAlign w:val="center"/>
          </w:tcPr>
          <w:p w14:paraId="34B230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废包装材料</w:t>
            </w:r>
          </w:p>
        </w:tc>
        <w:tc>
          <w:tcPr>
            <w:tcW w:w="601" w:type="pct"/>
            <w:tcBorders>
              <w:tl2br w:val="nil"/>
              <w:tr2bl w:val="nil"/>
            </w:tcBorders>
            <w:noWrap w:val="0"/>
            <w:vAlign w:val="center"/>
          </w:tcPr>
          <w:p w14:paraId="572C4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原料储存</w:t>
            </w:r>
          </w:p>
        </w:tc>
        <w:tc>
          <w:tcPr>
            <w:tcW w:w="589" w:type="pct"/>
            <w:tcBorders>
              <w:tl2br w:val="nil"/>
              <w:tr2bl w:val="nil"/>
            </w:tcBorders>
            <w:noWrap w:val="0"/>
            <w:vAlign w:val="center"/>
          </w:tcPr>
          <w:p w14:paraId="52C97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p>
        </w:tc>
        <w:tc>
          <w:tcPr>
            <w:tcW w:w="763" w:type="pct"/>
            <w:tcBorders>
              <w:tl2br w:val="nil"/>
              <w:tr2bl w:val="nil"/>
            </w:tcBorders>
            <w:noWrap w:val="0"/>
            <w:vAlign w:val="center"/>
          </w:tcPr>
          <w:p w14:paraId="72A42C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一般工业固体废物</w:t>
            </w:r>
          </w:p>
        </w:tc>
        <w:tc>
          <w:tcPr>
            <w:tcW w:w="1296" w:type="pct"/>
            <w:tcBorders>
              <w:tl2br w:val="nil"/>
              <w:tr2bl w:val="nil"/>
            </w:tcBorders>
            <w:noWrap w:val="0"/>
            <w:vAlign w:val="center"/>
          </w:tcPr>
          <w:p w14:paraId="103740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收集后交由厂家回收</w:t>
            </w:r>
          </w:p>
        </w:tc>
        <w:tc>
          <w:tcPr>
            <w:tcW w:w="660" w:type="pct"/>
            <w:tcBorders>
              <w:tl2br w:val="nil"/>
              <w:tr2bl w:val="nil"/>
            </w:tcBorders>
            <w:noWrap w:val="0"/>
            <w:vAlign w:val="center"/>
          </w:tcPr>
          <w:p w14:paraId="29886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p>
        </w:tc>
      </w:tr>
      <w:tr w14:paraId="49CA22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2B95B9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S7</w:t>
            </w:r>
          </w:p>
        </w:tc>
        <w:tc>
          <w:tcPr>
            <w:tcW w:w="704" w:type="pct"/>
            <w:tcBorders>
              <w:tl2br w:val="nil"/>
              <w:tr2bl w:val="nil"/>
            </w:tcBorders>
            <w:noWrap w:val="0"/>
            <w:vAlign w:val="center"/>
          </w:tcPr>
          <w:p w14:paraId="0515B2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生活垃圾</w:t>
            </w:r>
          </w:p>
        </w:tc>
        <w:tc>
          <w:tcPr>
            <w:tcW w:w="601" w:type="pct"/>
            <w:tcBorders>
              <w:tl2br w:val="nil"/>
              <w:tr2bl w:val="nil"/>
            </w:tcBorders>
            <w:noWrap w:val="0"/>
            <w:vAlign w:val="center"/>
          </w:tcPr>
          <w:p w14:paraId="7A416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员工生活</w:t>
            </w:r>
          </w:p>
        </w:tc>
        <w:tc>
          <w:tcPr>
            <w:tcW w:w="589" w:type="pct"/>
            <w:tcBorders>
              <w:tl2br w:val="nil"/>
              <w:tr2bl w:val="nil"/>
            </w:tcBorders>
            <w:noWrap w:val="0"/>
            <w:vAlign w:val="center"/>
          </w:tcPr>
          <w:p w14:paraId="00A76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2.7</w:t>
            </w:r>
          </w:p>
        </w:tc>
        <w:tc>
          <w:tcPr>
            <w:tcW w:w="763" w:type="pct"/>
            <w:tcBorders>
              <w:tl2br w:val="nil"/>
              <w:tr2bl w:val="nil"/>
            </w:tcBorders>
            <w:noWrap w:val="0"/>
            <w:vAlign w:val="center"/>
          </w:tcPr>
          <w:p w14:paraId="28C22F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生活垃圾</w:t>
            </w:r>
          </w:p>
        </w:tc>
        <w:tc>
          <w:tcPr>
            <w:tcW w:w="1296" w:type="pct"/>
            <w:tcBorders>
              <w:tl2br w:val="nil"/>
              <w:tr2bl w:val="nil"/>
            </w:tcBorders>
            <w:noWrap w:val="0"/>
            <w:vAlign w:val="center"/>
          </w:tcPr>
          <w:p w14:paraId="7D492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收集后交由环卫部门处置</w:t>
            </w:r>
          </w:p>
        </w:tc>
        <w:tc>
          <w:tcPr>
            <w:tcW w:w="660" w:type="pct"/>
            <w:tcBorders>
              <w:tl2br w:val="nil"/>
              <w:tr2bl w:val="nil"/>
            </w:tcBorders>
            <w:noWrap w:val="0"/>
            <w:vAlign w:val="center"/>
          </w:tcPr>
          <w:p w14:paraId="64A14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2.7</w:t>
            </w:r>
          </w:p>
        </w:tc>
      </w:tr>
      <w:tr w14:paraId="10B83F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10806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S8</w:t>
            </w:r>
          </w:p>
        </w:tc>
        <w:tc>
          <w:tcPr>
            <w:tcW w:w="704" w:type="pct"/>
            <w:tcBorders>
              <w:tl2br w:val="nil"/>
              <w:tr2bl w:val="nil"/>
            </w:tcBorders>
            <w:noWrap w:val="0"/>
            <w:vAlign w:val="center"/>
          </w:tcPr>
          <w:p w14:paraId="7ED171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实验室废液</w:t>
            </w:r>
          </w:p>
        </w:tc>
        <w:tc>
          <w:tcPr>
            <w:tcW w:w="601" w:type="pct"/>
            <w:tcBorders>
              <w:tl2br w:val="nil"/>
              <w:tr2bl w:val="nil"/>
            </w:tcBorders>
            <w:noWrap w:val="0"/>
            <w:vAlign w:val="center"/>
          </w:tcPr>
          <w:p w14:paraId="547569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产品检验</w:t>
            </w:r>
          </w:p>
        </w:tc>
        <w:tc>
          <w:tcPr>
            <w:tcW w:w="589" w:type="pct"/>
            <w:tcBorders>
              <w:tl2br w:val="nil"/>
              <w:tr2bl w:val="nil"/>
            </w:tcBorders>
            <w:noWrap w:val="0"/>
            <w:vAlign w:val="center"/>
          </w:tcPr>
          <w:p w14:paraId="6D764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0.06</w:t>
            </w:r>
          </w:p>
        </w:tc>
        <w:tc>
          <w:tcPr>
            <w:tcW w:w="763" w:type="pct"/>
            <w:tcBorders>
              <w:tl2br w:val="nil"/>
              <w:tr2bl w:val="nil"/>
            </w:tcBorders>
            <w:noWrap w:val="0"/>
            <w:vAlign w:val="center"/>
          </w:tcPr>
          <w:p w14:paraId="16683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危险废物</w:t>
            </w:r>
          </w:p>
        </w:tc>
        <w:tc>
          <w:tcPr>
            <w:tcW w:w="1296" w:type="pct"/>
            <w:tcBorders>
              <w:tl2br w:val="nil"/>
              <w:tr2bl w:val="nil"/>
            </w:tcBorders>
            <w:noWrap w:val="0"/>
            <w:vAlign w:val="center"/>
          </w:tcPr>
          <w:p w14:paraId="1F3BD0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660" w:type="pct"/>
            <w:tcBorders>
              <w:tl2br w:val="nil"/>
              <w:tr2bl w:val="nil"/>
            </w:tcBorders>
            <w:noWrap w:val="0"/>
            <w:vAlign w:val="center"/>
          </w:tcPr>
          <w:p w14:paraId="7718D7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0.06</w:t>
            </w:r>
          </w:p>
        </w:tc>
      </w:tr>
      <w:tr w14:paraId="40168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4" w:type="pct"/>
            <w:tcBorders>
              <w:tl2br w:val="nil"/>
              <w:tr2bl w:val="nil"/>
            </w:tcBorders>
            <w:noWrap w:val="0"/>
            <w:vAlign w:val="center"/>
          </w:tcPr>
          <w:p w14:paraId="27806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S9</w:t>
            </w:r>
          </w:p>
        </w:tc>
        <w:tc>
          <w:tcPr>
            <w:tcW w:w="704" w:type="pct"/>
            <w:tcBorders>
              <w:tl2br w:val="nil"/>
              <w:tr2bl w:val="nil"/>
            </w:tcBorders>
            <w:noWrap w:val="0"/>
            <w:vAlign w:val="center"/>
          </w:tcPr>
          <w:p w14:paraId="66B7F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实验室检验成品</w:t>
            </w:r>
          </w:p>
        </w:tc>
        <w:tc>
          <w:tcPr>
            <w:tcW w:w="601" w:type="pct"/>
            <w:tcBorders>
              <w:tl2br w:val="nil"/>
              <w:tr2bl w:val="nil"/>
            </w:tcBorders>
            <w:noWrap w:val="0"/>
            <w:vAlign w:val="center"/>
          </w:tcPr>
          <w:p w14:paraId="51E02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产品检验</w:t>
            </w:r>
          </w:p>
        </w:tc>
        <w:tc>
          <w:tcPr>
            <w:tcW w:w="589" w:type="pct"/>
            <w:tcBorders>
              <w:tl2br w:val="nil"/>
              <w:tr2bl w:val="nil"/>
            </w:tcBorders>
            <w:noWrap w:val="0"/>
            <w:vAlign w:val="center"/>
          </w:tcPr>
          <w:p w14:paraId="2BB499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w:t>
            </w:r>
          </w:p>
        </w:tc>
        <w:tc>
          <w:tcPr>
            <w:tcW w:w="763" w:type="pct"/>
            <w:tcBorders>
              <w:tl2br w:val="nil"/>
              <w:tr2bl w:val="nil"/>
            </w:tcBorders>
            <w:noWrap w:val="0"/>
            <w:vAlign w:val="center"/>
          </w:tcPr>
          <w:p w14:paraId="196AF6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一般工业固体废物</w:t>
            </w:r>
          </w:p>
        </w:tc>
        <w:tc>
          <w:tcPr>
            <w:tcW w:w="1296" w:type="pct"/>
            <w:tcBorders>
              <w:tl2br w:val="nil"/>
              <w:tr2bl w:val="nil"/>
            </w:tcBorders>
            <w:noWrap w:val="0"/>
            <w:vAlign w:val="center"/>
          </w:tcPr>
          <w:p w14:paraId="04C84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回用于工艺</w:t>
            </w:r>
          </w:p>
        </w:tc>
        <w:tc>
          <w:tcPr>
            <w:tcW w:w="660" w:type="pct"/>
            <w:tcBorders>
              <w:tl2br w:val="nil"/>
              <w:tr2bl w:val="nil"/>
            </w:tcBorders>
            <w:noWrap w:val="0"/>
            <w:vAlign w:val="center"/>
          </w:tcPr>
          <w:p w14:paraId="52E58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w:t>
            </w:r>
          </w:p>
        </w:tc>
      </w:tr>
    </w:tbl>
    <w:p w14:paraId="62638876">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highlight w:val="none"/>
        </w:rPr>
      </w:pPr>
      <w:r>
        <w:rPr>
          <w:rFonts w:hint="eastAsia" w:ascii="Times New Roman" w:hAnsi="Times New Roman" w:eastAsia="宋体" w:cs="Times New Roman"/>
          <w:b/>
          <w:bCs/>
          <w:color w:val="0C0C0C"/>
          <w:kern w:val="0"/>
          <w:sz w:val="24"/>
          <w:szCs w:val="24"/>
          <w:highlight w:val="none"/>
          <w:lang w:val="en-US" w:eastAsia="zh-CN" w:bidi="ar"/>
        </w:rPr>
        <w:t>表4.3-</w:t>
      </w:r>
      <w:r>
        <w:rPr>
          <w:rFonts w:hint="eastAsia" w:eastAsia="宋体" w:cs="Times New Roman"/>
          <w:b/>
          <w:bCs/>
          <w:color w:val="0C0C0C"/>
          <w:kern w:val="0"/>
          <w:sz w:val="24"/>
          <w:szCs w:val="24"/>
          <w:highlight w:val="none"/>
          <w:lang w:val="en-US" w:eastAsia="zh-CN" w:bidi="ar"/>
        </w:rPr>
        <w:t>8</w:t>
      </w:r>
      <w:r>
        <w:rPr>
          <w:rFonts w:hint="eastAsia" w:ascii="Times New Roman" w:hAnsi="Times New Roman" w:eastAsia="宋体" w:cs="Times New Roman"/>
          <w:b/>
          <w:bCs/>
          <w:color w:val="0C0C0C"/>
          <w:kern w:val="0"/>
          <w:sz w:val="24"/>
          <w:szCs w:val="24"/>
          <w:highlight w:val="none"/>
          <w:lang w:val="en-US" w:eastAsia="zh-CN" w:bidi="ar"/>
        </w:rPr>
        <w:t xml:space="preserve"> </w:t>
      </w:r>
      <w:r>
        <w:rPr>
          <w:rFonts w:hint="eastAsia" w:ascii="宋体" w:hAnsi="宋体" w:eastAsia="宋体" w:cs="宋体"/>
          <w:b/>
          <w:bCs/>
          <w:color w:val="0C0C0C"/>
          <w:kern w:val="0"/>
          <w:sz w:val="24"/>
          <w:szCs w:val="24"/>
          <w:highlight w:val="none"/>
          <w:lang w:val="en-US" w:eastAsia="zh-CN" w:bidi="ar"/>
        </w:rPr>
        <w:t>本项目危险废物汇总表</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594"/>
        <w:gridCol w:w="538"/>
        <w:gridCol w:w="1755"/>
        <w:gridCol w:w="870"/>
        <w:gridCol w:w="495"/>
        <w:gridCol w:w="859"/>
        <w:gridCol w:w="582"/>
        <w:gridCol w:w="565"/>
        <w:gridCol w:w="858"/>
        <w:gridCol w:w="944"/>
      </w:tblGrid>
      <w:tr w14:paraId="24BA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2BCB9C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序号</w:t>
            </w:r>
          </w:p>
        </w:tc>
        <w:tc>
          <w:tcPr>
            <w:tcW w:w="349" w:type="pct"/>
            <w:vAlign w:val="center"/>
          </w:tcPr>
          <w:p w14:paraId="3D3FB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产生环节</w:t>
            </w:r>
          </w:p>
        </w:tc>
        <w:tc>
          <w:tcPr>
            <w:tcW w:w="316" w:type="pct"/>
            <w:vAlign w:val="center"/>
          </w:tcPr>
          <w:p w14:paraId="4FEAD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名称</w:t>
            </w:r>
          </w:p>
        </w:tc>
        <w:tc>
          <w:tcPr>
            <w:tcW w:w="1031" w:type="pct"/>
            <w:vAlign w:val="center"/>
          </w:tcPr>
          <w:p w14:paraId="7F3F3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危险废物类别及代码</w:t>
            </w:r>
          </w:p>
        </w:tc>
        <w:tc>
          <w:tcPr>
            <w:tcW w:w="511" w:type="pct"/>
            <w:vAlign w:val="center"/>
          </w:tcPr>
          <w:p w14:paraId="364474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主要有毒有害物质名称</w:t>
            </w:r>
          </w:p>
        </w:tc>
        <w:tc>
          <w:tcPr>
            <w:tcW w:w="290" w:type="pct"/>
            <w:vAlign w:val="center"/>
          </w:tcPr>
          <w:p w14:paraId="7B465B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物理性状</w:t>
            </w:r>
          </w:p>
        </w:tc>
        <w:tc>
          <w:tcPr>
            <w:tcW w:w="504" w:type="pct"/>
            <w:vAlign w:val="center"/>
          </w:tcPr>
          <w:p w14:paraId="5533E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产生量t/a</w:t>
            </w:r>
          </w:p>
        </w:tc>
        <w:tc>
          <w:tcPr>
            <w:tcW w:w="342" w:type="pct"/>
            <w:vAlign w:val="center"/>
          </w:tcPr>
          <w:p w14:paraId="435AF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危险特性</w:t>
            </w:r>
          </w:p>
        </w:tc>
        <w:tc>
          <w:tcPr>
            <w:tcW w:w="332" w:type="pct"/>
            <w:vAlign w:val="center"/>
          </w:tcPr>
          <w:p w14:paraId="14469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贮存方式</w:t>
            </w:r>
          </w:p>
        </w:tc>
        <w:tc>
          <w:tcPr>
            <w:tcW w:w="504" w:type="pct"/>
            <w:vAlign w:val="center"/>
          </w:tcPr>
          <w:p w14:paraId="740A0A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利用处置方式和去向</w:t>
            </w:r>
          </w:p>
        </w:tc>
        <w:tc>
          <w:tcPr>
            <w:tcW w:w="554" w:type="pct"/>
            <w:vAlign w:val="center"/>
          </w:tcPr>
          <w:p w14:paraId="40415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利用或处置量t/a</w:t>
            </w:r>
          </w:p>
        </w:tc>
      </w:tr>
      <w:tr w14:paraId="2073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30239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1</w:t>
            </w:r>
          </w:p>
        </w:tc>
        <w:tc>
          <w:tcPr>
            <w:tcW w:w="349" w:type="pct"/>
            <w:vAlign w:val="center"/>
          </w:tcPr>
          <w:p w14:paraId="17EE9F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废气处理</w:t>
            </w:r>
          </w:p>
        </w:tc>
        <w:tc>
          <w:tcPr>
            <w:tcW w:w="316" w:type="pct"/>
            <w:vAlign w:val="center"/>
          </w:tcPr>
          <w:p w14:paraId="641DF4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废活性炭</w:t>
            </w:r>
          </w:p>
        </w:tc>
        <w:tc>
          <w:tcPr>
            <w:tcW w:w="1031" w:type="pct"/>
            <w:vAlign w:val="center"/>
          </w:tcPr>
          <w:p w14:paraId="1CBBBD48">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HW49</w:t>
            </w:r>
            <w:r>
              <w:rPr>
                <w:rFonts w:hint="default" w:ascii="Times New Roman" w:hAnsi="Times New Roman" w:eastAsia="宋体" w:cs="Times New Roman"/>
                <w:color w:val="0C0C0C"/>
                <w:kern w:val="0"/>
                <w:sz w:val="21"/>
                <w:szCs w:val="21"/>
                <w:highlight w:val="none"/>
                <w:u w:val="none"/>
                <w:lang w:val="en-US" w:eastAsia="zh-CN" w:bidi="ar"/>
              </w:rPr>
              <w:t>其他废物</w:t>
            </w: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（900-039-49）</w:t>
            </w:r>
          </w:p>
        </w:tc>
        <w:tc>
          <w:tcPr>
            <w:tcW w:w="511" w:type="pct"/>
            <w:vAlign w:val="center"/>
          </w:tcPr>
          <w:p w14:paraId="57FE03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有机物</w:t>
            </w:r>
          </w:p>
        </w:tc>
        <w:tc>
          <w:tcPr>
            <w:tcW w:w="290" w:type="pct"/>
            <w:vAlign w:val="center"/>
          </w:tcPr>
          <w:p w14:paraId="66FCE0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固态</w:t>
            </w:r>
          </w:p>
        </w:tc>
        <w:tc>
          <w:tcPr>
            <w:tcW w:w="504" w:type="pct"/>
            <w:vAlign w:val="center"/>
          </w:tcPr>
          <w:p w14:paraId="4DD17C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auto"/>
                <w:sz w:val="21"/>
                <w:szCs w:val="21"/>
                <w:highlight w:val="none"/>
              </w:rPr>
              <w:t>3.654</w:t>
            </w:r>
          </w:p>
        </w:tc>
        <w:tc>
          <w:tcPr>
            <w:tcW w:w="342" w:type="pct"/>
            <w:vAlign w:val="center"/>
          </w:tcPr>
          <w:p w14:paraId="0C3DA7F3">
            <w:pPr>
              <w:pStyle w:val="2"/>
              <w:keepNext w:val="0"/>
              <w:keepLines w:val="0"/>
              <w:pageBreakBefore w:val="0"/>
              <w:kinsoku/>
              <w:wordWrap/>
              <w:overflowPunct/>
              <w:topLinePunct w:val="0"/>
              <w:autoSpaceDE/>
              <w:autoSpaceDN/>
              <w:bidi w:val="0"/>
              <w:spacing w:before="0" w:after="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T</w:t>
            </w:r>
          </w:p>
        </w:tc>
        <w:tc>
          <w:tcPr>
            <w:tcW w:w="332" w:type="pct"/>
            <w:vAlign w:val="center"/>
          </w:tcPr>
          <w:p w14:paraId="397B9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桶装</w:t>
            </w:r>
          </w:p>
        </w:tc>
        <w:tc>
          <w:tcPr>
            <w:tcW w:w="504" w:type="pct"/>
            <w:vMerge w:val="restart"/>
            <w:vAlign w:val="center"/>
          </w:tcPr>
          <w:p w14:paraId="2F7B31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auto"/>
                <w:sz w:val="21"/>
                <w:szCs w:val="21"/>
                <w:highlight w:val="none"/>
                <w:u w:val="none"/>
                <w:lang w:val="en-US" w:eastAsia="zh-CN"/>
              </w:rPr>
              <w:t>暂存于危废间，</w:t>
            </w:r>
            <w:r>
              <w:rPr>
                <w:rFonts w:hint="default" w:ascii="Times New Roman" w:hAnsi="Times New Roman" w:eastAsia="宋体" w:cs="Times New Roman"/>
                <w:b w:val="0"/>
                <w:bCs/>
                <w:color w:val="auto"/>
                <w:sz w:val="21"/>
                <w:szCs w:val="21"/>
                <w:highlight w:val="none"/>
                <w:u w:val="none"/>
              </w:rPr>
              <w:t>交由有资质单位处</w:t>
            </w:r>
            <w:r>
              <w:rPr>
                <w:rFonts w:hint="default" w:ascii="Times New Roman" w:hAnsi="Times New Roman" w:eastAsia="宋体" w:cs="Times New Roman"/>
                <w:b w:val="0"/>
                <w:bCs/>
                <w:color w:val="auto"/>
                <w:sz w:val="21"/>
                <w:szCs w:val="21"/>
                <w:highlight w:val="none"/>
                <w:u w:val="none"/>
                <w:lang w:val="en-US" w:eastAsia="zh-CN"/>
              </w:rPr>
              <w:t>置</w:t>
            </w:r>
          </w:p>
        </w:tc>
        <w:tc>
          <w:tcPr>
            <w:tcW w:w="554" w:type="pct"/>
            <w:vAlign w:val="center"/>
          </w:tcPr>
          <w:p w14:paraId="12A284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auto"/>
                <w:sz w:val="21"/>
                <w:szCs w:val="21"/>
                <w:highlight w:val="none"/>
              </w:rPr>
              <w:t>3.654</w:t>
            </w:r>
          </w:p>
        </w:tc>
      </w:tr>
      <w:tr w14:paraId="0A0A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16249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2</w:t>
            </w:r>
          </w:p>
        </w:tc>
        <w:tc>
          <w:tcPr>
            <w:tcW w:w="349" w:type="pct"/>
            <w:vAlign w:val="center"/>
          </w:tcPr>
          <w:p w14:paraId="74F957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设备运行</w:t>
            </w:r>
          </w:p>
        </w:tc>
        <w:tc>
          <w:tcPr>
            <w:tcW w:w="316" w:type="pct"/>
            <w:vAlign w:val="center"/>
          </w:tcPr>
          <w:p w14:paraId="16EA85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废导热油</w:t>
            </w:r>
          </w:p>
        </w:tc>
        <w:tc>
          <w:tcPr>
            <w:tcW w:w="1031" w:type="pct"/>
            <w:vAlign w:val="center"/>
          </w:tcPr>
          <w:p w14:paraId="291DB962">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HW08</w:t>
            </w:r>
            <w:r>
              <w:rPr>
                <w:rFonts w:ascii="宋体" w:hAnsi="宋体" w:eastAsia="宋体" w:cs="宋体"/>
                <w:sz w:val="21"/>
                <w:szCs w:val="21"/>
                <w:highlight w:val="none"/>
              </w:rPr>
              <w:t>废矿物油与含矿物油废物</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900-249-08</w:t>
            </w:r>
            <w:r>
              <w:rPr>
                <w:rFonts w:hint="eastAsia" w:ascii="宋体" w:hAnsi="宋体" w:eastAsia="宋体" w:cs="宋体"/>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w:t>
            </w:r>
          </w:p>
          <w:p w14:paraId="4BED5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p>
        </w:tc>
        <w:tc>
          <w:tcPr>
            <w:tcW w:w="511" w:type="pct"/>
            <w:vAlign w:val="center"/>
          </w:tcPr>
          <w:p w14:paraId="6C213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有机物</w:t>
            </w:r>
          </w:p>
        </w:tc>
        <w:tc>
          <w:tcPr>
            <w:tcW w:w="290" w:type="pct"/>
            <w:vAlign w:val="center"/>
          </w:tcPr>
          <w:p w14:paraId="547AD66C">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液态</w:t>
            </w:r>
          </w:p>
        </w:tc>
        <w:tc>
          <w:tcPr>
            <w:tcW w:w="504" w:type="pct"/>
            <w:vAlign w:val="center"/>
          </w:tcPr>
          <w:p w14:paraId="44494003">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0.3</w:t>
            </w:r>
          </w:p>
        </w:tc>
        <w:tc>
          <w:tcPr>
            <w:tcW w:w="342" w:type="pct"/>
            <w:vAlign w:val="center"/>
          </w:tcPr>
          <w:p w14:paraId="40D78211">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default" w:ascii="Times New Roman" w:hAnsi="Times New Roman" w:eastAsia="宋体" w:cs="Times New Roman"/>
                <w:color w:val="0C0C0C"/>
                <w:kern w:val="0"/>
                <w:sz w:val="21"/>
                <w:szCs w:val="21"/>
                <w:highlight w:val="none"/>
                <w:u w:val="none"/>
                <w:lang w:val="en-US" w:eastAsia="zh-CN" w:bidi="ar"/>
              </w:rPr>
              <w:t>T</w:t>
            </w:r>
            <w:r>
              <w:rPr>
                <w:rFonts w:hint="eastAsia" w:ascii="Times New Roman" w:hAnsi="Times New Roman" w:eastAsia="宋体" w:cs="Times New Roman"/>
                <w:color w:val="0C0C0C"/>
                <w:kern w:val="0"/>
                <w:sz w:val="21"/>
                <w:szCs w:val="21"/>
                <w:highlight w:val="none"/>
                <w:u w:val="none"/>
                <w:lang w:val="en-US" w:eastAsia="zh-CN" w:bidi="ar"/>
              </w:rPr>
              <w:t>，</w:t>
            </w:r>
            <w:r>
              <w:rPr>
                <w:rFonts w:hint="default" w:ascii="Times New Roman" w:hAnsi="Times New Roman" w:eastAsia="宋体" w:cs="Times New Roman"/>
                <w:color w:val="0C0C0C"/>
                <w:kern w:val="0"/>
                <w:sz w:val="21"/>
                <w:szCs w:val="21"/>
                <w:highlight w:val="none"/>
                <w:u w:val="none"/>
                <w:lang w:val="en-US" w:eastAsia="zh-CN" w:bidi="ar"/>
              </w:rPr>
              <w:t>I</w:t>
            </w:r>
          </w:p>
          <w:p w14:paraId="59B7C349">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p>
        </w:tc>
        <w:tc>
          <w:tcPr>
            <w:tcW w:w="332" w:type="pct"/>
            <w:vAlign w:val="center"/>
          </w:tcPr>
          <w:p w14:paraId="3BA39812">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桶装</w:t>
            </w:r>
          </w:p>
        </w:tc>
        <w:tc>
          <w:tcPr>
            <w:tcW w:w="504" w:type="pct"/>
            <w:vMerge w:val="continue"/>
            <w:vAlign w:val="center"/>
          </w:tcPr>
          <w:p w14:paraId="74257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p>
        </w:tc>
        <w:tc>
          <w:tcPr>
            <w:tcW w:w="554" w:type="pct"/>
            <w:vAlign w:val="center"/>
          </w:tcPr>
          <w:p w14:paraId="47C4B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0.3</w:t>
            </w:r>
          </w:p>
        </w:tc>
      </w:tr>
      <w:tr w14:paraId="5DFC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486E4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3</w:t>
            </w:r>
          </w:p>
        </w:tc>
        <w:tc>
          <w:tcPr>
            <w:tcW w:w="349" w:type="pct"/>
            <w:vAlign w:val="center"/>
          </w:tcPr>
          <w:p w14:paraId="1F669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产品检验</w:t>
            </w:r>
          </w:p>
        </w:tc>
        <w:tc>
          <w:tcPr>
            <w:tcW w:w="316" w:type="pct"/>
            <w:vAlign w:val="center"/>
          </w:tcPr>
          <w:p w14:paraId="0151D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实验室废液</w:t>
            </w:r>
          </w:p>
        </w:tc>
        <w:tc>
          <w:tcPr>
            <w:tcW w:w="1031" w:type="pct"/>
            <w:vAlign w:val="center"/>
          </w:tcPr>
          <w:p w14:paraId="3328A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auto"/>
                <w:kern w:val="10"/>
                <w:sz w:val="21"/>
                <w:szCs w:val="21"/>
                <w:highlight w:val="none"/>
                <w:u w:val="none" w:color="auto"/>
                <w:vertAlign w:val="baseline"/>
                <w:lang w:val="en-US" w:eastAsia="zh-CN" w:bidi="ar-SA"/>
              </w:rPr>
              <w:t>HW49</w:t>
            </w:r>
            <w:r>
              <w:rPr>
                <w:rFonts w:hint="default" w:ascii="Times New Roman" w:hAnsi="Times New Roman" w:eastAsia="宋体" w:cs="Times New Roman"/>
                <w:color w:val="0C0C0C"/>
                <w:kern w:val="0"/>
                <w:sz w:val="21"/>
                <w:szCs w:val="21"/>
                <w:highlight w:val="none"/>
                <w:u w:val="none"/>
                <w:lang w:val="en-US" w:eastAsia="zh-CN" w:bidi="ar"/>
              </w:rPr>
              <w:t>其他废物</w:t>
            </w:r>
            <w:r>
              <w:rPr>
                <w:rFonts w:hint="eastAsia" w:ascii="Times New Roman" w:hAnsi="Times New Roman" w:eastAsia="宋体" w:cs="Times New Roman"/>
                <w:color w:val="auto"/>
                <w:kern w:val="10"/>
                <w:sz w:val="21"/>
                <w:szCs w:val="21"/>
                <w:highlight w:val="none"/>
                <w:u w:val="none" w:color="auto"/>
                <w:vertAlign w:val="baseline"/>
                <w:lang w:val="en-US" w:eastAsia="zh-CN" w:bidi="ar-SA"/>
              </w:rPr>
              <w:t>（</w:t>
            </w:r>
            <w:r>
              <w:rPr>
                <w:rFonts w:hint="default" w:ascii="Times New Roman" w:hAnsi="Times New Roman" w:eastAsia="宋体" w:cs="Times New Roman"/>
                <w:color w:val="auto"/>
                <w:sz w:val="21"/>
                <w:szCs w:val="21"/>
                <w:highlight w:val="none"/>
                <w:u w:val="none" w:color="auto"/>
                <w:lang w:val="en-US" w:eastAsia="zh-CN"/>
              </w:rPr>
              <w:t>900-047-49</w:t>
            </w:r>
            <w:r>
              <w:rPr>
                <w:rFonts w:hint="eastAsia" w:ascii="Times New Roman" w:hAnsi="Times New Roman" w:eastAsia="宋体" w:cs="Times New Roman"/>
                <w:color w:val="auto"/>
                <w:kern w:val="10"/>
                <w:sz w:val="21"/>
                <w:szCs w:val="21"/>
                <w:highlight w:val="none"/>
                <w:u w:val="none" w:color="auto"/>
                <w:vertAlign w:val="baseline"/>
                <w:lang w:val="en-US" w:eastAsia="zh-CN" w:bidi="ar-SA"/>
              </w:rPr>
              <w:t>）</w:t>
            </w:r>
          </w:p>
        </w:tc>
        <w:tc>
          <w:tcPr>
            <w:tcW w:w="511" w:type="pct"/>
            <w:vAlign w:val="center"/>
          </w:tcPr>
          <w:p w14:paraId="137AE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有机物</w:t>
            </w:r>
          </w:p>
        </w:tc>
        <w:tc>
          <w:tcPr>
            <w:tcW w:w="290" w:type="pct"/>
            <w:vAlign w:val="center"/>
          </w:tcPr>
          <w:p w14:paraId="53AE9678">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液态</w:t>
            </w:r>
          </w:p>
        </w:tc>
        <w:tc>
          <w:tcPr>
            <w:tcW w:w="504" w:type="pct"/>
            <w:vAlign w:val="center"/>
          </w:tcPr>
          <w:p w14:paraId="2A67E6C9">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0.06</w:t>
            </w:r>
          </w:p>
        </w:tc>
        <w:tc>
          <w:tcPr>
            <w:tcW w:w="342" w:type="pct"/>
            <w:vAlign w:val="center"/>
          </w:tcPr>
          <w:p w14:paraId="09A378EF">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default" w:ascii="Times New Roman" w:hAnsi="Times New Roman" w:eastAsia="宋体" w:cs="Times New Roman"/>
                <w:color w:val="0C0C0C"/>
                <w:kern w:val="0"/>
                <w:sz w:val="21"/>
                <w:szCs w:val="21"/>
                <w:highlight w:val="none"/>
                <w:u w:val="none"/>
                <w:lang w:val="en-US" w:eastAsia="zh-CN" w:bidi="ar"/>
              </w:rPr>
              <w:t>T/C/I/R</w:t>
            </w:r>
          </w:p>
        </w:tc>
        <w:tc>
          <w:tcPr>
            <w:tcW w:w="332" w:type="pct"/>
            <w:vAlign w:val="center"/>
          </w:tcPr>
          <w:p w14:paraId="768BD8C0">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桶装</w:t>
            </w:r>
          </w:p>
        </w:tc>
        <w:tc>
          <w:tcPr>
            <w:tcW w:w="504" w:type="pct"/>
            <w:vMerge w:val="continue"/>
            <w:vAlign w:val="center"/>
          </w:tcPr>
          <w:p w14:paraId="407B8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p>
        </w:tc>
        <w:tc>
          <w:tcPr>
            <w:tcW w:w="554" w:type="pct"/>
            <w:vAlign w:val="center"/>
          </w:tcPr>
          <w:p w14:paraId="77A982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lang w:val="en-US" w:eastAsia="zh-CN"/>
                <w14:textFill>
                  <w14:solidFill>
                    <w14:schemeClr w14:val="tx1"/>
                  </w14:solidFill>
                </w14:textFill>
              </w:rPr>
              <w:t>0.06</w:t>
            </w:r>
          </w:p>
        </w:tc>
      </w:tr>
    </w:tbl>
    <w:p w14:paraId="5C420008">
      <w:pPr>
        <w:pStyle w:val="9"/>
        <w:bidi w:val="0"/>
        <w:rPr>
          <w:rFonts w:ascii="宋体" w:hAnsi="宋体" w:eastAsia="宋体" w:cs="宋体"/>
          <w:b/>
          <w:bCs/>
          <w:spacing w:val="-2"/>
          <w:sz w:val="24"/>
          <w:szCs w:val="24"/>
          <w:highlight w:val="none"/>
        </w:rPr>
      </w:pPr>
      <w:r>
        <w:rPr>
          <w:rFonts w:hint="eastAsia"/>
          <w:highlight w:val="none"/>
          <w:lang w:val="en-US" w:eastAsia="zh-CN"/>
        </w:rPr>
        <w:t>4.3.2.5“三废”汇总</w:t>
      </w:r>
    </w:p>
    <w:p w14:paraId="5FE6998A">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宋体" w:hAnsi="宋体" w:eastAsia="宋体" w:cs="宋体"/>
          <w:b/>
          <w:bCs/>
          <w:spacing w:val="-2"/>
          <w:sz w:val="24"/>
          <w:szCs w:val="24"/>
          <w:highlight w:val="none"/>
        </w:rPr>
      </w:pPr>
      <w:r>
        <w:rPr>
          <w:rFonts w:ascii="宋体" w:hAnsi="宋体" w:eastAsia="宋体" w:cs="宋体"/>
          <w:b/>
          <w:bCs/>
          <w:spacing w:val="-2"/>
          <w:sz w:val="24"/>
          <w:szCs w:val="24"/>
          <w:highlight w:val="none"/>
        </w:rPr>
        <w:t>表</w:t>
      </w:r>
      <w:r>
        <w:rPr>
          <w:rFonts w:ascii="宋体" w:hAnsi="宋体" w:eastAsia="宋体" w:cs="宋体"/>
          <w:spacing w:val="-41"/>
          <w:sz w:val="24"/>
          <w:szCs w:val="24"/>
          <w:highlight w:val="none"/>
        </w:rPr>
        <w:t xml:space="preserve"> </w:t>
      </w:r>
      <w:r>
        <w:rPr>
          <w:rFonts w:ascii="Times New Roman" w:hAnsi="Times New Roman" w:eastAsia="Times New Roman" w:cs="Times New Roman"/>
          <w:b/>
          <w:bCs/>
          <w:spacing w:val="-2"/>
          <w:sz w:val="24"/>
          <w:szCs w:val="24"/>
          <w:highlight w:val="none"/>
        </w:rPr>
        <w:t>4.3-</w:t>
      </w:r>
      <w:r>
        <w:rPr>
          <w:rFonts w:hint="eastAsia" w:eastAsia="宋体" w:cs="Times New Roman"/>
          <w:b/>
          <w:bCs/>
          <w:spacing w:val="-2"/>
          <w:sz w:val="24"/>
          <w:szCs w:val="24"/>
          <w:highlight w:val="none"/>
          <w:lang w:val="en-US" w:eastAsia="zh-CN"/>
        </w:rPr>
        <w:t>9</w:t>
      </w:r>
      <w:r>
        <w:rPr>
          <w:rFonts w:ascii="Times New Roman" w:hAnsi="Times New Roman" w:eastAsia="Times New Roman" w:cs="Times New Roman"/>
          <w:b/>
          <w:bCs/>
          <w:spacing w:val="-2"/>
          <w:sz w:val="24"/>
          <w:szCs w:val="24"/>
          <w:highlight w:val="none"/>
        </w:rPr>
        <w:t xml:space="preserve">  </w:t>
      </w:r>
      <w:r>
        <w:rPr>
          <w:rFonts w:ascii="宋体" w:hAnsi="宋体" w:eastAsia="宋体" w:cs="宋体"/>
          <w:b/>
          <w:bCs/>
          <w:spacing w:val="-2"/>
          <w:sz w:val="24"/>
          <w:szCs w:val="24"/>
          <w:highlight w:val="none"/>
        </w:rPr>
        <w:t>项目工程</w:t>
      </w:r>
      <w:r>
        <w:rPr>
          <w:rFonts w:hint="eastAsia" w:ascii="宋体" w:hAnsi="宋体" w:eastAsia="宋体" w:cs="宋体"/>
          <w:b/>
          <w:bCs/>
          <w:spacing w:val="-2"/>
          <w:sz w:val="24"/>
          <w:szCs w:val="24"/>
          <w:highlight w:val="none"/>
          <w:lang w:val="en-US" w:eastAsia="zh-CN"/>
        </w:rPr>
        <w:t>主要</w:t>
      </w:r>
      <w:r>
        <w:rPr>
          <w:rFonts w:ascii="宋体" w:hAnsi="宋体" w:eastAsia="宋体" w:cs="宋体"/>
          <w:b/>
          <w:bCs/>
          <w:spacing w:val="-2"/>
          <w:sz w:val="24"/>
          <w:szCs w:val="24"/>
          <w:highlight w:val="none"/>
        </w:rPr>
        <w:t>污染物产生、排放量汇总表</w:t>
      </w:r>
    </w:p>
    <w:tbl>
      <w:tblPr>
        <w:tblStyle w:val="23"/>
        <w:tblW w:w="836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76"/>
        <w:gridCol w:w="800"/>
        <w:gridCol w:w="864"/>
        <w:gridCol w:w="1418"/>
        <w:gridCol w:w="1958"/>
        <w:gridCol w:w="1436"/>
      </w:tblGrid>
      <w:tr w14:paraId="05785C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tcBorders>
              <w:tl2br w:val="nil"/>
              <w:tr2bl w:val="nil"/>
            </w:tcBorders>
            <w:noWrap w:val="0"/>
            <w:vAlign w:val="center"/>
          </w:tcPr>
          <w:p w14:paraId="695365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1176" w:type="dxa"/>
            <w:tcBorders>
              <w:tl2br w:val="nil"/>
              <w:tr2bl w:val="nil"/>
            </w:tcBorders>
            <w:noWrap w:val="0"/>
            <w:vAlign w:val="center"/>
          </w:tcPr>
          <w:p w14:paraId="14D3CF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产生环节</w:t>
            </w:r>
          </w:p>
        </w:tc>
        <w:tc>
          <w:tcPr>
            <w:tcW w:w="1664" w:type="dxa"/>
            <w:gridSpan w:val="2"/>
            <w:tcBorders>
              <w:tl2br w:val="nil"/>
              <w:tr2bl w:val="nil"/>
            </w:tcBorders>
            <w:noWrap w:val="0"/>
            <w:vAlign w:val="center"/>
          </w:tcPr>
          <w:p w14:paraId="35AC7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污染物</w:t>
            </w:r>
          </w:p>
        </w:tc>
        <w:tc>
          <w:tcPr>
            <w:tcW w:w="1418" w:type="dxa"/>
            <w:tcBorders>
              <w:tl2br w:val="nil"/>
              <w:tr2bl w:val="nil"/>
            </w:tcBorders>
            <w:noWrap w:val="0"/>
            <w:vAlign w:val="center"/>
          </w:tcPr>
          <w:p w14:paraId="58409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产生量</w:t>
            </w:r>
          </w:p>
        </w:tc>
        <w:tc>
          <w:tcPr>
            <w:tcW w:w="1958" w:type="dxa"/>
            <w:tcBorders>
              <w:tl2br w:val="nil"/>
              <w:tr2bl w:val="nil"/>
            </w:tcBorders>
            <w:noWrap w:val="0"/>
            <w:vAlign w:val="center"/>
          </w:tcPr>
          <w:p w14:paraId="0106EB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措施及去向</w:t>
            </w:r>
          </w:p>
        </w:tc>
        <w:tc>
          <w:tcPr>
            <w:tcW w:w="1436" w:type="dxa"/>
            <w:tcBorders>
              <w:tl2br w:val="nil"/>
              <w:tr2bl w:val="nil"/>
            </w:tcBorders>
            <w:noWrap w:val="0"/>
            <w:vAlign w:val="center"/>
          </w:tcPr>
          <w:p w14:paraId="06F71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w:t>
            </w:r>
          </w:p>
        </w:tc>
      </w:tr>
      <w:tr w14:paraId="4C6CBB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restart"/>
            <w:tcBorders>
              <w:tl2br w:val="nil"/>
              <w:tr2bl w:val="nil"/>
            </w:tcBorders>
            <w:noWrap w:val="0"/>
            <w:vAlign w:val="center"/>
          </w:tcPr>
          <w:p w14:paraId="594BB6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1176" w:type="dxa"/>
            <w:tcBorders>
              <w:tl2br w:val="nil"/>
              <w:tr2bl w:val="nil"/>
            </w:tcBorders>
            <w:noWrap w:val="0"/>
            <w:vAlign w:val="center"/>
          </w:tcPr>
          <w:p w14:paraId="44A5D9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投料、打粉</w:t>
            </w:r>
            <w:r>
              <w:rPr>
                <w:rFonts w:hint="default" w:ascii="Times New Roman" w:hAnsi="Times New Roman" w:eastAsia="宋体" w:cs="Times New Roman"/>
                <w:color w:val="auto"/>
                <w:sz w:val="21"/>
                <w:szCs w:val="21"/>
                <w:highlight w:val="none"/>
              </w:rPr>
              <w:t>粉尘</w:t>
            </w:r>
          </w:p>
        </w:tc>
        <w:tc>
          <w:tcPr>
            <w:tcW w:w="1664" w:type="dxa"/>
            <w:gridSpan w:val="2"/>
            <w:tcBorders>
              <w:tl2br w:val="nil"/>
              <w:tr2bl w:val="nil"/>
            </w:tcBorders>
            <w:noWrap w:val="0"/>
            <w:vAlign w:val="center"/>
          </w:tcPr>
          <w:p w14:paraId="4384027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颗粒物</w:t>
            </w:r>
          </w:p>
        </w:tc>
        <w:tc>
          <w:tcPr>
            <w:tcW w:w="1418" w:type="dxa"/>
            <w:tcBorders>
              <w:tl2br w:val="nil"/>
              <w:tr2bl w:val="nil"/>
            </w:tcBorders>
            <w:noWrap w:val="0"/>
            <w:vAlign w:val="center"/>
          </w:tcPr>
          <w:p w14:paraId="4AC9CB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2.261</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0B2446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布袋除尘器处理后车间内</w:t>
            </w:r>
            <w:r>
              <w:rPr>
                <w:rFonts w:hint="default" w:ascii="Times New Roman" w:hAnsi="Times New Roman" w:eastAsia="宋体" w:cs="Times New Roman"/>
                <w:color w:val="auto"/>
                <w:sz w:val="21"/>
                <w:szCs w:val="21"/>
                <w:highlight w:val="none"/>
              </w:rPr>
              <w:t>无组织排放</w:t>
            </w:r>
          </w:p>
        </w:tc>
        <w:tc>
          <w:tcPr>
            <w:tcW w:w="1436" w:type="dxa"/>
            <w:tcBorders>
              <w:tl2br w:val="nil"/>
              <w:tr2bl w:val="nil"/>
            </w:tcBorders>
            <w:noWrap w:val="0"/>
            <w:vAlign w:val="center"/>
          </w:tcPr>
          <w:p w14:paraId="1DABF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0.0134</w:t>
            </w:r>
            <w:r>
              <w:rPr>
                <w:rFonts w:hint="default" w:ascii="Times New Roman" w:hAnsi="Times New Roman" w:eastAsia="宋体" w:cs="Times New Roman"/>
                <w:color w:val="auto"/>
                <w:sz w:val="21"/>
                <w:szCs w:val="21"/>
                <w:highlight w:val="none"/>
              </w:rPr>
              <w:t>t/a</w:t>
            </w:r>
          </w:p>
        </w:tc>
      </w:tr>
      <w:tr w14:paraId="72AB66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709" w:type="dxa"/>
            <w:vMerge w:val="continue"/>
            <w:tcBorders>
              <w:tl2br w:val="nil"/>
              <w:tr2bl w:val="nil"/>
            </w:tcBorders>
            <w:noWrap w:val="0"/>
            <w:vAlign w:val="center"/>
          </w:tcPr>
          <w:p w14:paraId="1CD6B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restart"/>
            <w:tcBorders>
              <w:tl2br w:val="nil"/>
              <w:tr2bl w:val="nil"/>
            </w:tcBorders>
            <w:noWrap w:val="0"/>
            <w:vAlign w:val="center"/>
          </w:tcPr>
          <w:p w14:paraId="74EB58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助剂粉剂冷却</w:t>
            </w:r>
            <w:r>
              <w:rPr>
                <w:rFonts w:hint="eastAsia" w:eastAsia="宋体" w:cs="Times New Roman"/>
                <w:color w:val="auto"/>
                <w:sz w:val="21"/>
                <w:szCs w:val="21"/>
                <w:highlight w:val="none"/>
                <w:lang w:val="en-US" w:eastAsia="zh-CN"/>
              </w:rPr>
              <w:t>放料</w:t>
            </w:r>
            <w:r>
              <w:rPr>
                <w:rFonts w:hint="default" w:ascii="Times New Roman" w:hAnsi="Times New Roman" w:eastAsia="宋体" w:cs="Times New Roman"/>
                <w:color w:val="auto"/>
                <w:sz w:val="21"/>
                <w:szCs w:val="21"/>
                <w:highlight w:val="none"/>
                <w:lang w:val="en-US" w:eastAsia="zh-CN"/>
              </w:rPr>
              <w:t>废气</w:t>
            </w:r>
          </w:p>
        </w:tc>
        <w:tc>
          <w:tcPr>
            <w:tcW w:w="800" w:type="dxa"/>
            <w:vMerge w:val="restart"/>
            <w:tcBorders>
              <w:tl2br w:val="nil"/>
              <w:tr2bl w:val="nil"/>
            </w:tcBorders>
            <w:noWrap w:val="0"/>
            <w:vAlign w:val="center"/>
          </w:tcPr>
          <w:p w14:paraId="7C566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VOCs</w:t>
            </w:r>
          </w:p>
        </w:tc>
        <w:tc>
          <w:tcPr>
            <w:tcW w:w="864" w:type="dxa"/>
            <w:tcBorders>
              <w:tl2br w:val="nil"/>
              <w:tr2bl w:val="nil"/>
            </w:tcBorders>
            <w:noWrap w:val="0"/>
            <w:vAlign w:val="center"/>
          </w:tcPr>
          <w:p w14:paraId="35299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有组织</w:t>
            </w:r>
          </w:p>
        </w:tc>
        <w:tc>
          <w:tcPr>
            <w:tcW w:w="1418" w:type="dxa"/>
            <w:tcBorders>
              <w:tl2br w:val="nil"/>
              <w:tr2bl w:val="nil"/>
            </w:tcBorders>
            <w:noWrap w:val="0"/>
            <w:vAlign w:val="center"/>
          </w:tcPr>
          <w:p w14:paraId="34B36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 xml:space="preserve">1.112 </w:t>
            </w:r>
            <w:r>
              <w:rPr>
                <w:rFonts w:hint="default" w:ascii="Times New Roman" w:hAnsi="Times New Roman" w:eastAsia="宋体" w:cs="Times New Roman"/>
                <w:color w:val="auto"/>
                <w:sz w:val="21"/>
                <w:szCs w:val="21"/>
                <w:highlight w:val="none"/>
              </w:rPr>
              <w:t>t/a</w:t>
            </w:r>
          </w:p>
        </w:tc>
        <w:tc>
          <w:tcPr>
            <w:tcW w:w="1958" w:type="dxa"/>
            <w:vMerge w:val="restart"/>
            <w:tcBorders>
              <w:tl2br w:val="nil"/>
              <w:tr2bl w:val="nil"/>
            </w:tcBorders>
            <w:noWrap w:val="0"/>
            <w:vAlign w:val="center"/>
          </w:tcPr>
          <w:p w14:paraId="3BD9F7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活性炭吸附</w:t>
            </w:r>
            <w:r>
              <w:rPr>
                <w:rFonts w:hint="default" w:ascii="Times New Roman" w:hAnsi="Times New Roman" w:eastAsia="宋体" w:cs="Times New Roman"/>
                <w:color w:val="auto"/>
                <w:sz w:val="21"/>
                <w:szCs w:val="21"/>
                <w:highlight w:val="none"/>
                <w:lang w:val="en-US" w:eastAsia="zh-CN"/>
              </w:rPr>
              <w:t>+15m排气筒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吸附效率</w:t>
            </w:r>
            <w:r>
              <w:rPr>
                <w:rFonts w:hint="default"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w:t>
            </w:r>
          </w:p>
        </w:tc>
        <w:tc>
          <w:tcPr>
            <w:tcW w:w="1436" w:type="dxa"/>
            <w:tcBorders>
              <w:tl2br w:val="nil"/>
              <w:tr2bl w:val="nil"/>
            </w:tcBorders>
            <w:noWrap w:val="0"/>
            <w:vAlign w:val="center"/>
          </w:tcPr>
          <w:p w14:paraId="4EFCDF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 xml:space="preserve">0.2779 </w:t>
            </w:r>
            <w:r>
              <w:rPr>
                <w:rFonts w:hint="default" w:ascii="Times New Roman" w:hAnsi="Times New Roman" w:eastAsia="宋体" w:cs="Times New Roman"/>
                <w:color w:val="auto"/>
                <w:sz w:val="21"/>
                <w:szCs w:val="21"/>
                <w:highlight w:val="none"/>
              </w:rPr>
              <w:t>t/a</w:t>
            </w:r>
          </w:p>
        </w:tc>
      </w:tr>
      <w:tr w14:paraId="375E46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9" w:type="dxa"/>
            <w:vMerge w:val="continue"/>
            <w:tcBorders>
              <w:tl2br w:val="nil"/>
              <w:tr2bl w:val="nil"/>
            </w:tcBorders>
            <w:noWrap w:val="0"/>
            <w:vAlign w:val="center"/>
          </w:tcPr>
          <w:p w14:paraId="1E915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3CBC25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00" w:type="dxa"/>
            <w:vMerge w:val="continue"/>
            <w:tcBorders>
              <w:tl2br w:val="nil"/>
              <w:tr2bl w:val="nil"/>
            </w:tcBorders>
            <w:noWrap w:val="0"/>
            <w:vAlign w:val="center"/>
          </w:tcPr>
          <w:p w14:paraId="633D34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highlight w:val="none"/>
                <w:lang w:val="en-US" w:eastAsia="zh-CN"/>
              </w:rPr>
            </w:pPr>
          </w:p>
        </w:tc>
        <w:tc>
          <w:tcPr>
            <w:tcW w:w="864" w:type="dxa"/>
            <w:tcBorders>
              <w:tl2br w:val="nil"/>
              <w:tr2bl w:val="nil"/>
            </w:tcBorders>
            <w:noWrap w:val="0"/>
            <w:vAlign w:val="center"/>
          </w:tcPr>
          <w:p w14:paraId="47A5D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无组织</w:t>
            </w:r>
          </w:p>
        </w:tc>
        <w:tc>
          <w:tcPr>
            <w:tcW w:w="1418" w:type="dxa"/>
            <w:tcBorders>
              <w:tl2br w:val="nil"/>
              <w:tr2bl w:val="nil"/>
            </w:tcBorders>
            <w:noWrap w:val="0"/>
            <w:vAlign w:val="center"/>
          </w:tcPr>
          <w:p w14:paraId="629679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0.0585</w:t>
            </w:r>
            <w:r>
              <w:rPr>
                <w:rFonts w:hint="default" w:ascii="Times New Roman" w:hAnsi="Times New Roman" w:eastAsia="宋体" w:cs="Times New Roman"/>
                <w:color w:val="auto"/>
                <w:sz w:val="21"/>
                <w:szCs w:val="21"/>
                <w:highlight w:val="none"/>
              </w:rPr>
              <w:t>t/a</w:t>
            </w:r>
          </w:p>
        </w:tc>
        <w:tc>
          <w:tcPr>
            <w:tcW w:w="1958" w:type="dxa"/>
            <w:vMerge w:val="continue"/>
            <w:tcBorders>
              <w:tl2br w:val="nil"/>
              <w:tr2bl w:val="nil"/>
            </w:tcBorders>
            <w:noWrap w:val="0"/>
            <w:vAlign w:val="center"/>
          </w:tcPr>
          <w:p w14:paraId="04A036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36" w:type="dxa"/>
            <w:tcBorders>
              <w:tl2br w:val="nil"/>
              <w:tr2bl w:val="nil"/>
            </w:tcBorders>
            <w:noWrap w:val="0"/>
            <w:vAlign w:val="center"/>
          </w:tcPr>
          <w:p w14:paraId="1F3EC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 xml:space="preserve">0.0585 </w:t>
            </w:r>
            <w:r>
              <w:rPr>
                <w:rFonts w:hint="default" w:ascii="Times New Roman" w:hAnsi="Times New Roman" w:eastAsia="宋体" w:cs="Times New Roman"/>
                <w:color w:val="auto"/>
                <w:sz w:val="21"/>
                <w:szCs w:val="21"/>
                <w:highlight w:val="none"/>
              </w:rPr>
              <w:t>t/a</w:t>
            </w:r>
          </w:p>
        </w:tc>
      </w:tr>
      <w:tr w14:paraId="7975F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44D709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15596E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厨房油烟废气</w:t>
            </w:r>
          </w:p>
        </w:tc>
        <w:tc>
          <w:tcPr>
            <w:tcW w:w="1664" w:type="dxa"/>
            <w:gridSpan w:val="2"/>
            <w:tcBorders>
              <w:tl2br w:val="nil"/>
              <w:tr2bl w:val="nil"/>
            </w:tcBorders>
            <w:noWrap w:val="0"/>
            <w:vAlign w:val="center"/>
          </w:tcPr>
          <w:p w14:paraId="753965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w:t>
            </w:r>
          </w:p>
        </w:tc>
        <w:tc>
          <w:tcPr>
            <w:tcW w:w="1418" w:type="dxa"/>
            <w:tcBorders>
              <w:tl2br w:val="nil"/>
              <w:tr2bl w:val="nil"/>
            </w:tcBorders>
            <w:noWrap w:val="0"/>
            <w:vAlign w:val="center"/>
          </w:tcPr>
          <w:p w14:paraId="013C30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2.55kg/a</w:t>
            </w:r>
          </w:p>
        </w:tc>
        <w:tc>
          <w:tcPr>
            <w:tcW w:w="1958" w:type="dxa"/>
            <w:tcBorders>
              <w:tl2br w:val="nil"/>
              <w:tr2bl w:val="nil"/>
            </w:tcBorders>
            <w:noWrap w:val="0"/>
            <w:vAlign w:val="center"/>
          </w:tcPr>
          <w:p w14:paraId="153254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油烟净化器</w:t>
            </w:r>
          </w:p>
        </w:tc>
        <w:tc>
          <w:tcPr>
            <w:tcW w:w="1436" w:type="dxa"/>
            <w:tcBorders>
              <w:tl2br w:val="nil"/>
              <w:tr2bl w:val="nil"/>
            </w:tcBorders>
            <w:noWrap w:val="0"/>
            <w:vAlign w:val="center"/>
          </w:tcPr>
          <w:p w14:paraId="4CAE0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0.4</w:t>
            </w:r>
            <w:r>
              <w:rPr>
                <w:rFonts w:hint="default" w:ascii="Times New Roman" w:hAnsi="Times New Roman" w:eastAsia="宋体" w:cs="Times New Roman"/>
                <w:color w:val="auto"/>
                <w:sz w:val="21"/>
                <w:szCs w:val="21"/>
                <w:highlight w:val="none"/>
                <w:lang w:val="en-US" w:eastAsia="zh-CN"/>
              </w:rPr>
              <w:t>kg/a</w:t>
            </w:r>
          </w:p>
        </w:tc>
      </w:tr>
      <w:tr w14:paraId="4FFB7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restart"/>
            <w:tcBorders>
              <w:tl2br w:val="nil"/>
              <w:tr2bl w:val="nil"/>
            </w:tcBorders>
            <w:noWrap w:val="0"/>
            <w:vAlign w:val="center"/>
          </w:tcPr>
          <w:p w14:paraId="1F72BA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176" w:type="dxa"/>
            <w:vMerge w:val="restart"/>
            <w:tcBorders>
              <w:tl2br w:val="nil"/>
              <w:tr2bl w:val="nil"/>
            </w:tcBorders>
            <w:noWrap w:val="0"/>
            <w:vAlign w:val="center"/>
          </w:tcPr>
          <w:p w14:paraId="5B178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生活废水</w:t>
            </w:r>
          </w:p>
        </w:tc>
        <w:tc>
          <w:tcPr>
            <w:tcW w:w="1664" w:type="dxa"/>
            <w:gridSpan w:val="2"/>
            <w:tcBorders>
              <w:tl2br w:val="nil"/>
              <w:tr2bl w:val="nil"/>
            </w:tcBorders>
            <w:noWrap w:val="0"/>
            <w:vAlign w:val="center"/>
          </w:tcPr>
          <w:p w14:paraId="0F9AA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1418" w:type="dxa"/>
            <w:tcBorders>
              <w:tl2br w:val="nil"/>
              <w:tr2bl w:val="nil"/>
            </w:tcBorders>
            <w:noWrap w:val="0"/>
            <w:vAlign w:val="center"/>
          </w:tcPr>
          <w:p w14:paraId="7485D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958" w:type="dxa"/>
            <w:vMerge w:val="restart"/>
            <w:tcBorders>
              <w:tl2br w:val="nil"/>
              <w:tr2bl w:val="nil"/>
            </w:tcBorders>
            <w:noWrap w:val="0"/>
            <w:vAlign w:val="center"/>
          </w:tcPr>
          <w:p w14:paraId="3FAA5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岳阳高新技术产业园区污水处理厂处理达《城镇污水处理厂污染物排放标准》（GB18918-2002）及修改单中一级 A 标准。</w:t>
            </w:r>
          </w:p>
        </w:tc>
        <w:tc>
          <w:tcPr>
            <w:tcW w:w="1436" w:type="dxa"/>
            <w:tcBorders>
              <w:tl2br w:val="nil"/>
              <w:tr2bl w:val="nil"/>
            </w:tcBorders>
            <w:noWrap w:val="0"/>
            <w:vAlign w:val="center"/>
          </w:tcPr>
          <w:p w14:paraId="511A5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355.2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r>
      <w:tr w14:paraId="47BD1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23F38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13A98D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64" w:type="dxa"/>
            <w:gridSpan w:val="2"/>
            <w:tcBorders>
              <w:tl2br w:val="nil"/>
              <w:tr2bl w:val="nil"/>
            </w:tcBorders>
            <w:noWrap w:val="0"/>
            <w:vAlign w:val="center"/>
          </w:tcPr>
          <w:p w14:paraId="43D89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418" w:type="dxa"/>
            <w:tcBorders>
              <w:tl2br w:val="nil"/>
              <w:tr2bl w:val="nil"/>
            </w:tcBorders>
            <w:noWrap w:val="0"/>
            <w:vAlign w:val="center"/>
          </w:tcPr>
          <w:p w14:paraId="31402E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0.107</w:t>
            </w:r>
            <w:r>
              <w:rPr>
                <w:rFonts w:hint="default" w:ascii="Times New Roman" w:hAnsi="Times New Roman" w:eastAsia="宋体" w:cs="Times New Roman"/>
                <w:color w:val="auto"/>
                <w:sz w:val="21"/>
                <w:szCs w:val="21"/>
                <w:highlight w:val="none"/>
              </w:rPr>
              <w:t>t/a</w:t>
            </w:r>
          </w:p>
        </w:tc>
        <w:tc>
          <w:tcPr>
            <w:tcW w:w="1958" w:type="dxa"/>
            <w:vMerge w:val="continue"/>
            <w:tcBorders>
              <w:tl2br w:val="nil"/>
              <w:tr2bl w:val="nil"/>
            </w:tcBorders>
            <w:noWrap w:val="0"/>
            <w:vAlign w:val="center"/>
          </w:tcPr>
          <w:p w14:paraId="46440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547E352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0.018</w:t>
            </w:r>
            <w:r>
              <w:rPr>
                <w:rFonts w:hint="default" w:ascii="Times New Roman" w:hAnsi="Times New Roman" w:eastAsia="宋体" w:cs="Times New Roman"/>
                <w:color w:val="auto"/>
                <w:sz w:val="21"/>
                <w:szCs w:val="21"/>
                <w:highlight w:val="none"/>
              </w:rPr>
              <w:t>t/a</w:t>
            </w:r>
          </w:p>
        </w:tc>
      </w:tr>
      <w:tr w14:paraId="7706B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23D489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19AA9E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64" w:type="dxa"/>
            <w:gridSpan w:val="2"/>
            <w:tcBorders>
              <w:tl2br w:val="nil"/>
              <w:tr2bl w:val="nil"/>
            </w:tcBorders>
            <w:noWrap w:val="0"/>
            <w:vAlign w:val="center"/>
          </w:tcPr>
          <w:p w14:paraId="3EE701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1418" w:type="dxa"/>
            <w:tcBorders>
              <w:tl2br w:val="nil"/>
              <w:tr2bl w:val="nil"/>
            </w:tcBorders>
            <w:noWrap w:val="0"/>
            <w:vAlign w:val="center"/>
          </w:tcPr>
          <w:p w14:paraId="039D37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0.064t</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143A1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7C1320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0.0035</w:t>
            </w:r>
            <w:r>
              <w:rPr>
                <w:rFonts w:hint="default" w:ascii="Times New Roman" w:hAnsi="Times New Roman" w:eastAsia="宋体" w:cs="Times New Roman"/>
                <w:color w:val="auto"/>
                <w:sz w:val="21"/>
                <w:szCs w:val="21"/>
                <w:highlight w:val="none"/>
              </w:rPr>
              <w:t>t/a</w:t>
            </w:r>
          </w:p>
        </w:tc>
      </w:tr>
      <w:tr w14:paraId="5D0F9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50728E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07D810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64" w:type="dxa"/>
            <w:gridSpan w:val="2"/>
            <w:tcBorders>
              <w:tl2br w:val="nil"/>
              <w:tr2bl w:val="nil"/>
            </w:tcBorders>
            <w:noWrap w:val="0"/>
            <w:vAlign w:val="center"/>
          </w:tcPr>
          <w:p w14:paraId="2D7951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1418" w:type="dxa"/>
            <w:tcBorders>
              <w:tl2br w:val="nil"/>
              <w:tr2bl w:val="nil"/>
            </w:tcBorders>
            <w:noWrap w:val="0"/>
            <w:vAlign w:val="center"/>
          </w:tcPr>
          <w:p w14:paraId="4EE817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0.064t</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74FEA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361D67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0.0035</w:t>
            </w:r>
            <w:r>
              <w:rPr>
                <w:rFonts w:hint="default" w:ascii="Times New Roman" w:hAnsi="Times New Roman" w:eastAsia="宋体" w:cs="Times New Roman"/>
                <w:color w:val="auto"/>
                <w:sz w:val="21"/>
                <w:szCs w:val="21"/>
                <w:highlight w:val="none"/>
              </w:rPr>
              <w:t>t/a</w:t>
            </w:r>
          </w:p>
        </w:tc>
      </w:tr>
      <w:tr w14:paraId="528F0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1C966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5D0920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64" w:type="dxa"/>
            <w:gridSpan w:val="2"/>
            <w:tcBorders>
              <w:tl2br w:val="nil"/>
              <w:tr2bl w:val="nil"/>
            </w:tcBorders>
            <w:noWrap w:val="0"/>
            <w:vAlign w:val="center"/>
          </w:tcPr>
          <w:p w14:paraId="7D651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418" w:type="dxa"/>
            <w:tcBorders>
              <w:tl2br w:val="nil"/>
              <w:tr2bl w:val="nil"/>
            </w:tcBorders>
            <w:noWrap w:val="0"/>
            <w:vAlign w:val="center"/>
          </w:tcPr>
          <w:p w14:paraId="04E00A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0.011</w:t>
            </w:r>
            <w:r>
              <w:rPr>
                <w:rFonts w:hint="default" w:ascii="Times New Roman" w:hAnsi="Times New Roman" w:eastAsia="宋体" w:cs="Times New Roman"/>
                <w:color w:val="auto"/>
                <w:sz w:val="21"/>
                <w:szCs w:val="21"/>
                <w:highlight w:val="none"/>
              </w:rPr>
              <w:t>t/a</w:t>
            </w:r>
          </w:p>
        </w:tc>
        <w:tc>
          <w:tcPr>
            <w:tcW w:w="1958" w:type="dxa"/>
            <w:vMerge w:val="continue"/>
            <w:tcBorders>
              <w:tl2br w:val="nil"/>
              <w:tr2bl w:val="nil"/>
            </w:tcBorders>
            <w:noWrap w:val="0"/>
            <w:vAlign w:val="center"/>
          </w:tcPr>
          <w:p w14:paraId="3F8E6F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658D248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0.0017</w:t>
            </w:r>
            <w:r>
              <w:rPr>
                <w:rFonts w:hint="default" w:ascii="Times New Roman" w:hAnsi="Times New Roman" w:eastAsia="宋体" w:cs="Times New Roman"/>
                <w:color w:val="auto"/>
                <w:sz w:val="21"/>
                <w:szCs w:val="21"/>
                <w:highlight w:val="none"/>
              </w:rPr>
              <w:t>t/a</w:t>
            </w:r>
          </w:p>
        </w:tc>
      </w:tr>
      <w:tr w14:paraId="2E8FE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0365A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1A72C6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64" w:type="dxa"/>
            <w:gridSpan w:val="2"/>
            <w:tcBorders>
              <w:tl2br w:val="nil"/>
              <w:tr2bl w:val="nil"/>
            </w:tcBorders>
            <w:noWrap w:val="0"/>
            <w:vAlign w:val="center"/>
          </w:tcPr>
          <w:p w14:paraId="77E7F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w:t>
            </w:r>
          </w:p>
        </w:tc>
        <w:tc>
          <w:tcPr>
            <w:tcW w:w="1418" w:type="dxa"/>
            <w:tcBorders>
              <w:tl2br w:val="nil"/>
              <w:tr2bl w:val="nil"/>
            </w:tcBorders>
            <w:noWrap w:val="0"/>
            <w:vAlign w:val="center"/>
          </w:tcPr>
          <w:p w14:paraId="1AD20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0.007t</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20E74F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71CEAF9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0.018</w:t>
            </w:r>
            <w:r>
              <w:rPr>
                <w:rFonts w:hint="default" w:ascii="Times New Roman" w:hAnsi="Times New Roman" w:eastAsia="宋体" w:cs="Times New Roman"/>
                <w:color w:val="auto"/>
                <w:sz w:val="21"/>
                <w:szCs w:val="21"/>
                <w:highlight w:val="none"/>
              </w:rPr>
              <w:t>t/a</w:t>
            </w:r>
          </w:p>
        </w:tc>
      </w:tr>
      <w:tr w14:paraId="10EB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709" w:type="dxa"/>
            <w:vMerge w:val="continue"/>
            <w:tcBorders>
              <w:tl2br w:val="nil"/>
              <w:tr2bl w:val="nil"/>
            </w:tcBorders>
            <w:noWrap w:val="0"/>
            <w:vAlign w:val="center"/>
          </w:tcPr>
          <w:p w14:paraId="06E37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restart"/>
            <w:tcBorders>
              <w:tl2br w:val="nil"/>
              <w:tr2bl w:val="nil"/>
            </w:tcBorders>
            <w:noWrap w:val="0"/>
            <w:vAlign w:val="center"/>
          </w:tcPr>
          <w:p w14:paraId="536B1E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纯水制备浓水</w:t>
            </w:r>
          </w:p>
        </w:tc>
        <w:tc>
          <w:tcPr>
            <w:tcW w:w="3082" w:type="dxa"/>
            <w:gridSpan w:val="3"/>
            <w:tcBorders>
              <w:tl2br w:val="nil"/>
              <w:tr2bl w:val="nil"/>
            </w:tcBorders>
            <w:noWrap w:val="0"/>
            <w:vAlign w:val="center"/>
          </w:tcPr>
          <w:p w14:paraId="5E4D7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纯水制备浓水400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6A883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430612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r>
      <w:tr w14:paraId="26343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709" w:type="dxa"/>
            <w:vMerge w:val="continue"/>
            <w:tcBorders>
              <w:tl2br w:val="nil"/>
              <w:tr2bl w:val="nil"/>
            </w:tcBorders>
            <w:noWrap w:val="0"/>
            <w:vAlign w:val="center"/>
          </w:tcPr>
          <w:p w14:paraId="37CF0F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176" w:type="dxa"/>
            <w:vMerge w:val="continue"/>
            <w:tcBorders>
              <w:tl2br w:val="nil"/>
              <w:tr2bl w:val="nil"/>
            </w:tcBorders>
            <w:noWrap w:val="0"/>
            <w:vAlign w:val="center"/>
          </w:tcPr>
          <w:p w14:paraId="587F2B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664" w:type="dxa"/>
            <w:gridSpan w:val="2"/>
            <w:tcBorders>
              <w:tl2br w:val="nil"/>
              <w:tr2bl w:val="nil"/>
            </w:tcBorders>
            <w:noWrap w:val="0"/>
            <w:vAlign w:val="center"/>
          </w:tcPr>
          <w:p w14:paraId="0CE6A9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418" w:type="dxa"/>
            <w:tcBorders>
              <w:tl2br w:val="nil"/>
              <w:tr2bl w:val="nil"/>
            </w:tcBorders>
            <w:noWrap w:val="0"/>
            <w:vAlign w:val="center"/>
          </w:tcPr>
          <w:p w14:paraId="53BF97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0.02t</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1C232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36" w:type="dxa"/>
            <w:tcBorders>
              <w:tl2br w:val="nil"/>
              <w:tr2bl w:val="nil"/>
            </w:tcBorders>
            <w:shd w:val="clear" w:color="auto" w:fill="auto"/>
            <w:noWrap w:val="0"/>
            <w:vAlign w:val="center"/>
          </w:tcPr>
          <w:p w14:paraId="19BDC4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0.02</w:t>
            </w:r>
            <w:r>
              <w:rPr>
                <w:rFonts w:hint="default" w:ascii="Times New Roman" w:hAnsi="Times New Roman" w:eastAsia="宋体" w:cs="Times New Roman"/>
                <w:color w:val="auto"/>
                <w:sz w:val="21"/>
                <w:szCs w:val="21"/>
                <w:highlight w:val="none"/>
              </w:rPr>
              <w:t>t/a</w:t>
            </w:r>
          </w:p>
        </w:tc>
      </w:tr>
      <w:tr w14:paraId="49335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709" w:type="dxa"/>
            <w:vMerge w:val="continue"/>
            <w:tcBorders>
              <w:tl2br w:val="nil"/>
              <w:tr2bl w:val="nil"/>
            </w:tcBorders>
            <w:noWrap w:val="0"/>
            <w:vAlign w:val="center"/>
          </w:tcPr>
          <w:p w14:paraId="170B9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restart"/>
            <w:tcBorders>
              <w:tl2br w:val="nil"/>
              <w:tr2bl w:val="nil"/>
            </w:tcBorders>
            <w:noWrap w:val="0"/>
            <w:vAlign w:val="center"/>
          </w:tcPr>
          <w:p w14:paraId="7DDF6C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地面清洁废水</w:t>
            </w:r>
          </w:p>
        </w:tc>
        <w:tc>
          <w:tcPr>
            <w:tcW w:w="3082" w:type="dxa"/>
            <w:gridSpan w:val="3"/>
            <w:tcBorders>
              <w:tl2br w:val="nil"/>
              <w:tr2bl w:val="nil"/>
            </w:tcBorders>
            <w:noWrap w:val="0"/>
            <w:vAlign w:val="center"/>
          </w:tcPr>
          <w:p w14:paraId="4AD6D9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地面清洁废水24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31AEE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6EA14A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r>
      <w:tr w14:paraId="557B8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709" w:type="dxa"/>
            <w:vMerge w:val="continue"/>
            <w:tcBorders>
              <w:tl2br w:val="nil"/>
              <w:tr2bl w:val="nil"/>
            </w:tcBorders>
            <w:noWrap w:val="0"/>
            <w:vAlign w:val="center"/>
          </w:tcPr>
          <w:p w14:paraId="7F6125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176" w:type="dxa"/>
            <w:vMerge w:val="continue"/>
            <w:tcBorders>
              <w:tl2br w:val="nil"/>
              <w:tr2bl w:val="nil"/>
            </w:tcBorders>
            <w:noWrap w:val="0"/>
            <w:vAlign w:val="center"/>
          </w:tcPr>
          <w:p w14:paraId="1103F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664" w:type="dxa"/>
            <w:gridSpan w:val="2"/>
            <w:tcBorders>
              <w:tl2br w:val="nil"/>
              <w:tr2bl w:val="nil"/>
            </w:tcBorders>
            <w:noWrap w:val="0"/>
            <w:vAlign w:val="center"/>
          </w:tcPr>
          <w:p w14:paraId="7A03C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418" w:type="dxa"/>
            <w:tcBorders>
              <w:tl2br w:val="nil"/>
              <w:tr2bl w:val="nil"/>
            </w:tcBorders>
            <w:noWrap w:val="0"/>
            <w:vAlign w:val="center"/>
          </w:tcPr>
          <w:p w14:paraId="420C3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0.0072t</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6F530C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36" w:type="dxa"/>
            <w:tcBorders>
              <w:tl2br w:val="nil"/>
              <w:tr2bl w:val="nil"/>
            </w:tcBorders>
            <w:noWrap w:val="0"/>
            <w:vAlign w:val="center"/>
          </w:tcPr>
          <w:p w14:paraId="3C25A6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0.0012</w:t>
            </w:r>
            <w:r>
              <w:rPr>
                <w:rFonts w:hint="default" w:ascii="Times New Roman" w:hAnsi="Times New Roman" w:eastAsia="宋体" w:cs="Times New Roman"/>
                <w:color w:val="auto"/>
                <w:sz w:val="21"/>
                <w:szCs w:val="21"/>
                <w:highlight w:val="none"/>
              </w:rPr>
              <w:t>t/a</w:t>
            </w:r>
          </w:p>
        </w:tc>
      </w:tr>
      <w:tr w14:paraId="05399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263984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4A948C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64" w:type="dxa"/>
            <w:gridSpan w:val="2"/>
            <w:tcBorders>
              <w:tl2br w:val="nil"/>
              <w:tr2bl w:val="nil"/>
            </w:tcBorders>
            <w:noWrap w:val="0"/>
            <w:vAlign w:val="center"/>
          </w:tcPr>
          <w:p w14:paraId="07220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418" w:type="dxa"/>
            <w:tcBorders>
              <w:tl2br w:val="nil"/>
              <w:tr2bl w:val="nil"/>
            </w:tcBorders>
            <w:noWrap w:val="0"/>
            <w:vAlign w:val="center"/>
          </w:tcPr>
          <w:p w14:paraId="5AE56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0.0001t</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21BFE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351F20E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0.0001</w:t>
            </w:r>
            <w:r>
              <w:rPr>
                <w:rFonts w:hint="default" w:ascii="Times New Roman" w:hAnsi="Times New Roman" w:eastAsia="宋体" w:cs="Times New Roman"/>
                <w:color w:val="auto"/>
                <w:sz w:val="21"/>
                <w:szCs w:val="21"/>
                <w:highlight w:val="none"/>
              </w:rPr>
              <w:t>t/a</w:t>
            </w:r>
          </w:p>
        </w:tc>
      </w:tr>
      <w:tr w14:paraId="0A6438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01B8F9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vMerge w:val="continue"/>
            <w:tcBorders>
              <w:tl2br w:val="nil"/>
              <w:tr2bl w:val="nil"/>
            </w:tcBorders>
            <w:noWrap w:val="0"/>
            <w:vAlign w:val="center"/>
          </w:tcPr>
          <w:p w14:paraId="30EC72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64" w:type="dxa"/>
            <w:gridSpan w:val="2"/>
            <w:tcBorders>
              <w:tl2br w:val="nil"/>
              <w:tr2bl w:val="nil"/>
            </w:tcBorders>
            <w:noWrap w:val="0"/>
            <w:vAlign w:val="center"/>
          </w:tcPr>
          <w:p w14:paraId="33FA8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1418" w:type="dxa"/>
            <w:tcBorders>
              <w:tl2br w:val="nil"/>
              <w:tr2bl w:val="nil"/>
            </w:tcBorders>
            <w:noWrap w:val="0"/>
            <w:vAlign w:val="center"/>
          </w:tcPr>
          <w:p w14:paraId="02EDC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0.012t</w:t>
            </w:r>
            <w:r>
              <w:rPr>
                <w:rFonts w:hint="default" w:ascii="Times New Roman" w:hAnsi="Times New Roman" w:eastAsia="宋体" w:cs="Times New Roman"/>
                <w:color w:val="auto"/>
                <w:sz w:val="21"/>
                <w:szCs w:val="21"/>
                <w:highlight w:val="none"/>
              </w:rPr>
              <w:t>/a</w:t>
            </w:r>
          </w:p>
        </w:tc>
        <w:tc>
          <w:tcPr>
            <w:tcW w:w="1958" w:type="dxa"/>
            <w:vMerge w:val="continue"/>
            <w:tcBorders>
              <w:tl2br w:val="nil"/>
              <w:tr2bl w:val="nil"/>
            </w:tcBorders>
            <w:noWrap w:val="0"/>
            <w:vAlign w:val="center"/>
          </w:tcPr>
          <w:p w14:paraId="7FAB2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36" w:type="dxa"/>
            <w:tcBorders>
              <w:tl2br w:val="nil"/>
              <w:tr2bl w:val="nil"/>
            </w:tcBorders>
            <w:noWrap w:val="0"/>
            <w:vAlign w:val="center"/>
          </w:tcPr>
          <w:p w14:paraId="215366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0.0002</w:t>
            </w:r>
            <w:r>
              <w:rPr>
                <w:rFonts w:hint="default" w:ascii="Times New Roman" w:hAnsi="Times New Roman" w:eastAsia="宋体" w:cs="Times New Roman"/>
                <w:color w:val="auto"/>
                <w:sz w:val="21"/>
                <w:szCs w:val="21"/>
                <w:highlight w:val="none"/>
              </w:rPr>
              <w:t>t/a</w:t>
            </w:r>
          </w:p>
        </w:tc>
      </w:tr>
      <w:tr w14:paraId="7E3E63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restart"/>
            <w:tcBorders>
              <w:tl2br w:val="nil"/>
              <w:tr2bl w:val="nil"/>
            </w:tcBorders>
            <w:noWrap w:val="0"/>
            <w:vAlign w:val="center"/>
          </w:tcPr>
          <w:p w14:paraId="7F62DC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1176" w:type="dxa"/>
            <w:tcBorders>
              <w:tl2br w:val="nil"/>
              <w:tr2bl w:val="nil"/>
            </w:tcBorders>
            <w:noWrap w:val="0"/>
            <w:vAlign w:val="center"/>
          </w:tcPr>
          <w:p w14:paraId="7622F5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除尘器</w:t>
            </w:r>
          </w:p>
        </w:tc>
        <w:tc>
          <w:tcPr>
            <w:tcW w:w="1664" w:type="dxa"/>
            <w:gridSpan w:val="2"/>
            <w:tcBorders>
              <w:tl2br w:val="nil"/>
              <w:tr2bl w:val="nil"/>
            </w:tcBorders>
            <w:noWrap w:val="0"/>
            <w:vAlign w:val="center"/>
          </w:tcPr>
          <w:p w14:paraId="3FCB9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布袋除尘器收集粉尘</w:t>
            </w:r>
          </w:p>
        </w:tc>
        <w:tc>
          <w:tcPr>
            <w:tcW w:w="1418" w:type="dxa"/>
            <w:tcBorders>
              <w:tl2br w:val="nil"/>
              <w:tr2bl w:val="nil"/>
            </w:tcBorders>
            <w:noWrap w:val="0"/>
            <w:vAlign w:val="center"/>
          </w:tcPr>
          <w:p w14:paraId="11804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2.127</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29178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c>
          <w:tcPr>
            <w:tcW w:w="1436" w:type="dxa"/>
            <w:tcBorders>
              <w:tl2br w:val="nil"/>
              <w:tr2bl w:val="nil"/>
            </w:tcBorders>
            <w:noWrap w:val="0"/>
            <w:vAlign w:val="center"/>
          </w:tcPr>
          <w:p w14:paraId="2513A8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2.127</w:t>
            </w:r>
            <w:r>
              <w:rPr>
                <w:rFonts w:hint="default" w:ascii="Times New Roman" w:hAnsi="Times New Roman" w:eastAsia="宋体" w:cs="Times New Roman"/>
                <w:color w:val="auto"/>
                <w:sz w:val="21"/>
                <w:szCs w:val="21"/>
                <w:highlight w:val="none"/>
              </w:rPr>
              <w:t>t/a</w:t>
            </w:r>
          </w:p>
        </w:tc>
      </w:tr>
      <w:tr w14:paraId="62665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5E6CEC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08BD6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生产线</w:t>
            </w:r>
          </w:p>
        </w:tc>
        <w:tc>
          <w:tcPr>
            <w:tcW w:w="1664" w:type="dxa"/>
            <w:gridSpan w:val="2"/>
            <w:tcBorders>
              <w:tl2br w:val="nil"/>
              <w:tr2bl w:val="nil"/>
            </w:tcBorders>
            <w:noWrap w:val="0"/>
            <w:vAlign w:val="center"/>
          </w:tcPr>
          <w:p w14:paraId="33705C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地面收集粉尘</w:t>
            </w:r>
          </w:p>
        </w:tc>
        <w:tc>
          <w:tcPr>
            <w:tcW w:w="1418" w:type="dxa"/>
            <w:tcBorders>
              <w:tl2br w:val="nil"/>
              <w:tr2bl w:val="nil"/>
            </w:tcBorders>
            <w:noWrap w:val="0"/>
            <w:vAlign w:val="center"/>
          </w:tcPr>
          <w:p w14:paraId="246AE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 xml:space="preserve">0.1206 </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25D601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c>
          <w:tcPr>
            <w:tcW w:w="1436" w:type="dxa"/>
            <w:tcBorders>
              <w:tl2br w:val="nil"/>
              <w:tr2bl w:val="nil"/>
            </w:tcBorders>
            <w:noWrap w:val="0"/>
            <w:vAlign w:val="center"/>
          </w:tcPr>
          <w:p w14:paraId="762B17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 xml:space="preserve">0.1206 </w:t>
            </w:r>
            <w:r>
              <w:rPr>
                <w:rFonts w:hint="default" w:ascii="Times New Roman" w:hAnsi="Times New Roman" w:eastAsia="宋体" w:cs="Times New Roman"/>
                <w:color w:val="auto"/>
                <w:sz w:val="21"/>
                <w:szCs w:val="21"/>
                <w:highlight w:val="none"/>
              </w:rPr>
              <w:t>t/a</w:t>
            </w:r>
          </w:p>
        </w:tc>
      </w:tr>
      <w:tr w14:paraId="1A052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3A9D57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40439C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纯水制备</w:t>
            </w:r>
          </w:p>
        </w:tc>
        <w:tc>
          <w:tcPr>
            <w:tcW w:w="1664" w:type="dxa"/>
            <w:gridSpan w:val="2"/>
            <w:tcBorders>
              <w:tl2br w:val="nil"/>
              <w:tr2bl w:val="nil"/>
            </w:tcBorders>
            <w:noWrap w:val="0"/>
            <w:vAlign w:val="center"/>
          </w:tcPr>
          <w:p w14:paraId="3C4EC1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 RO 膜</w:t>
            </w:r>
          </w:p>
        </w:tc>
        <w:tc>
          <w:tcPr>
            <w:tcW w:w="1418" w:type="dxa"/>
            <w:tcBorders>
              <w:tl2br w:val="nil"/>
              <w:tr2bl w:val="nil"/>
            </w:tcBorders>
            <w:noWrap w:val="0"/>
            <w:vAlign w:val="center"/>
          </w:tcPr>
          <w:p w14:paraId="68F12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0.01kg/a</w:t>
            </w:r>
          </w:p>
        </w:tc>
        <w:tc>
          <w:tcPr>
            <w:tcW w:w="1958" w:type="dxa"/>
            <w:tcBorders>
              <w:tl2br w:val="nil"/>
              <w:tr2bl w:val="nil"/>
            </w:tcBorders>
            <w:noWrap w:val="0"/>
            <w:vAlign w:val="center"/>
          </w:tcPr>
          <w:p w14:paraId="678357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由厂家上门更换并对废RO膜进行回收处置</w:t>
            </w:r>
          </w:p>
        </w:tc>
        <w:tc>
          <w:tcPr>
            <w:tcW w:w="1436" w:type="dxa"/>
            <w:tcBorders>
              <w:tl2br w:val="nil"/>
              <w:tr2bl w:val="nil"/>
            </w:tcBorders>
            <w:noWrap w:val="0"/>
            <w:vAlign w:val="center"/>
          </w:tcPr>
          <w:p w14:paraId="4957D3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0.01kg/a</w:t>
            </w:r>
          </w:p>
        </w:tc>
      </w:tr>
      <w:tr w14:paraId="66803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06299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1A2C67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废气处理</w:t>
            </w:r>
          </w:p>
        </w:tc>
        <w:tc>
          <w:tcPr>
            <w:tcW w:w="1664" w:type="dxa"/>
            <w:gridSpan w:val="2"/>
            <w:tcBorders>
              <w:tl2br w:val="nil"/>
              <w:tr2bl w:val="nil"/>
            </w:tcBorders>
            <w:noWrap w:val="0"/>
            <w:vAlign w:val="center"/>
          </w:tcPr>
          <w:p w14:paraId="49D1C0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废活性炭</w:t>
            </w:r>
          </w:p>
        </w:tc>
        <w:tc>
          <w:tcPr>
            <w:tcW w:w="1418" w:type="dxa"/>
            <w:tcBorders>
              <w:tl2br w:val="nil"/>
              <w:tr2bl w:val="nil"/>
            </w:tcBorders>
            <w:noWrap w:val="0"/>
            <w:vAlign w:val="center"/>
          </w:tcPr>
          <w:p w14:paraId="59F51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3.654</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0AD11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1436" w:type="dxa"/>
            <w:tcBorders>
              <w:tl2br w:val="nil"/>
              <w:tr2bl w:val="nil"/>
            </w:tcBorders>
            <w:noWrap w:val="0"/>
            <w:vAlign w:val="center"/>
          </w:tcPr>
          <w:p w14:paraId="3F01C6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3.654</w:t>
            </w:r>
            <w:r>
              <w:rPr>
                <w:rFonts w:hint="default" w:ascii="Times New Roman" w:hAnsi="Times New Roman" w:eastAsia="宋体" w:cs="Times New Roman"/>
                <w:color w:val="auto"/>
                <w:sz w:val="21"/>
                <w:szCs w:val="21"/>
                <w:highlight w:val="none"/>
              </w:rPr>
              <w:t>t/a</w:t>
            </w:r>
          </w:p>
        </w:tc>
      </w:tr>
      <w:tr w14:paraId="0F49E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19AD89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03C1D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设备运行</w:t>
            </w:r>
          </w:p>
        </w:tc>
        <w:tc>
          <w:tcPr>
            <w:tcW w:w="1664" w:type="dxa"/>
            <w:gridSpan w:val="2"/>
            <w:tcBorders>
              <w:tl2br w:val="nil"/>
              <w:tr2bl w:val="nil"/>
            </w:tcBorders>
            <w:noWrap w:val="0"/>
            <w:vAlign w:val="center"/>
          </w:tcPr>
          <w:p w14:paraId="11251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废导热油</w:t>
            </w:r>
          </w:p>
        </w:tc>
        <w:tc>
          <w:tcPr>
            <w:tcW w:w="1418" w:type="dxa"/>
            <w:tcBorders>
              <w:tl2br w:val="nil"/>
              <w:tr2bl w:val="nil"/>
            </w:tcBorders>
            <w:noWrap w:val="0"/>
            <w:vAlign w:val="center"/>
          </w:tcPr>
          <w:p w14:paraId="5189C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0.3</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1F3E24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1436" w:type="dxa"/>
            <w:tcBorders>
              <w:tl2br w:val="nil"/>
              <w:tr2bl w:val="nil"/>
            </w:tcBorders>
            <w:noWrap w:val="0"/>
            <w:vAlign w:val="center"/>
          </w:tcPr>
          <w:p w14:paraId="2AC1E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0.3</w:t>
            </w:r>
            <w:r>
              <w:rPr>
                <w:rFonts w:hint="default" w:ascii="Times New Roman" w:hAnsi="Times New Roman" w:eastAsia="宋体" w:cs="Times New Roman"/>
                <w:color w:val="auto"/>
                <w:sz w:val="21"/>
                <w:szCs w:val="21"/>
                <w:highlight w:val="none"/>
              </w:rPr>
              <w:t>t/a</w:t>
            </w:r>
          </w:p>
        </w:tc>
      </w:tr>
      <w:tr w14:paraId="539C2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214C5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3A037F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原料储存</w:t>
            </w:r>
          </w:p>
        </w:tc>
        <w:tc>
          <w:tcPr>
            <w:tcW w:w="1664" w:type="dxa"/>
            <w:gridSpan w:val="2"/>
            <w:tcBorders>
              <w:tl2br w:val="nil"/>
              <w:tr2bl w:val="nil"/>
            </w:tcBorders>
            <w:noWrap w:val="0"/>
            <w:vAlign w:val="center"/>
          </w:tcPr>
          <w:p w14:paraId="0FC9DE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废包装材料</w:t>
            </w:r>
          </w:p>
        </w:tc>
        <w:tc>
          <w:tcPr>
            <w:tcW w:w="1418" w:type="dxa"/>
            <w:tcBorders>
              <w:tl2br w:val="nil"/>
              <w:tr2bl w:val="nil"/>
            </w:tcBorders>
            <w:noWrap w:val="0"/>
            <w:vAlign w:val="center"/>
          </w:tcPr>
          <w:p w14:paraId="2EB39A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516FEB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收集后交由厂家回收</w:t>
            </w:r>
          </w:p>
        </w:tc>
        <w:tc>
          <w:tcPr>
            <w:tcW w:w="1436" w:type="dxa"/>
            <w:tcBorders>
              <w:tl2br w:val="nil"/>
              <w:tr2bl w:val="nil"/>
            </w:tcBorders>
            <w:noWrap w:val="0"/>
            <w:vAlign w:val="center"/>
          </w:tcPr>
          <w:p w14:paraId="08AAD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auto"/>
                <w:sz w:val="21"/>
                <w:szCs w:val="21"/>
                <w:highlight w:val="none"/>
              </w:rPr>
              <w:t>t/a</w:t>
            </w:r>
          </w:p>
        </w:tc>
      </w:tr>
      <w:tr w14:paraId="6E19C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442C6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6308F3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员工生活</w:t>
            </w:r>
          </w:p>
        </w:tc>
        <w:tc>
          <w:tcPr>
            <w:tcW w:w="1664" w:type="dxa"/>
            <w:gridSpan w:val="2"/>
            <w:tcBorders>
              <w:tl2br w:val="nil"/>
              <w:tr2bl w:val="nil"/>
            </w:tcBorders>
            <w:noWrap w:val="0"/>
            <w:vAlign w:val="center"/>
          </w:tcPr>
          <w:p w14:paraId="59087D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生活垃圾</w:t>
            </w:r>
          </w:p>
        </w:tc>
        <w:tc>
          <w:tcPr>
            <w:tcW w:w="1418" w:type="dxa"/>
            <w:tcBorders>
              <w:tl2br w:val="nil"/>
              <w:tr2bl w:val="nil"/>
            </w:tcBorders>
            <w:noWrap w:val="0"/>
            <w:vAlign w:val="center"/>
          </w:tcPr>
          <w:p w14:paraId="453E29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2.7</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4A4C88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收集后交由环卫部门处置</w:t>
            </w:r>
          </w:p>
        </w:tc>
        <w:tc>
          <w:tcPr>
            <w:tcW w:w="1436" w:type="dxa"/>
            <w:tcBorders>
              <w:tl2br w:val="nil"/>
              <w:tr2bl w:val="nil"/>
            </w:tcBorders>
            <w:noWrap w:val="0"/>
            <w:vAlign w:val="center"/>
          </w:tcPr>
          <w:p w14:paraId="7846F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2.7</w:t>
            </w:r>
            <w:r>
              <w:rPr>
                <w:rFonts w:hint="default" w:ascii="Times New Roman" w:hAnsi="Times New Roman" w:eastAsia="宋体" w:cs="Times New Roman"/>
                <w:color w:val="auto"/>
                <w:sz w:val="21"/>
                <w:szCs w:val="21"/>
                <w:highlight w:val="none"/>
              </w:rPr>
              <w:t>t/a</w:t>
            </w:r>
          </w:p>
        </w:tc>
      </w:tr>
      <w:tr w14:paraId="2FF88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1A75C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03BF8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产品检验</w:t>
            </w:r>
          </w:p>
        </w:tc>
        <w:tc>
          <w:tcPr>
            <w:tcW w:w="1664" w:type="dxa"/>
            <w:gridSpan w:val="2"/>
            <w:tcBorders>
              <w:tl2br w:val="nil"/>
              <w:tr2bl w:val="nil"/>
            </w:tcBorders>
            <w:noWrap w:val="0"/>
            <w:vAlign w:val="center"/>
          </w:tcPr>
          <w:p w14:paraId="3EA9E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实验室废液</w:t>
            </w:r>
          </w:p>
        </w:tc>
        <w:tc>
          <w:tcPr>
            <w:tcW w:w="1418" w:type="dxa"/>
            <w:tcBorders>
              <w:tl2br w:val="nil"/>
              <w:tr2bl w:val="nil"/>
            </w:tcBorders>
            <w:noWrap w:val="0"/>
            <w:vAlign w:val="center"/>
          </w:tcPr>
          <w:p w14:paraId="19298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0.06</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1A93AE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1436" w:type="dxa"/>
            <w:tcBorders>
              <w:tl2br w:val="nil"/>
              <w:tr2bl w:val="nil"/>
            </w:tcBorders>
            <w:noWrap w:val="0"/>
            <w:vAlign w:val="center"/>
          </w:tcPr>
          <w:p w14:paraId="7AEC8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0.06</w:t>
            </w:r>
            <w:r>
              <w:rPr>
                <w:rFonts w:hint="default" w:ascii="Times New Roman" w:hAnsi="Times New Roman" w:eastAsia="宋体" w:cs="Times New Roman"/>
                <w:color w:val="auto"/>
                <w:sz w:val="21"/>
                <w:szCs w:val="21"/>
                <w:highlight w:val="none"/>
              </w:rPr>
              <w:t>t/a</w:t>
            </w:r>
          </w:p>
        </w:tc>
      </w:tr>
      <w:tr w14:paraId="50C66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vMerge w:val="continue"/>
            <w:tcBorders>
              <w:tl2br w:val="nil"/>
              <w:tr2bl w:val="nil"/>
            </w:tcBorders>
            <w:noWrap w:val="0"/>
            <w:vAlign w:val="center"/>
          </w:tcPr>
          <w:p w14:paraId="0870B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76" w:type="dxa"/>
            <w:tcBorders>
              <w:tl2br w:val="nil"/>
              <w:tr2bl w:val="nil"/>
            </w:tcBorders>
            <w:noWrap w:val="0"/>
            <w:vAlign w:val="center"/>
          </w:tcPr>
          <w:p w14:paraId="1C647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产品检验</w:t>
            </w:r>
          </w:p>
        </w:tc>
        <w:tc>
          <w:tcPr>
            <w:tcW w:w="1664" w:type="dxa"/>
            <w:gridSpan w:val="2"/>
            <w:tcBorders>
              <w:tl2br w:val="nil"/>
              <w:tr2bl w:val="nil"/>
            </w:tcBorders>
            <w:noWrap w:val="0"/>
            <w:vAlign w:val="center"/>
          </w:tcPr>
          <w:p w14:paraId="55D4B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实验室检验成品</w:t>
            </w:r>
          </w:p>
        </w:tc>
        <w:tc>
          <w:tcPr>
            <w:tcW w:w="1418" w:type="dxa"/>
            <w:tcBorders>
              <w:tl2br w:val="nil"/>
              <w:tr2bl w:val="nil"/>
            </w:tcBorders>
            <w:noWrap w:val="0"/>
            <w:vAlign w:val="center"/>
          </w:tcPr>
          <w:p w14:paraId="4A7E8D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auto"/>
                <w:sz w:val="21"/>
                <w:szCs w:val="21"/>
                <w:highlight w:val="none"/>
              </w:rPr>
              <w:t>t/a</w:t>
            </w:r>
          </w:p>
        </w:tc>
        <w:tc>
          <w:tcPr>
            <w:tcW w:w="1958" w:type="dxa"/>
            <w:tcBorders>
              <w:tl2br w:val="nil"/>
              <w:tr2bl w:val="nil"/>
            </w:tcBorders>
            <w:noWrap w:val="0"/>
            <w:vAlign w:val="center"/>
          </w:tcPr>
          <w:p w14:paraId="364828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回用于工艺</w:t>
            </w:r>
          </w:p>
        </w:tc>
        <w:tc>
          <w:tcPr>
            <w:tcW w:w="1436" w:type="dxa"/>
            <w:tcBorders>
              <w:tl2br w:val="nil"/>
              <w:tr2bl w:val="nil"/>
            </w:tcBorders>
            <w:noWrap w:val="0"/>
            <w:vAlign w:val="center"/>
          </w:tcPr>
          <w:p w14:paraId="3037F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auto"/>
                <w:sz w:val="21"/>
                <w:szCs w:val="21"/>
                <w:highlight w:val="none"/>
              </w:rPr>
              <w:t>t/a</w:t>
            </w:r>
          </w:p>
        </w:tc>
      </w:tr>
      <w:tr w14:paraId="5CE1E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09" w:type="dxa"/>
            <w:tcBorders>
              <w:tl2br w:val="nil"/>
              <w:tr2bl w:val="nil"/>
            </w:tcBorders>
            <w:noWrap w:val="0"/>
            <w:vAlign w:val="center"/>
          </w:tcPr>
          <w:p w14:paraId="4C45A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7652" w:type="dxa"/>
            <w:gridSpan w:val="6"/>
            <w:tcBorders>
              <w:tl2br w:val="nil"/>
              <w:tr2bl w:val="nil"/>
            </w:tcBorders>
            <w:noWrap w:val="0"/>
            <w:vAlign w:val="center"/>
          </w:tcPr>
          <w:p w14:paraId="25CFEA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对高噪设备采用吸声、隔声</w:t>
            </w:r>
            <w:r>
              <w:rPr>
                <w:rFonts w:hint="eastAsia"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、减震</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等措施。</w:t>
            </w:r>
          </w:p>
        </w:tc>
      </w:tr>
    </w:tbl>
    <w:p w14:paraId="2C124BF3">
      <w:pPr>
        <w:pStyle w:val="5"/>
        <w:pageBreakBefore w:val="0"/>
        <w:widowControl w:val="0"/>
        <w:kinsoku/>
        <w:wordWrap/>
        <w:overflowPunct/>
        <w:topLinePunct w:val="0"/>
        <w:autoSpaceDE/>
        <w:autoSpaceDN/>
        <w:bidi w:val="0"/>
        <w:adjustRightInd/>
        <w:snapToGrid/>
        <w:spacing w:before="235" w:beforeLines="50" w:after="235" w:afterLines="50" w:afterAutospacing="0" w:line="360" w:lineRule="auto"/>
        <w:textAlignment w:val="auto"/>
        <w:rPr>
          <w:highlight w:val="none"/>
        </w:rPr>
      </w:pPr>
      <w:bookmarkStart w:id="129" w:name="_Toc488833076"/>
      <w:bookmarkStart w:id="130" w:name="_Toc14008"/>
      <w:r>
        <w:rPr>
          <w:rFonts w:hint="eastAsia"/>
          <w:highlight w:val="none"/>
          <w:lang w:val="en-US" w:eastAsia="zh-CN"/>
        </w:rPr>
        <w:t>5、</w:t>
      </w:r>
      <w:r>
        <w:rPr>
          <w:highlight w:val="none"/>
        </w:rPr>
        <w:t>环境现状调查与评价</w:t>
      </w:r>
      <w:bookmarkEnd w:id="129"/>
      <w:bookmarkEnd w:id="130"/>
    </w:p>
    <w:p w14:paraId="12D4AB31">
      <w:pPr>
        <w:pStyle w:val="6"/>
        <w:pageBreakBefore w:val="0"/>
        <w:widowControl w:val="0"/>
        <w:kinsoku/>
        <w:wordWrap/>
        <w:overflowPunct/>
        <w:topLinePunct w:val="0"/>
        <w:autoSpaceDE/>
        <w:autoSpaceDN/>
        <w:bidi w:val="0"/>
        <w:adjustRightInd/>
        <w:snapToGrid/>
        <w:spacing w:before="235" w:beforeLines="50" w:after="235" w:afterLines="50" w:afterAutospacing="0" w:line="360" w:lineRule="auto"/>
        <w:textAlignment w:val="auto"/>
        <w:rPr>
          <w:highlight w:val="none"/>
        </w:rPr>
      </w:pPr>
      <w:bookmarkStart w:id="131" w:name="_Toc12255"/>
      <w:bookmarkStart w:id="132" w:name="_Toc488833077"/>
      <w:r>
        <w:rPr>
          <w:rFonts w:hint="eastAsia"/>
          <w:highlight w:val="none"/>
          <w:lang w:val="en-US" w:eastAsia="zh-CN"/>
        </w:rPr>
        <w:t>5</w:t>
      </w:r>
      <w:r>
        <w:rPr>
          <w:highlight w:val="none"/>
        </w:rPr>
        <w:t>.1自然环境现状调查与评价</w:t>
      </w:r>
      <w:bookmarkEnd w:id="131"/>
      <w:bookmarkEnd w:id="132"/>
    </w:p>
    <w:p w14:paraId="6F0D1EAF">
      <w:pPr>
        <w:pStyle w:val="7"/>
        <w:keepNext/>
        <w:keepLines/>
        <w:pageBreakBefore w:val="0"/>
        <w:widowControl w:val="0"/>
        <w:kinsoku/>
        <w:wordWrap/>
        <w:overflowPunct/>
        <w:topLinePunct w:val="0"/>
        <w:autoSpaceDE/>
        <w:autoSpaceDN/>
        <w:bidi w:val="0"/>
        <w:adjustRightInd/>
        <w:snapToGrid/>
        <w:spacing w:before="235" w:beforeLines="50" w:after="235" w:afterLines="50" w:afterAutospacing="0" w:line="360" w:lineRule="auto"/>
        <w:textAlignment w:val="auto"/>
        <w:rPr>
          <w:highlight w:val="none"/>
        </w:rPr>
      </w:pPr>
      <w:bookmarkStart w:id="133" w:name="_Toc32485"/>
      <w:bookmarkStart w:id="134" w:name="_Toc26577"/>
      <w:bookmarkStart w:id="135" w:name="_Toc13"/>
      <w:bookmarkStart w:id="136" w:name="_Toc25503"/>
      <w:bookmarkStart w:id="137" w:name="_Toc30493"/>
      <w:bookmarkStart w:id="138" w:name="_Toc15371"/>
      <w:bookmarkStart w:id="139" w:name="_Toc23883"/>
      <w:bookmarkStart w:id="140" w:name="_Toc9549"/>
      <w:bookmarkStart w:id="141" w:name="_Toc11520"/>
      <w:bookmarkStart w:id="142" w:name="_Toc22762"/>
      <w:bookmarkStart w:id="143" w:name="_Toc831"/>
      <w:bookmarkStart w:id="144" w:name="_Toc15056"/>
      <w:bookmarkStart w:id="145" w:name="_Toc30303"/>
      <w:r>
        <w:rPr>
          <w:rFonts w:hint="eastAsia"/>
          <w:highlight w:val="none"/>
          <w:lang w:val="en-US" w:eastAsia="zh-CN"/>
        </w:rPr>
        <w:t>5</w:t>
      </w:r>
      <w:r>
        <w:rPr>
          <w:highlight w:val="none"/>
        </w:rPr>
        <w:t>.1.</w:t>
      </w:r>
      <w:r>
        <w:rPr>
          <w:rFonts w:hint="eastAsia"/>
          <w:highlight w:val="none"/>
          <w:lang w:val="en-US" w:eastAsia="zh-CN"/>
        </w:rPr>
        <w:t xml:space="preserve">1 </w:t>
      </w:r>
      <w:r>
        <w:rPr>
          <w:highlight w:val="none"/>
        </w:rPr>
        <w:t>地理位置</w:t>
      </w:r>
      <w:bookmarkEnd w:id="133"/>
      <w:bookmarkEnd w:id="134"/>
      <w:bookmarkEnd w:id="135"/>
      <w:bookmarkEnd w:id="136"/>
      <w:bookmarkEnd w:id="137"/>
      <w:bookmarkEnd w:id="138"/>
      <w:bookmarkEnd w:id="139"/>
      <w:bookmarkEnd w:id="140"/>
      <w:bookmarkEnd w:id="141"/>
      <w:bookmarkEnd w:id="142"/>
      <w:bookmarkEnd w:id="143"/>
      <w:bookmarkEnd w:id="144"/>
      <w:bookmarkEnd w:id="145"/>
    </w:p>
    <w:p w14:paraId="6E1B35D1">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jc w:val="both"/>
        <w:textAlignment w:val="auto"/>
        <w:rPr>
          <w:rFonts w:hint="default" w:ascii="Times New Roman" w:hAnsi="Times New Roman" w:eastAsia="宋体" w:cs="Times New Roman"/>
          <w:spacing w:val="-6"/>
          <w:sz w:val="24"/>
          <w:szCs w:val="24"/>
          <w:highlight w:val="none"/>
        </w:rPr>
      </w:pPr>
      <w:r>
        <w:rPr>
          <w:rFonts w:hint="default" w:ascii="Times New Roman" w:hAnsi="Times New Roman" w:eastAsia="宋体" w:cs="Times New Roman"/>
          <w:spacing w:val="-6"/>
          <w:sz w:val="24"/>
          <w:szCs w:val="24"/>
          <w:highlight w:val="none"/>
        </w:rPr>
        <w:t>岳阳县位于湖南省北部 、岳阳市境中部 ，洞庭湖畔 。地理坐标为东经 112°44′ 14″-113°43′35″ ，北纬 28°57′ 11″-29°38′41″ 。东接湖北省通城县，东南连平江 县，南抵汨罗市，西南以湖州与沅江、南县交界，西与华容县毗邻，北与岳阳市区、临湘市接壤。东西相距 98 千米，南北相距 76 千米。全县土地总面积 2930.95 平方公里，占全市土地面积的 19.51%。</w:t>
      </w:r>
    </w:p>
    <w:p w14:paraId="626BF6A5">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jc w:val="both"/>
        <w:textAlignment w:val="auto"/>
        <w:rPr>
          <w:rFonts w:hint="default" w:ascii="Times New Roman" w:hAnsi="Times New Roman" w:eastAsia="宋体" w:cs="Times New Roman"/>
          <w:spacing w:val="-6"/>
          <w:sz w:val="24"/>
          <w:szCs w:val="24"/>
          <w:highlight w:val="none"/>
        </w:rPr>
      </w:pPr>
      <w:r>
        <w:rPr>
          <w:rFonts w:hint="default" w:ascii="Times New Roman" w:hAnsi="Times New Roman" w:eastAsia="宋体" w:cs="Times New Roman"/>
          <w:spacing w:val="-6"/>
          <w:sz w:val="24"/>
          <w:szCs w:val="24"/>
          <w:highlight w:val="none"/>
        </w:rPr>
        <w:t>岳阳高新技术产业园区位于岳阳县城东部，荣新公路横贯其中，是岳阳县城重要的综合产业园区，基地东靠“十二五”规划中的岳长高速公路，西靠京广铁路、岳汨公路，南临即将开工的高速公路联络线，武广高铁南北贯穿，县城交通条件十分便利，区位优势明显。</w:t>
      </w:r>
    </w:p>
    <w:p w14:paraId="67CBAB9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jc w:val="both"/>
        <w:textAlignment w:val="auto"/>
        <w:rPr>
          <w:rFonts w:hint="default" w:ascii="Times New Roman" w:hAnsi="Times New Roman" w:eastAsia="宋体" w:cs="Times New Roman"/>
          <w:spacing w:val="-6"/>
          <w:sz w:val="24"/>
          <w:szCs w:val="24"/>
          <w:highlight w:val="none"/>
        </w:rPr>
      </w:pPr>
      <w:r>
        <w:rPr>
          <w:rFonts w:hint="default" w:ascii="Times New Roman" w:hAnsi="Times New Roman" w:eastAsia="宋体" w:cs="Times New Roman"/>
          <w:spacing w:val="-6"/>
          <w:sz w:val="24"/>
          <w:szCs w:val="24"/>
          <w:highlight w:val="none"/>
        </w:rPr>
        <w:t>本项目位于岳阳县荣家湾镇</w:t>
      </w:r>
      <w:r>
        <w:rPr>
          <w:rFonts w:hint="default" w:ascii="Times New Roman" w:hAnsi="Times New Roman" w:eastAsia="宋体" w:cs="Times New Roman"/>
          <w:spacing w:val="-6"/>
          <w:sz w:val="24"/>
          <w:szCs w:val="24"/>
          <w:highlight w:val="none"/>
          <w:lang w:val="en-US" w:eastAsia="zh-CN"/>
        </w:rPr>
        <w:t>岳阳</w:t>
      </w:r>
      <w:r>
        <w:rPr>
          <w:rFonts w:hint="default" w:ascii="Times New Roman" w:hAnsi="Times New Roman" w:eastAsia="宋体" w:cs="Times New Roman"/>
          <w:spacing w:val="-6"/>
          <w:sz w:val="24"/>
          <w:szCs w:val="24"/>
          <w:highlight w:val="none"/>
        </w:rPr>
        <w:t>高新技术产业园区武广路3号创新创业基地C栋</w:t>
      </w:r>
      <w:r>
        <w:rPr>
          <w:rFonts w:hint="eastAsia" w:cs="Times New Roman"/>
          <w:spacing w:val="-6"/>
          <w:sz w:val="24"/>
          <w:szCs w:val="24"/>
          <w:highlight w:val="none"/>
          <w:lang w:eastAsia="zh-CN"/>
        </w:rPr>
        <w:t>（</w:t>
      </w:r>
      <w:r>
        <w:rPr>
          <w:rFonts w:hint="eastAsia" w:cs="Times New Roman"/>
          <w:spacing w:val="-6"/>
          <w:sz w:val="24"/>
          <w:szCs w:val="24"/>
          <w:highlight w:val="none"/>
          <w:lang w:val="en-US" w:eastAsia="zh-CN"/>
        </w:rPr>
        <w:t>2F</w:t>
      </w:r>
      <w:r>
        <w:rPr>
          <w:rFonts w:hint="eastAsia" w:cs="Times New Roman"/>
          <w:spacing w:val="-6"/>
          <w:sz w:val="24"/>
          <w:szCs w:val="24"/>
          <w:highlight w:val="none"/>
          <w:lang w:eastAsia="zh-CN"/>
        </w:rPr>
        <w:t>）</w:t>
      </w:r>
      <w:r>
        <w:rPr>
          <w:rFonts w:hint="default" w:ascii="Times New Roman" w:hAnsi="Times New Roman" w:eastAsia="宋体" w:cs="Times New Roman"/>
          <w:spacing w:val="-6"/>
          <w:sz w:val="24"/>
          <w:szCs w:val="24"/>
          <w:highlight w:val="none"/>
          <w:lang w:eastAsia="zh-CN"/>
        </w:rPr>
        <w:t>，</w:t>
      </w:r>
      <w:r>
        <w:rPr>
          <w:rFonts w:hint="default" w:ascii="Times New Roman" w:hAnsi="Times New Roman" w:eastAsia="宋体" w:cs="Times New Roman"/>
          <w:spacing w:val="-6"/>
          <w:sz w:val="24"/>
          <w:szCs w:val="24"/>
          <w:highlight w:val="none"/>
        </w:rPr>
        <w:t>中心地理坐标为东</w:t>
      </w:r>
      <w:r>
        <w:rPr>
          <w:rFonts w:hint="default" w:ascii="Times New Roman" w:hAnsi="Times New Roman" w:eastAsia="宋体" w:cs="Times New Roman"/>
          <w:spacing w:val="-6"/>
          <w:sz w:val="24"/>
          <w:szCs w:val="24"/>
          <w:highlight w:val="none"/>
          <w:lang w:val="en-US" w:eastAsia="zh-CN"/>
        </w:rPr>
        <w:t>经113°8′26.43760″，北纬 29°7′19.81332″。具体地理位置见附图。</w:t>
      </w:r>
    </w:p>
    <w:p w14:paraId="263A3849">
      <w:pPr>
        <w:pStyle w:val="7"/>
        <w:pageBreakBefore w:val="0"/>
        <w:widowControl w:val="0"/>
        <w:kinsoku/>
        <w:wordWrap/>
        <w:overflowPunct/>
        <w:topLinePunct w:val="0"/>
        <w:autoSpaceDE/>
        <w:autoSpaceDN/>
        <w:bidi w:val="0"/>
        <w:adjustRightInd/>
        <w:snapToGrid/>
        <w:spacing w:afterAutospacing="0"/>
        <w:textAlignment w:val="auto"/>
        <w:rPr>
          <w:rFonts w:hint="eastAsia"/>
          <w:highlight w:val="none"/>
          <w:lang w:val="en-US" w:eastAsia="zh-CN"/>
        </w:rPr>
      </w:pPr>
      <w:bookmarkStart w:id="146" w:name="_Toc766"/>
      <w:r>
        <w:rPr>
          <w:rFonts w:hint="eastAsia"/>
          <w:highlight w:val="none"/>
          <w:lang w:val="en-US" w:eastAsia="zh-CN"/>
        </w:rPr>
        <w:t>5.1.2 地形地质地貌</w:t>
      </w:r>
      <w:bookmarkEnd w:id="146"/>
    </w:p>
    <w:p w14:paraId="59E41382">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480"/>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6"/>
          <w:sz w:val="24"/>
          <w:szCs w:val="24"/>
          <w:highlight w:val="none"/>
        </w:rPr>
        <w:t>岳阳县境地势自东北幕阜山余脉向西南的东洞庭湖呈降阶梯状倾斜，山地、丘陵、</w:t>
      </w:r>
      <w:r>
        <w:rPr>
          <w:rFonts w:hint="default" w:ascii="Times New Roman" w:hAnsi="Times New Roman" w:eastAsia="宋体" w:cs="Times New Roman"/>
          <w:spacing w:val="9"/>
          <w:sz w:val="24"/>
          <w:szCs w:val="24"/>
          <w:highlight w:val="none"/>
        </w:rPr>
        <w:t xml:space="preserve"> </w:t>
      </w:r>
      <w:r>
        <w:rPr>
          <w:rFonts w:hint="default" w:ascii="Times New Roman" w:hAnsi="Times New Roman" w:eastAsia="宋体" w:cs="Times New Roman"/>
          <w:spacing w:val="-2"/>
          <w:sz w:val="24"/>
          <w:szCs w:val="24"/>
          <w:highlight w:val="none"/>
        </w:rPr>
        <w:t>岗地、平原、水面比例大致可分为</w:t>
      </w:r>
      <w:r>
        <w:rPr>
          <w:rFonts w:hint="default" w:ascii="Times New Roman" w:hAnsi="Times New Roman" w:eastAsia="宋体" w:cs="Times New Roman"/>
          <w:spacing w:val="-15"/>
          <w:sz w:val="24"/>
          <w:szCs w:val="24"/>
          <w:highlight w:val="none"/>
        </w:rPr>
        <w:t xml:space="preserve"> </w:t>
      </w:r>
      <w:r>
        <w:rPr>
          <w:rFonts w:hint="default" w:ascii="Times New Roman" w:hAnsi="Times New Roman" w:eastAsia="宋体" w:cs="Times New Roman"/>
          <w:spacing w:val="-2"/>
          <w:sz w:val="24"/>
          <w:szCs w:val="24"/>
          <w:highlight w:val="none"/>
        </w:rPr>
        <w:t>12:11:24:3:40</w:t>
      </w:r>
      <w:r>
        <w:rPr>
          <w:rFonts w:hint="default" w:ascii="Times New Roman" w:hAnsi="Times New Roman" w:eastAsia="宋体" w:cs="Times New Roman"/>
          <w:spacing w:val="-30"/>
          <w:sz w:val="24"/>
          <w:szCs w:val="24"/>
          <w:highlight w:val="none"/>
        </w:rPr>
        <w:t xml:space="preserve"> </w:t>
      </w:r>
      <w:r>
        <w:rPr>
          <w:rFonts w:hint="default" w:ascii="Times New Roman" w:hAnsi="Times New Roman" w:eastAsia="宋体" w:cs="Times New Roman"/>
          <w:spacing w:val="-2"/>
          <w:sz w:val="24"/>
          <w:szCs w:val="24"/>
          <w:highlight w:val="none"/>
        </w:rPr>
        <w:t>。山地主要分布在毛田、月田、张谷</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1"/>
          <w:sz w:val="24"/>
          <w:szCs w:val="24"/>
          <w:highlight w:val="none"/>
        </w:rPr>
        <w:t>英、云山、相思、饶村及公田等乡镇的一部分地方，主要山脉有</w:t>
      </w:r>
      <w:r>
        <w:rPr>
          <w:rFonts w:hint="default" w:ascii="Times New Roman" w:hAnsi="Times New Roman" w:eastAsia="宋体" w:cs="Times New Roman"/>
          <w:spacing w:val="-2"/>
          <w:sz w:val="24"/>
          <w:szCs w:val="24"/>
          <w:highlight w:val="none"/>
        </w:rPr>
        <w:t>相思山、大云山；县</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1"/>
          <w:sz w:val="24"/>
          <w:szCs w:val="24"/>
          <w:highlight w:val="none"/>
        </w:rPr>
        <w:t>境山地形成中低山剥蚀构造地貌，其主要特征：地壳上升幅度大</w:t>
      </w:r>
      <w:r>
        <w:rPr>
          <w:rFonts w:hint="default" w:ascii="Times New Roman" w:hAnsi="Times New Roman" w:eastAsia="宋体" w:cs="Times New Roman"/>
          <w:spacing w:val="-2"/>
          <w:sz w:val="24"/>
          <w:szCs w:val="24"/>
          <w:highlight w:val="none"/>
        </w:rPr>
        <w:t>，浆岩发育、流水下</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1"/>
          <w:sz w:val="24"/>
          <w:szCs w:val="24"/>
          <w:highlight w:val="none"/>
        </w:rPr>
        <w:t>切及风化作用明显，风化厚度不一，土壤呈酸性。丘陵主要分布</w:t>
      </w:r>
      <w:r>
        <w:rPr>
          <w:rFonts w:hint="default" w:ascii="Times New Roman" w:hAnsi="Times New Roman" w:eastAsia="宋体" w:cs="Times New Roman"/>
          <w:spacing w:val="-2"/>
          <w:sz w:val="24"/>
          <w:szCs w:val="24"/>
          <w:highlight w:val="none"/>
        </w:rPr>
        <w:t>在盆地周边或山间山</w:t>
      </w:r>
      <w:r>
        <w:rPr>
          <w:rFonts w:hint="default" w:ascii="Times New Roman" w:hAnsi="Times New Roman" w:eastAsia="宋体" w:cs="Times New Roman"/>
          <w:spacing w:val="-6"/>
          <w:sz w:val="24"/>
          <w:szCs w:val="24"/>
          <w:highlight w:val="none"/>
        </w:rPr>
        <w:t>麓的旁侧，为剥蚀侵蚀地貌；海拔</w:t>
      </w:r>
      <w:r>
        <w:rPr>
          <w:rFonts w:hint="default" w:ascii="Times New Roman" w:hAnsi="Times New Roman" w:eastAsia="宋体" w:cs="Times New Roman"/>
          <w:spacing w:val="-32"/>
          <w:sz w:val="24"/>
          <w:szCs w:val="24"/>
          <w:highlight w:val="none"/>
        </w:rPr>
        <w:t xml:space="preserve"> </w:t>
      </w:r>
      <w:r>
        <w:rPr>
          <w:rFonts w:hint="default" w:ascii="Times New Roman" w:hAnsi="Times New Roman" w:eastAsia="宋体" w:cs="Times New Roman"/>
          <w:spacing w:val="-6"/>
          <w:sz w:val="24"/>
          <w:szCs w:val="24"/>
          <w:highlight w:val="none"/>
        </w:rPr>
        <w:t>100～300m，</w:t>
      </w:r>
      <w:r>
        <w:rPr>
          <w:rFonts w:hint="default" w:ascii="Times New Roman" w:hAnsi="Times New Roman" w:eastAsia="宋体" w:cs="Times New Roman"/>
          <w:spacing w:val="-7"/>
          <w:sz w:val="24"/>
          <w:szCs w:val="24"/>
          <w:highlight w:val="none"/>
        </w:rPr>
        <w:t>坡度</w:t>
      </w:r>
      <w:r>
        <w:rPr>
          <w:rFonts w:hint="default" w:ascii="Times New Roman" w:hAnsi="Times New Roman" w:eastAsia="宋体" w:cs="Times New Roman"/>
          <w:spacing w:val="-48"/>
          <w:sz w:val="24"/>
          <w:szCs w:val="24"/>
          <w:highlight w:val="none"/>
        </w:rPr>
        <w:t xml:space="preserve"> </w:t>
      </w:r>
      <w:r>
        <w:rPr>
          <w:rFonts w:hint="default" w:ascii="Times New Roman" w:hAnsi="Times New Roman" w:eastAsia="宋体" w:cs="Times New Roman"/>
          <w:spacing w:val="-7"/>
          <w:sz w:val="24"/>
          <w:szCs w:val="24"/>
          <w:highlight w:val="none"/>
        </w:rPr>
        <w:t>5~25°</w:t>
      </w:r>
      <w:r>
        <w:rPr>
          <w:rFonts w:hint="default" w:ascii="Times New Roman" w:hAnsi="Times New Roman" w:eastAsia="宋体" w:cs="Times New Roman"/>
          <w:spacing w:val="-31"/>
          <w:sz w:val="24"/>
          <w:szCs w:val="24"/>
          <w:highlight w:val="none"/>
        </w:rPr>
        <w:t xml:space="preserve"> </w:t>
      </w:r>
      <w:r>
        <w:rPr>
          <w:rFonts w:hint="default" w:ascii="Times New Roman" w:hAnsi="Times New Roman" w:eastAsia="宋体" w:cs="Times New Roman"/>
          <w:spacing w:val="-7"/>
          <w:sz w:val="24"/>
          <w:szCs w:val="24"/>
          <w:highlight w:val="none"/>
        </w:rPr>
        <w:t>, 切割密度为</w:t>
      </w:r>
      <w:r>
        <w:rPr>
          <w:rFonts w:hint="default" w:ascii="Times New Roman" w:hAnsi="Times New Roman" w:eastAsia="宋体" w:cs="Times New Roman"/>
          <w:spacing w:val="-50"/>
          <w:sz w:val="24"/>
          <w:szCs w:val="24"/>
          <w:highlight w:val="none"/>
        </w:rPr>
        <w:t xml:space="preserve"> </w:t>
      </w:r>
      <w:r>
        <w:rPr>
          <w:rFonts w:hint="default" w:ascii="Times New Roman" w:hAnsi="Times New Roman" w:eastAsia="宋体" w:cs="Times New Roman"/>
          <w:spacing w:val="-7"/>
          <w:sz w:val="24"/>
          <w:szCs w:val="24"/>
          <w:highlight w:val="none"/>
        </w:rPr>
        <w:t>3～7km/km</w:t>
      </w:r>
      <w:r>
        <w:rPr>
          <w:rFonts w:hint="default" w:ascii="Times New Roman" w:hAnsi="Times New Roman" w:eastAsia="宋体" w:cs="Times New Roman"/>
          <w:spacing w:val="-7"/>
          <w:position w:val="8"/>
          <w:sz w:val="24"/>
          <w:szCs w:val="24"/>
          <w:highlight w:val="none"/>
          <w:vertAlign w:val="superscript"/>
        </w:rPr>
        <w:t>2</w:t>
      </w:r>
      <w:r>
        <w:rPr>
          <w:rFonts w:hint="default" w:ascii="Times New Roman" w:hAnsi="Times New Roman" w:eastAsia="宋体" w:cs="Times New Roman"/>
          <w:spacing w:val="-7"/>
          <w:sz w:val="24"/>
          <w:szCs w:val="24"/>
          <w:highlight w:val="none"/>
        </w:rPr>
        <w:t>，</w:t>
      </w:r>
      <w:r>
        <w:rPr>
          <w:rFonts w:hint="default" w:ascii="Times New Roman" w:hAnsi="Times New Roman" w:eastAsia="宋体" w:cs="Times New Roman"/>
          <w:spacing w:val="-2"/>
          <w:sz w:val="24"/>
          <w:szCs w:val="24"/>
          <w:highlight w:val="none"/>
        </w:rPr>
        <w:t>分低丘陵、高丘陵</w:t>
      </w:r>
      <w:r>
        <w:rPr>
          <w:rFonts w:hint="default" w:ascii="Times New Roman" w:hAnsi="Times New Roman" w:eastAsia="宋体" w:cs="Times New Roman"/>
          <w:spacing w:val="-55"/>
          <w:sz w:val="24"/>
          <w:szCs w:val="24"/>
          <w:highlight w:val="none"/>
        </w:rPr>
        <w:t xml:space="preserve"> </w:t>
      </w:r>
      <w:r>
        <w:rPr>
          <w:rFonts w:hint="default" w:ascii="Times New Roman" w:hAnsi="Times New Roman" w:eastAsia="宋体" w:cs="Times New Roman"/>
          <w:spacing w:val="-2"/>
          <w:sz w:val="24"/>
          <w:szCs w:val="24"/>
          <w:highlight w:val="none"/>
        </w:rPr>
        <w:t>2 个亚类，分别占丘陵面</w:t>
      </w:r>
      <w:r>
        <w:rPr>
          <w:rFonts w:hint="default" w:ascii="Times New Roman" w:hAnsi="Times New Roman" w:eastAsia="宋体" w:cs="Times New Roman"/>
          <w:spacing w:val="-3"/>
          <w:sz w:val="24"/>
          <w:szCs w:val="24"/>
          <w:highlight w:val="none"/>
        </w:rPr>
        <w:t>积</w:t>
      </w:r>
      <w:r>
        <w:rPr>
          <w:rFonts w:hint="default" w:ascii="Times New Roman" w:hAnsi="Times New Roman" w:eastAsia="宋体" w:cs="Times New Roman"/>
          <w:spacing w:val="-51"/>
          <w:sz w:val="24"/>
          <w:szCs w:val="24"/>
          <w:highlight w:val="none"/>
        </w:rPr>
        <w:t xml:space="preserve"> </w:t>
      </w:r>
      <w:r>
        <w:rPr>
          <w:rFonts w:hint="default" w:ascii="Times New Roman" w:hAnsi="Times New Roman" w:eastAsia="宋体" w:cs="Times New Roman"/>
          <w:spacing w:val="-3"/>
          <w:sz w:val="24"/>
          <w:szCs w:val="24"/>
          <w:highlight w:val="none"/>
        </w:rPr>
        <w:t>76%</w:t>
      </w:r>
      <w:r>
        <w:rPr>
          <w:rFonts w:hint="default" w:ascii="Times New Roman" w:hAnsi="Times New Roman" w:eastAsia="宋体" w:cs="Times New Roman"/>
          <w:spacing w:val="-32"/>
          <w:sz w:val="24"/>
          <w:szCs w:val="24"/>
          <w:highlight w:val="none"/>
        </w:rPr>
        <w:t xml:space="preserve"> </w:t>
      </w:r>
      <w:r>
        <w:rPr>
          <w:rFonts w:hint="default" w:ascii="Times New Roman" w:hAnsi="Times New Roman" w:eastAsia="宋体" w:cs="Times New Roman"/>
          <w:spacing w:val="-3"/>
          <w:sz w:val="24"/>
          <w:szCs w:val="24"/>
          <w:highlight w:val="none"/>
        </w:rPr>
        <w:t>、24%</w:t>
      </w:r>
      <w:r>
        <w:rPr>
          <w:rFonts w:hint="default" w:ascii="Times New Roman" w:hAnsi="Times New Roman" w:eastAsia="宋体" w:cs="Times New Roman"/>
          <w:spacing w:val="-28"/>
          <w:sz w:val="24"/>
          <w:szCs w:val="24"/>
          <w:highlight w:val="none"/>
        </w:rPr>
        <w:t xml:space="preserve"> </w:t>
      </w:r>
      <w:r>
        <w:rPr>
          <w:rFonts w:hint="default" w:ascii="Times New Roman" w:hAnsi="Times New Roman" w:eastAsia="宋体" w:cs="Times New Roman"/>
          <w:spacing w:val="-3"/>
          <w:sz w:val="24"/>
          <w:szCs w:val="24"/>
          <w:highlight w:val="none"/>
        </w:rPr>
        <w:t>。岗地主要分布于东洞庭湖</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4"/>
          <w:sz w:val="24"/>
          <w:szCs w:val="24"/>
          <w:highlight w:val="none"/>
        </w:rPr>
        <w:t>东岸的麻塘镇、城关镇、黄沙街镇及新墙河两岸，海拔40～100m，坡度</w:t>
      </w:r>
      <w:r>
        <w:rPr>
          <w:rFonts w:hint="default" w:ascii="Times New Roman" w:hAnsi="Times New Roman" w:eastAsia="宋体" w:cs="Times New Roman"/>
          <w:spacing w:val="-33"/>
          <w:sz w:val="24"/>
          <w:szCs w:val="24"/>
          <w:highlight w:val="none"/>
        </w:rPr>
        <w:t xml:space="preserve"> </w:t>
      </w:r>
      <w:r>
        <w:rPr>
          <w:rFonts w:hint="default" w:ascii="Times New Roman" w:hAnsi="Times New Roman" w:eastAsia="宋体" w:cs="Times New Roman"/>
          <w:spacing w:val="-4"/>
          <w:sz w:val="24"/>
          <w:szCs w:val="24"/>
          <w:highlight w:val="none"/>
        </w:rPr>
        <w:t>5~</w:t>
      </w:r>
      <w:r>
        <w:rPr>
          <w:rFonts w:hint="default" w:ascii="Times New Roman" w:hAnsi="Times New Roman" w:eastAsia="宋体" w:cs="Times New Roman"/>
          <w:spacing w:val="-32"/>
          <w:sz w:val="24"/>
          <w:szCs w:val="24"/>
          <w:highlight w:val="none"/>
        </w:rPr>
        <w:t xml:space="preserve"> </w:t>
      </w:r>
      <w:r>
        <w:rPr>
          <w:rFonts w:hint="default" w:ascii="Times New Roman" w:hAnsi="Times New Roman" w:eastAsia="宋体" w:cs="Times New Roman"/>
          <w:spacing w:val="-4"/>
          <w:sz w:val="24"/>
          <w:szCs w:val="24"/>
          <w:highlight w:val="none"/>
        </w:rPr>
        <w:t>15°</w:t>
      </w:r>
      <w:r>
        <w:rPr>
          <w:rFonts w:hint="default" w:ascii="Times New Roman" w:hAnsi="Times New Roman" w:eastAsia="宋体" w:cs="Times New Roman"/>
          <w:spacing w:val="-31"/>
          <w:sz w:val="24"/>
          <w:szCs w:val="24"/>
          <w:highlight w:val="none"/>
        </w:rPr>
        <w:t xml:space="preserve"> </w:t>
      </w:r>
      <w:r>
        <w:rPr>
          <w:rFonts w:hint="eastAsia" w:ascii="Times New Roman" w:hAnsi="Times New Roman" w:eastAsia="宋体" w:cs="Times New Roman"/>
          <w:spacing w:val="-31"/>
          <w:sz w:val="24"/>
          <w:szCs w:val="24"/>
          <w:highlight w:val="none"/>
          <w:lang w:eastAsia="zh-CN"/>
        </w:rPr>
        <w:t>，</w:t>
      </w:r>
      <w:r>
        <w:rPr>
          <w:rFonts w:hint="default" w:ascii="Times New Roman" w:hAnsi="Times New Roman" w:eastAsia="宋体" w:cs="Times New Roman"/>
          <w:spacing w:val="-4"/>
          <w:sz w:val="24"/>
          <w:szCs w:val="24"/>
          <w:highlight w:val="none"/>
        </w:rPr>
        <w:t>切割</w:t>
      </w:r>
      <w:r>
        <w:rPr>
          <w:rFonts w:hint="default" w:ascii="Times New Roman" w:hAnsi="Times New Roman" w:eastAsia="宋体" w:cs="Times New Roman"/>
          <w:spacing w:val="1"/>
          <w:sz w:val="24"/>
          <w:szCs w:val="24"/>
          <w:highlight w:val="none"/>
        </w:rPr>
        <w:t>密度3～6</w:t>
      </w:r>
      <w:r>
        <w:rPr>
          <w:rFonts w:hint="default" w:ascii="Times New Roman" w:hAnsi="Times New Roman" w:eastAsia="宋体" w:cs="Times New Roman"/>
          <w:sz w:val="24"/>
          <w:szCs w:val="24"/>
          <w:highlight w:val="none"/>
        </w:rPr>
        <w:t>km</w:t>
      </w: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z w:val="24"/>
          <w:szCs w:val="24"/>
          <w:highlight w:val="none"/>
        </w:rPr>
        <w:t>km</w:t>
      </w:r>
      <w:r>
        <w:rPr>
          <w:rFonts w:hint="default" w:ascii="Times New Roman" w:hAnsi="Times New Roman" w:eastAsia="宋体" w:cs="Times New Roman"/>
          <w:spacing w:val="1"/>
          <w:position w:val="8"/>
          <w:sz w:val="24"/>
          <w:szCs w:val="24"/>
          <w:highlight w:val="none"/>
          <w:vertAlign w:val="superscript"/>
        </w:rPr>
        <w:t>2</w:t>
      </w:r>
      <w:r>
        <w:rPr>
          <w:rFonts w:hint="default" w:ascii="Times New Roman" w:hAnsi="Times New Roman" w:eastAsia="宋体" w:cs="Times New Roman"/>
          <w:spacing w:val="-8"/>
          <w:position w:val="8"/>
          <w:sz w:val="24"/>
          <w:szCs w:val="24"/>
          <w:highlight w:val="none"/>
        </w:rPr>
        <w:t xml:space="preserve"> </w:t>
      </w:r>
      <w:r>
        <w:rPr>
          <w:rFonts w:hint="default" w:ascii="Times New Roman" w:hAnsi="Times New Roman" w:eastAsia="宋体" w:cs="Times New Roman"/>
          <w:spacing w:val="1"/>
          <w:sz w:val="24"/>
          <w:szCs w:val="24"/>
          <w:highlight w:val="none"/>
        </w:rPr>
        <w:t>；成因类型为不同时期的湖积、河</w:t>
      </w:r>
      <w:r>
        <w:rPr>
          <w:rFonts w:hint="default" w:ascii="Times New Roman" w:hAnsi="Times New Roman" w:eastAsia="宋体" w:cs="Times New Roman"/>
          <w:sz w:val="24"/>
          <w:szCs w:val="24"/>
          <w:highlight w:val="none"/>
        </w:rPr>
        <w:t>流阶地或山前洪积群，面积大，</w:t>
      </w:r>
      <w:r>
        <w:rPr>
          <w:rFonts w:hint="default" w:ascii="Times New Roman" w:hAnsi="Times New Roman" w:eastAsia="宋体" w:cs="Times New Roman"/>
          <w:spacing w:val="-1"/>
          <w:sz w:val="24"/>
          <w:szCs w:val="24"/>
          <w:highlight w:val="none"/>
        </w:rPr>
        <w:t>分布成片，构成岳阳县主导地貌类型。平原主要分布在</w:t>
      </w:r>
      <w:r>
        <w:rPr>
          <w:rFonts w:hint="default" w:ascii="Times New Roman" w:hAnsi="Times New Roman" w:eastAsia="宋体" w:cs="Times New Roman"/>
          <w:spacing w:val="-2"/>
          <w:sz w:val="24"/>
          <w:szCs w:val="24"/>
          <w:highlight w:val="none"/>
        </w:rPr>
        <w:t>筻口、新墙、公田、鹿角、麻</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1"/>
          <w:sz w:val="24"/>
          <w:szCs w:val="24"/>
          <w:highlight w:val="none"/>
        </w:rPr>
        <w:t>塘、中洲、城关等乡镇，分为溪谷冲积平原、江河冲积平</w:t>
      </w:r>
      <w:r>
        <w:rPr>
          <w:rFonts w:hint="default" w:ascii="Times New Roman" w:hAnsi="Times New Roman" w:eastAsia="宋体" w:cs="Times New Roman"/>
          <w:spacing w:val="-2"/>
          <w:sz w:val="24"/>
          <w:szCs w:val="24"/>
          <w:highlight w:val="none"/>
        </w:rPr>
        <w:t>原</w:t>
      </w:r>
      <w:r>
        <w:rPr>
          <w:rFonts w:hint="default" w:ascii="Times New Roman" w:hAnsi="Times New Roman" w:eastAsia="宋体" w:cs="Times New Roman"/>
          <w:spacing w:val="-55"/>
          <w:sz w:val="24"/>
          <w:szCs w:val="24"/>
          <w:highlight w:val="none"/>
        </w:rPr>
        <w:t xml:space="preserve"> </w:t>
      </w:r>
      <w:r>
        <w:rPr>
          <w:rFonts w:hint="default" w:ascii="Times New Roman" w:hAnsi="Times New Roman" w:eastAsia="宋体" w:cs="Times New Roman"/>
          <w:spacing w:val="-2"/>
          <w:sz w:val="24"/>
          <w:szCs w:val="24"/>
          <w:highlight w:val="none"/>
        </w:rPr>
        <w:t>2 个亚类，分别占平原面</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5"/>
          <w:sz w:val="24"/>
          <w:szCs w:val="24"/>
          <w:highlight w:val="none"/>
        </w:rPr>
        <w:t>积的</w:t>
      </w:r>
      <w:r>
        <w:rPr>
          <w:rFonts w:hint="default" w:ascii="Times New Roman" w:hAnsi="Times New Roman" w:eastAsia="宋体" w:cs="Times New Roman"/>
          <w:spacing w:val="-54"/>
          <w:sz w:val="24"/>
          <w:szCs w:val="24"/>
          <w:highlight w:val="none"/>
        </w:rPr>
        <w:t xml:space="preserve"> </w:t>
      </w:r>
      <w:r>
        <w:rPr>
          <w:rFonts w:hint="default" w:ascii="Times New Roman" w:hAnsi="Times New Roman" w:eastAsia="宋体" w:cs="Times New Roman"/>
          <w:spacing w:val="-5"/>
          <w:sz w:val="24"/>
          <w:szCs w:val="24"/>
          <w:highlight w:val="none"/>
        </w:rPr>
        <w:t>21.2%、78.8%。区域地势东高西低，呈阶梯状分</w:t>
      </w:r>
      <w:r>
        <w:rPr>
          <w:rFonts w:hint="default" w:ascii="Times New Roman" w:hAnsi="Times New Roman" w:eastAsia="宋体" w:cs="Times New Roman"/>
          <w:spacing w:val="-6"/>
          <w:sz w:val="24"/>
          <w:szCs w:val="24"/>
          <w:highlight w:val="none"/>
        </w:rPr>
        <w:t>布。东部山区以海拔高度在</w:t>
      </w:r>
      <w:r>
        <w:rPr>
          <w:rFonts w:hint="default" w:ascii="Times New Roman" w:hAnsi="Times New Roman" w:eastAsia="宋体" w:cs="Times New Roman"/>
          <w:spacing w:val="-55"/>
          <w:sz w:val="24"/>
          <w:szCs w:val="24"/>
          <w:highlight w:val="none"/>
        </w:rPr>
        <w:t xml:space="preserve"> </w:t>
      </w:r>
      <w:r>
        <w:rPr>
          <w:rFonts w:hint="default" w:ascii="Times New Roman" w:hAnsi="Times New Roman" w:eastAsia="宋体" w:cs="Times New Roman"/>
          <w:spacing w:val="-6"/>
          <w:sz w:val="24"/>
          <w:szCs w:val="24"/>
          <w:highlight w:val="none"/>
        </w:rPr>
        <w:t>250~</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2"/>
          <w:sz w:val="24"/>
          <w:szCs w:val="24"/>
          <w:highlight w:val="none"/>
        </w:rPr>
        <w:t>950m的山地为主，最高峰相思山主峰海拔</w:t>
      </w:r>
      <w:r>
        <w:rPr>
          <w:rFonts w:hint="default" w:ascii="Times New Roman" w:hAnsi="Times New Roman" w:eastAsia="宋体" w:cs="Times New Roman"/>
          <w:spacing w:val="-51"/>
          <w:sz w:val="24"/>
          <w:szCs w:val="24"/>
          <w:highlight w:val="none"/>
        </w:rPr>
        <w:t xml:space="preserve"> </w:t>
      </w:r>
      <w:r>
        <w:rPr>
          <w:rFonts w:hint="default" w:ascii="Times New Roman" w:hAnsi="Times New Roman" w:eastAsia="宋体" w:cs="Times New Roman"/>
          <w:spacing w:val="-2"/>
          <w:sz w:val="24"/>
          <w:szCs w:val="24"/>
          <w:highlight w:val="none"/>
        </w:rPr>
        <w:t>975.2m</w:t>
      </w:r>
      <w:r>
        <w:rPr>
          <w:rFonts w:hint="default" w:ascii="Times New Roman" w:hAnsi="Times New Roman" w:eastAsia="宋体" w:cs="Times New Roman"/>
          <w:spacing w:val="-30"/>
          <w:sz w:val="24"/>
          <w:szCs w:val="24"/>
          <w:highlight w:val="none"/>
        </w:rPr>
        <w:t xml:space="preserve"> </w:t>
      </w:r>
      <w:r>
        <w:rPr>
          <w:rFonts w:hint="default" w:ascii="Times New Roman" w:hAnsi="Times New Roman" w:eastAsia="宋体" w:cs="Times New Roman"/>
          <w:spacing w:val="-2"/>
          <w:sz w:val="24"/>
          <w:szCs w:val="24"/>
          <w:highlight w:val="none"/>
        </w:rPr>
        <w:t>，主要为花岗岩和板页岩，地形结</w:t>
      </w:r>
      <w:r>
        <w:rPr>
          <w:rFonts w:hint="default" w:ascii="Times New Roman" w:hAnsi="Times New Roman" w:eastAsia="宋体" w:cs="Times New Roman"/>
          <w:spacing w:val="-4"/>
          <w:sz w:val="24"/>
          <w:szCs w:val="24"/>
          <w:highlight w:val="none"/>
        </w:rPr>
        <w:t>构奇特。中部丘岗区海拔高度在</w:t>
      </w:r>
      <w:r>
        <w:rPr>
          <w:rFonts w:hint="default" w:ascii="Times New Roman" w:hAnsi="Times New Roman" w:eastAsia="宋体" w:cs="Times New Roman"/>
          <w:spacing w:val="-48"/>
          <w:sz w:val="24"/>
          <w:szCs w:val="24"/>
          <w:highlight w:val="none"/>
        </w:rPr>
        <w:t xml:space="preserve"> </w:t>
      </w:r>
      <w:r>
        <w:rPr>
          <w:rFonts w:hint="default" w:ascii="Times New Roman" w:hAnsi="Times New Roman" w:eastAsia="宋体" w:cs="Times New Roman"/>
          <w:spacing w:val="-4"/>
          <w:sz w:val="24"/>
          <w:szCs w:val="24"/>
          <w:highlight w:val="none"/>
        </w:rPr>
        <w:t>50～300m 之间，主要由第四纪红色粘土、紫色砂岩、</w:t>
      </w:r>
      <w:r>
        <w:rPr>
          <w:rFonts w:hint="default" w:ascii="Times New Roman" w:hAnsi="Times New Roman" w:eastAsia="宋体" w:cs="Times New Roman"/>
          <w:spacing w:val="-2"/>
          <w:sz w:val="24"/>
          <w:szCs w:val="24"/>
          <w:highlight w:val="none"/>
        </w:rPr>
        <w:t>变质及轻质板页岩和河流冲积物形成。西部滨湖区海拔一般不超过</w:t>
      </w:r>
      <w:r>
        <w:rPr>
          <w:rFonts w:hint="default" w:ascii="Times New Roman" w:hAnsi="Times New Roman" w:eastAsia="宋体" w:cs="Times New Roman"/>
          <w:spacing w:val="-37"/>
          <w:sz w:val="24"/>
          <w:szCs w:val="24"/>
          <w:highlight w:val="none"/>
        </w:rPr>
        <w:t xml:space="preserve"> </w:t>
      </w:r>
      <w:r>
        <w:rPr>
          <w:rFonts w:hint="default" w:ascii="Times New Roman" w:hAnsi="Times New Roman" w:eastAsia="宋体" w:cs="Times New Roman"/>
          <w:spacing w:val="-2"/>
          <w:sz w:val="24"/>
          <w:szCs w:val="24"/>
          <w:highlight w:val="none"/>
        </w:rPr>
        <w:t>50m，主要由洞庭</w:t>
      </w:r>
      <w:r>
        <w:rPr>
          <w:rFonts w:hint="default" w:ascii="Times New Roman" w:hAnsi="Times New Roman" w:eastAsia="宋体" w:cs="Times New Roman"/>
          <w:spacing w:val="-1"/>
          <w:sz w:val="24"/>
          <w:szCs w:val="24"/>
          <w:highlight w:val="none"/>
        </w:rPr>
        <w:t>湖及</w:t>
      </w:r>
      <w:r>
        <w:rPr>
          <w:rFonts w:hint="default" w:ascii="Times New Roman" w:hAnsi="Times New Roman" w:eastAsia="宋体" w:cs="Times New Roman"/>
          <w:spacing w:val="-2"/>
          <w:sz w:val="24"/>
          <w:szCs w:val="24"/>
          <w:highlight w:val="none"/>
        </w:rPr>
        <w:t>其冲积物发育而成。</w:t>
      </w:r>
    </w:p>
    <w:p w14:paraId="5E44AFDB">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岳阳县处新华夏系巨型第二沉降的次一级隆起带。元古代震旦系前雪峰运动形成江南古褶皱带，古生代为海水淹没；中生代初期湖南造山运动，海水全部退出</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中生代末期燕山运动，江南古褶皱带中段发生断裂，县境东、北部隆起，接受剥蚀，中、南、西部下陷为洼地，形成洞庭湖，使雪峰山脉与幕阜山脉因湖区断陷而相隔离，形成新华夏体系。新生代喜马拉雅运动，县境中、南断陷盆地相继上升，西部继续下陷，发育为第四系松散堆积物。据《中国地震动参数区划图》，岳阳县荣家湾镇、麻 塘镇、鹿角镇、黄沙街镇的地震动峰值加速度为 0.10，地震动反应谱特征周期为 0.35， 其余乡镇的地震动峰值加速度为 0.05，地震动反应谱特征周期为0.35</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分别对应地震基本烈度值Ⅶ 、Ⅵ度区。当地地质概况从上往下为：</w:t>
      </w:r>
    </w:p>
    <w:p w14:paraId="7F72FEB0">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素填土层：成分为块石混粘性土，块石含量40%～50% ，在地表下 2m 范围内普遍分布为钢筋混凝土层。素填土层层厚 3.3～7. 1m 不等。</w:t>
      </w:r>
    </w:p>
    <w:p w14:paraId="688F48FA">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淤泥质粉质粘土层：灰黑色、湿、软塑－可塑状态，层厚为 0.5～1.0m。</w:t>
      </w:r>
    </w:p>
    <w:p w14:paraId="0A7A72B5">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砾质粘性土层：粉质粘土，层厚为 0.8～1.2m。</w:t>
      </w:r>
    </w:p>
    <w:p w14:paraId="0967F8FC">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千枚岩层：强风化千枚岩，厚为 0.5～1.4m；中风化千枚岩，厚为 1.7～5.6m。</w:t>
      </w:r>
    </w:p>
    <w:p w14:paraId="54FF3891">
      <w:pPr>
        <w:pStyle w:val="7"/>
        <w:pageBreakBefore w:val="0"/>
        <w:widowControl w:val="0"/>
        <w:kinsoku/>
        <w:wordWrap/>
        <w:overflowPunct/>
        <w:topLinePunct w:val="0"/>
        <w:autoSpaceDE/>
        <w:autoSpaceDN/>
        <w:bidi w:val="0"/>
        <w:adjustRightInd/>
        <w:snapToGrid/>
        <w:spacing w:afterAutospacing="0"/>
        <w:textAlignment w:val="auto"/>
        <w:rPr>
          <w:rFonts w:hint="eastAsia" w:ascii="Times New Roman" w:hAnsi="Times New Roman" w:cs="Times New Roman"/>
          <w:highlight w:val="none"/>
          <w:lang w:val="en-US" w:eastAsia="zh-CN"/>
        </w:rPr>
      </w:pPr>
      <w:bookmarkStart w:id="147" w:name="_Toc19171"/>
      <w:r>
        <w:rPr>
          <w:rFonts w:hint="eastAsia" w:ascii="Times New Roman" w:hAnsi="Times New Roman" w:cs="Times New Roman"/>
          <w:highlight w:val="none"/>
          <w:lang w:val="en-US" w:eastAsia="zh-CN"/>
        </w:rPr>
        <w:t>5.1.3 气象气候</w:t>
      </w:r>
      <w:bookmarkEnd w:id="147"/>
    </w:p>
    <w:p w14:paraId="4470EEA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岳阳县属亚热带季风湿润性气候，具有雨量充沛、气候温和、日照充足、四季分明、暑热期长、严寒期短的特点。岳阳县气象站位于荣家湾，于1986 年设立，次年 1 月 1 日开始观测至今。根据其至今的年实测资料统计，多年平均日照时间在1813.8 小时，多年平均无霜期 277 天，多年均气温 16.8℃ , 最高气温 39.3℃ , 最低气温-11.8℃。</w:t>
      </w:r>
    </w:p>
    <w:p w14:paraId="465E79F4">
      <w:pPr>
        <w:pStyle w:val="2"/>
        <w:keepNext w:val="0"/>
        <w:keepLines w:val="0"/>
        <w:pageBreakBefore w:val="0"/>
        <w:widowControl/>
        <w:kinsoku/>
        <w:wordWrap/>
        <w:overflowPunct/>
        <w:topLinePunct w:val="0"/>
        <w:autoSpaceDE/>
        <w:autoSpaceDN/>
        <w:bidi w:val="0"/>
        <w:adjustRightInd/>
        <w:snapToGrid w:val="0"/>
        <w:spacing w:before="0" w:after="0" w:line="360" w:lineRule="auto"/>
        <w:ind w:right="0" w:firstLine="3"/>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根据实测降雨资料统计，多年平均年降水量为 1316.26mm ，最大一日降水量为 208.00mm（1983 年 7 月 8  日）。1967 年实测降水量 1530.6mm，为历年最大值，1968 年实测降水 787.4mm ，为历年最小值。本流域形成暴雨的主要天气系统是梅雨峰系和山地地形雨，暴雨在4～8 月都可能发生，大暴雨多集中在6～8 月，暴雨持续时间一般为 1～3 天。雨量分布受地形影响随高程降低而呈递减趋势。多年平均年蒸发量为 1247. 1mm 。蒸发与气温关系密切，6～8 月气温高，蒸发量大，多年平均月蒸发量最大在 7 月份，达 214.8mm。年主导风向 NNE，平均风速 2.9m/s，年最大风速 28m/s。</w:t>
      </w:r>
    </w:p>
    <w:p w14:paraId="54FC4520">
      <w:pPr>
        <w:pStyle w:val="7"/>
        <w:pageBreakBefore w:val="0"/>
        <w:widowControl w:val="0"/>
        <w:kinsoku/>
        <w:wordWrap/>
        <w:overflowPunct/>
        <w:topLinePunct w:val="0"/>
        <w:autoSpaceDE/>
        <w:autoSpaceDN/>
        <w:bidi w:val="0"/>
        <w:adjustRightInd/>
        <w:snapToGrid/>
        <w:spacing w:afterAutospacing="0" w:line="360" w:lineRule="auto"/>
        <w:textAlignment w:val="auto"/>
        <w:rPr>
          <w:rFonts w:hint="eastAsia"/>
          <w:highlight w:val="none"/>
          <w:lang w:val="en-US" w:eastAsia="zh-CN"/>
        </w:rPr>
      </w:pPr>
      <w:bookmarkStart w:id="148" w:name="_Toc16276"/>
      <w:r>
        <w:rPr>
          <w:rFonts w:hint="eastAsia"/>
          <w:highlight w:val="none"/>
          <w:lang w:val="en-US" w:eastAsia="zh-CN"/>
        </w:rPr>
        <w:t>5.1.4 水文</w:t>
      </w:r>
      <w:bookmarkEnd w:id="148"/>
    </w:p>
    <w:p w14:paraId="7E75A3EE">
      <w:pPr>
        <w:pStyle w:val="9"/>
        <w:pageBreakBefore w:val="0"/>
        <w:kinsoku/>
        <w:wordWrap/>
        <w:overflowPunct/>
        <w:topLinePunct w:val="0"/>
        <w:autoSpaceDE/>
        <w:autoSpaceDN/>
        <w:bidi w:val="0"/>
        <w:adjustRightInd/>
        <w:spacing w:beforeLines="0" w:afterLines="0" w:line="360" w:lineRule="auto"/>
        <w:textAlignment w:val="auto"/>
        <w:rPr>
          <w:rFonts w:hint="eastAsia" w:ascii="Times New Roman" w:hAnsi="Times New Roman" w:eastAsia="宋体" w:cs="Times New Roman"/>
          <w:b/>
          <w:bCs/>
          <w:sz w:val="24"/>
          <w:szCs w:val="24"/>
          <w:highlight w:val="none"/>
          <w:lang w:val="en-US" w:eastAsia="zh-CN"/>
        </w:rPr>
      </w:pPr>
      <w:r>
        <w:rPr>
          <w:rFonts w:hint="eastAsia"/>
          <w:highlight w:val="none"/>
          <w:lang w:val="en-US" w:eastAsia="zh-CN"/>
        </w:rPr>
        <w:t>5</w:t>
      </w:r>
      <w:r>
        <w:rPr>
          <w:highlight w:val="none"/>
        </w:rPr>
        <w:t>.1.4.1</w:t>
      </w:r>
      <w:r>
        <w:rPr>
          <w:rFonts w:hint="eastAsia"/>
          <w:highlight w:val="none"/>
          <w:lang w:val="en-US" w:eastAsia="zh-CN"/>
        </w:rPr>
        <w:t xml:space="preserve"> </w:t>
      </w:r>
      <w:r>
        <w:rPr>
          <w:highlight w:val="none"/>
        </w:rPr>
        <w:t>地表水</w:t>
      </w:r>
    </w:p>
    <w:p w14:paraId="620A118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Chars="0" w:firstLine="480" w:firstLineChars="200"/>
        <w:jc w:val="both"/>
        <w:textAlignment w:val="auto"/>
        <w:outlineLvl w:val="9"/>
        <w:rPr>
          <w:rFonts w:hint="eastAsia" w:ascii="Times New Roman" w:hAnsi="Times New Roman" w:eastAsia="宋体" w:cs="Times New Roman"/>
          <w:b w:val="0"/>
          <w:bCs w:val="0"/>
          <w:i w:val="0"/>
          <w:iCs w:val="0"/>
          <w:caps w:val="0"/>
          <w:spacing w:val="0"/>
          <w:sz w:val="24"/>
          <w:szCs w:val="24"/>
          <w:highlight w:val="none"/>
          <w:shd w:val="clear" w:fill="FFFFFF"/>
          <w:lang w:eastAsia="zh-CN"/>
        </w:rPr>
      </w:pPr>
      <w:r>
        <w:rPr>
          <w:rFonts w:hint="eastAsia" w:ascii="Times New Roman" w:hAnsi="Times New Roman" w:eastAsia="宋体" w:cs="Times New Roman"/>
          <w:b w:val="0"/>
          <w:bCs w:val="0"/>
          <w:i w:val="0"/>
          <w:iCs w:val="0"/>
          <w:caps w:val="0"/>
          <w:spacing w:val="0"/>
          <w:sz w:val="24"/>
          <w:szCs w:val="24"/>
          <w:highlight w:val="none"/>
          <w:shd w:val="clear" w:fill="FFFFFF"/>
          <w:lang w:eastAsia="zh-CN"/>
        </w:rPr>
        <w:t>岳阳县境主要河流有流向东洞庭湖的新墙河、费家河、坪桥河、铜鼓河，有直入南洞庭湖的罗水河。</w:t>
      </w:r>
    </w:p>
    <w:p w14:paraId="3191EDA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Chars="0" w:firstLine="480" w:firstLineChars="200"/>
        <w:jc w:val="both"/>
        <w:textAlignment w:val="auto"/>
        <w:outlineLvl w:val="9"/>
        <w:rPr>
          <w:rFonts w:hint="eastAsia" w:ascii="Times New Roman" w:hAnsi="Times New Roman" w:eastAsia="宋体" w:cs="Times New Roman"/>
          <w:b w:val="0"/>
          <w:bCs w:val="0"/>
          <w:i w:val="0"/>
          <w:iCs w:val="0"/>
          <w:caps w:val="0"/>
          <w:spacing w:val="0"/>
          <w:sz w:val="24"/>
          <w:szCs w:val="24"/>
          <w:highlight w:val="none"/>
          <w:shd w:val="clear" w:fill="FFFFFF"/>
          <w:lang w:eastAsia="zh-CN"/>
        </w:rPr>
      </w:pPr>
      <w:r>
        <w:rPr>
          <w:rFonts w:hint="eastAsia" w:ascii="Times New Roman" w:hAnsi="Times New Roman" w:eastAsia="宋体" w:cs="Times New Roman"/>
          <w:b w:val="0"/>
          <w:bCs w:val="0"/>
          <w:i w:val="0"/>
          <w:iCs w:val="0"/>
          <w:caps w:val="0"/>
          <w:spacing w:val="0"/>
          <w:sz w:val="24"/>
          <w:szCs w:val="24"/>
          <w:highlight w:val="none"/>
          <w:shd w:val="clear" w:fill="FFFFFF"/>
          <w:lang w:eastAsia="zh-CN"/>
        </w:rPr>
        <w:t>新墙河为洞庭湖一级支流 ，新墙河流域位于北纬</w:t>
      </w:r>
      <w:r>
        <w:rPr>
          <w:rFonts w:hint="default" w:ascii="Times New Roman" w:hAnsi="Times New Roman" w:eastAsia="宋体" w:cs="Times New Roman"/>
          <w:b w:val="0"/>
          <w:bCs w:val="0"/>
          <w:i w:val="0"/>
          <w:iCs w:val="0"/>
          <w:caps w:val="0"/>
          <w:spacing w:val="0"/>
          <w:sz w:val="24"/>
          <w:szCs w:val="24"/>
          <w:highlight w:val="none"/>
          <w:shd w:val="clear" w:fill="FFFFFF"/>
          <w:lang w:eastAsia="zh-CN"/>
        </w:rPr>
        <w:t xml:space="preserve"> 29°00′ ～29°30′ 、 东经 113°00′～113°40′之间。总流域面积 2365.64 km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2</w:t>
      </w:r>
      <w:r>
        <w:rPr>
          <w:rFonts w:hint="default" w:ascii="Times New Roman" w:hAnsi="Times New Roman" w:eastAsia="宋体" w:cs="Times New Roman"/>
          <w:b w:val="0"/>
          <w:bCs w:val="0"/>
          <w:i w:val="0"/>
          <w:iCs w:val="0"/>
          <w:caps w:val="0"/>
          <w:spacing w:val="0"/>
          <w:sz w:val="24"/>
          <w:szCs w:val="24"/>
          <w:highlight w:val="none"/>
          <w:shd w:val="clear" w:fill="FFFFFF"/>
          <w:lang w:eastAsia="zh-CN"/>
        </w:rPr>
        <w:t xml:space="preserve"> ，其中流经县境 1597.64 km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2</w:t>
      </w:r>
      <w:r>
        <w:rPr>
          <w:rFonts w:hint="default" w:ascii="Times New Roman" w:hAnsi="Times New Roman" w:eastAsia="宋体" w:cs="Times New Roman"/>
          <w:b w:val="0"/>
          <w:bCs w:val="0"/>
          <w:i w:val="0"/>
          <w:iCs w:val="0"/>
          <w:caps w:val="0"/>
          <w:spacing w:val="0"/>
          <w:sz w:val="24"/>
          <w:szCs w:val="24"/>
          <w:highlight w:val="none"/>
          <w:shd w:val="clear" w:fill="FFFFFF"/>
          <w:lang w:eastAsia="zh-CN"/>
        </w:rPr>
        <w:t xml:space="preserve"> ，新墙 河县境内干流全长115.40m ，纳入支流 47 条，天然落差 400m ，坡降7. 18‰ ，多年平均流量约 58m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3</w:t>
      </w:r>
      <w:r>
        <w:rPr>
          <w:rFonts w:hint="default" w:ascii="Times New Roman" w:hAnsi="Times New Roman" w:eastAsia="宋体" w:cs="Times New Roman"/>
          <w:b w:val="0"/>
          <w:bCs w:val="0"/>
          <w:i w:val="0"/>
          <w:iCs w:val="0"/>
          <w:caps w:val="0"/>
          <w:spacing w:val="0"/>
          <w:sz w:val="24"/>
          <w:szCs w:val="24"/>
          <w:highlight w:val="none"/>
          <w:shd w:val="clear" w:fill="FFFFFF"/>
          <w:lang w:eastAsia="zh-CN"/>
        </w:rPr>
        <w:t>/s，最枯流量仅 6.0m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3</w:t>
      </w:r>
      <w:r>
        <w:rPr>
          <w:rFonts w:hint="default" w:ascii="Times New Roman" w:hAnsi="Times New Roman" w:eastAsia="宋体" w:cs="Times New Roman"/>
          <w:b w:val="0"/>
          <w:bCs w:val="0"/>
          <w:i w:val="0"/>
          <w:iCs w:val="0"/>
          <w:caps w:val="0"/>
          <w:spacing w:val="0"/>
          <w:sz w:val="24"/>
          <w:szCs w:val="24"/>
          <w:highlight w:val="none"/>
          <w:shd w:val="clear" w:fill="FFFFFF"/>
          <w:lang w:eastAsia="zh-CN"/>
        </w:rPr>
        <w:t>/s。沙港、游港为新墙河两大支流，其中沙港河发源于平江县团山宝贝岭，主要流经板江、月田、铁山口、公田、扬林街，于筻口镇的三港咀汇合游港后流入新墙河主流，流域面积 974.69 km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2</w:t>
      </w:r>
      <w:r>
        <w:rPr>
          <w:rFonts w:hint="default" w:ascii="Times New Roman" w:hAnsi="Times New Roman" w:eastAsia="宋体" w:cs="Times New Roman"/>
          <w:b w:val="0"/>
          <w:bCs w:val="0"/>
          <w:i w:val="0"/>
          <w:iCs w:val="0"/>
          <w:caps w:val="0"/>
          <w:spacing w:val="0"/>
          <w:sz w:val="24"/>
          <w:szCs w:val="24"/>
          <w:highlight w:val="none"/>
          <w:shd w:val="clear" w:fill="FFFFFF"/>
          <w:lang w:eastAsia="zh-CN"/>
        </w:rPr>
        <w:t xml:space="preserve"> ，全长 79.60km</w:t>
      </w:r>
      <w:r>
        <w:rPr>
          <w:rFonts w:hint="eastAsia" w:ascii="Times New Roman" w:hAnsi="Times New Roman" w:eastAsia="宋体" w:cs="Times New Roman"/>
          <w:b w:val="0"/>
          <w:bCs w:val="0"/>
          <w:i w:val="0"/>
          <w:iCs w:val="0"/>
          <w:caps w:val="0"/>
          <w:spacing w:val="0"/>
          <w:sz w:val="24"/>
          <w:szCs w:val="24"/>
          <w:highlight w:val="none"/>
          <w:shd w:val="clear" w:fill="FFFFFF"/>
          <w:lang w:eastAsia="zh-CN"/>
        </w:rPr>
        <w:t>，</w:t>
      </w:r>
      <w:r>
        <w:rPr>
          <w:rFonts w:hint="default" w:ascii="Times New Roman" w:hAnsi="Times New Roman" w:eastAsia="宋体" w:cs="Times New Roman"/>
          <w:b w:val="0"/>
          <w:bCs w:val="0"/>
          <w:i w:val="0"/>
          <w:iCs w:val="0"/>
          <w:caps w:val="0"/>
          <w:spacing w:val="0"/>
          <w:sz w:val="24"/>
          <w:szCs w:val="24"/>
          <w:highlight w:val="none"/>
          <w:shd w:val="clear" w:fill="FFFFFF"/>
          <w:lang w:eastAsia="zh-CN"/>
        </w:rPr>
        <w:t>县境内流域面积 904.64 km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2</w:t>
      </w:r>
      <w:r>
        <w:rPr>
          <w:rFonts w:hint="eastAsia" w:ascii="Times New Roman" w:hAnsi="Times New Roman" w:eastAsia="宋体" w:cs="Times New Roman"/>
          <w:b w:val="0"/>
          <w:bCs w:val="0"/>
          <w:i w:val="0"/>
          <w:iCs w:val="0"/>
          <w:caps w:val="0"/>
          <w:spacing w:val="0"/>
          <w:sz w:val="24"/>
          <w:szCs w:val="24"/>
          <w:highlight w:val="none"/>
          <w:shd w:val="clear" w:fill="FFFFFF"/>
          <w:vertAlign w:val="baseline"/>
          <w:lang w:eastAsia="zh-CN"/>
        </w:rPr>
        <w:t>，</w:t>
      </w:r>
      <w:r>
        <w:rPr>
          <w:rFonts w:hint="default" w:ascii="Times New Roman" w:hAnsi="Times New Roman" w:eastAsia="宋体" w:cs="Times New Roman"/>
          <w:b w:val="0"/>
          <w:bCs w:val="0"/>
          <w:i w:val="0"/>
          <w:iCs w:val="0"/>
          <w:caps w:val="0"/>
          <w:spacing w:val="0"/>
          <w:sz w:val="24"/>
          <w:szCs w:val="24"/>
          <w:highlight w:val="none"/>
          <w:shd w:val="clear" w:fill="FFFFFF"/>
          <w:lang w:eastAsia="zh-CN"/>
        </w:rPr>
        <w:t>长 69.60km</w:t>
      </w:r>
      <w:r>
        <w:rPr>
          <w:rFonts w:hint="eastAsia" w:ascii="Times New Roman" w:hAnsi="Times New Roman" w:eastAsia="宋体" w:cs="Times New Roman"/>
          <w:b w:val="0"/>
          <w:bCs w:val="0"/>
          <w:i w:val="0"/>
          <w:iCs w:val="0"/>
          <w:caps w:val="0"/>
          <w:spacing w:val="0"/>
          <w:sz w:val="24"/>
          <w:szCs w:val="24"/>
          <w:highlight w:val="none"/>
          <w:shd w:val="clear" w:fill="FFFFFF"/>
          <w:lang w:eastAsia="zh-CN"/>
        </w:rPr>
        <w:t>，</w:t>
      </w:r>
      <w:r>
        <w:rPr>
          <w:rFonts w:hint="default" w:ascii="Times New Roman" w:hAnsi="Times New Roman" w:eastAsia="宋体" w:cs="Times New Roman"/>
          <w:b w:val="0"/>
          <w:bCs w:val="0"/>
          <w:i w:val="0"/>
          <w:iCs w:val="0"/>
          <w:caps w:val="0"/>
          <w:spacing w:val="0"/>
          <w:sz w:val="24"/>
          <w:szCs w:val="24"/>
          <w:highlight w:val="none"/>
          <w:shd w:val="clear" w:fill="FFFFFF"/>
          <w:lang w:eastAsia="zh-CN"/>
        </w:rPr>
        <w:t>平均流量 52.60m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3</w:t>
      </w:r>
      <w:r>
        <w:rPr>
          <w:rFonts w:hint="default" w:ascii="Times New Roman" w:hAnsi="Times New Roman" w:eastAsia="宋体" w:cs="Times New Roman"/>
          <w:b w:val="0"/>
          <w:bCs w:val="0"/>
          <w:i w:val="0"/>
          <w:iCs w:val="0"/>
          <w:caps w:val="0"/>
          <w:spacing w:val="0"/>
          <w:sz w:val="24"/>
          <w:szCs w:val="24"/>
          <w:highlight w:val="none"/>
          <w:shd w:val="clear" w:fill="FFFFFF"/>
          <w:lang w:eastAsia="zh-CN"/>
        </w:rPr>
        <w:t>/s ，平均坡降 1.25‰ 。 游港河发源于临湘市龙窖山，由西塘入岳阳县境，经筻口至三港嘴汇入新墙河主流， 流域面积 973km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2</w:t>
      </w:r>
      <w:r>
        <w:rPr>
          <w:rFonts w:hint="default" w:ascii="Times New Roman" w:hAnsi="Times New Roman" w:eastAsia="宋体" w:cs="Times New Roman"/>
          <w:b w:val="0"/>
          <w:bCs w:val="0"/>
          <w:i w:val="0"/>
          <w:iCs w:val="0"/>
          <w:caps w:val="0"/>
          <w:spacing w:val="0"/>
          <w:sz w:val="24"/>
          <w:szCs w:val="24"/>
          <w:highlight w:val="none"/>
          <w:shd w:val="clear" w:fill="FFFFFF"/>
          <w:lang w:eastAsia="zh-CN"/>
        </w:rPr>
        <w:t xml:space="preserve"> ，全长 85.20km ，县境内流域面积 275 km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2</w:t>
      </w:r>
      <w:r>
        <w:rPr>
          <w:rFonts w:hint="default" w:ascii="Times New Roman" w:hAnsi="Times New Roman" w:eastAsia="宋体" w:cs="Times New Roman"/>
          <w:b w:val="0"/>
          <w:bCs w:val="0"/>
          <w:i w:val="0"/>
          <w:iCs w:val="0"/>
          <w:caps w:val="0"/>
          <w:spacing w:val="0"/>
          <w:sz w:val="24"/>
          <w:szCs w:val="24"/>
          <w:highlight w:val="none"/>
          <w:shd w:val="clear" w:fill="FFFFFF"/>
          <w:lang w:eastAsia="zh-CN"/>
        </w:rPr>
        <w:t xml:space="preserve"> ，长 19km ，平均流量 18.49 m</w:t>
      </w:r>
      <w:r>
        <w:rPr>
          <w:rFonts w:hint="default" w:ascii="Times New Roman" w:hAnsi="Times New Roman" w:eastAsia="宋体" w:cs="Times New Roman"/>
          <w:b w:val="0"/>
          <w:bCs w:val="0"/>
          <w:i w:val="0"/>
          <w:iCs w:val="0"/>
          <w:caps w:val="0"/>
          <w:spacing w:val="0"/>
          <w:sz w:val="24"/>
          <w:szCs w:val="24"/>
          <w:highlight w:val="none"/>
          <w:shd w:val="clear" w:fill="FFFFFF"/>
          <w:vertAlign w:val="superscript"/>
          <w:lang w:eastAsia="zh-CN"/>
        </w:rPr>
        <w:t>3</w:t>
      </w:r>
      <w:r>
        <w:rPr>
          <w:rFonts w:hint="default" w:ascii="Times New Roman" w:hAnsi="Times New Roman" w:eastAsia="宋体" w:cs="Times New Roman"/>
          <w:b w:val="0"/>
          <w:bCs w:val="0"/>
          <w:i w:val="0"/>
          <w:iCs w:val="0"/>
          <w:caps w:val="0"/>
          <w:spacing w:val="0"/>
          <w:sz w:val="24"/>
          <w:szCs w:val="24"/>
          <w:highlight w:val="none"/>
          <w:shd w:val="clear" w:fill="FFFFFF"/>
          <w:lang w:eastAsia="zh-CN"/>
        </w:rPr>
        <w:t>/s ，天然落差 715m ，坡降 1.50‰ 。沙港、游港河自三港嘴汇流后经新墙、</w:t>
      </w:r>
      <w:r>
        <w:rPr>
          <w:rFonts w:hint="eastAsia" w:ascii="Times New Roman" w:hAnsi="Times New Roman" w:eastAsia="宋体" w:cs="Times New Roman"/>
          <w:b w:val="0"/>
          <w:bCs w:val="0"/>
          <w:i w:val="0"/>
          <w:iCs w:val="0"/>
          <w:caps w:val="0"/>
          <w:spacing w:val="0"/>
          <w:sz w:val="24"/>
          <w:szCs w:val="24"/>
          <w:highlight w:val="none"/>
          <w:shd w:val="clear" w:fill="FFFFFF"/>
          <w:lang w:eastAsia="zh-CN"/>
        </w:rPr>
        <w:t>荣家湾从破岚口入东洞庭湖，三港嘴至破岚口区间长 26.80km ，区间流域面积 418 km</w:t>
      </w:r>
      <w:r>
        <w:rPr>
          <w:rFonts w:hint="eastAsia" w:ascii="Times New Roman" w:hAnsi="Times New Roman" w:eastAsia="宋体" w:cs="Times New Roman"/>
          <w:b w:val="0"/>
          <w:bCs w:val="0"/>
          <w:i w:val="0"/>
          <w:iCs w:val="0"/>
          <w:caps w:val="0"/>
          <w:spacing w:val="0"/>
          <w:sz w:val="24"/>
          <w:szCs w:val="24"/>
          <w:highlight w:val="none"/>
          <w:shd w:val="clear" w:fill="FFFFFF"/>
          <w:vertAlign w:val="superscript"/>
          <w:lang w:eastAsia="zh-CN"/>
        </w:rPr>
        <w:t>2</w:t>
      </w:r>
      <w:r>
        <w:rPr>
          <w:rFonts w:hint="eastAsia" w:ascii="Times New Roman" w:hAnsi="Times New Roman" w:eastAsia="宋体" w:cs="Times New Roman"/>
          <w:b w:val="0"/>
          <w:bCs w:val="0"/>
          <w:i w:val="0"/>
          <w:iCs w:val="0"/>
          <w:caps w:val="0"/>
          <w:spacing w:val="0"/>
          <w:sz w:val="24"/>
          <w:szCs w:val="24"/>
          <w:highlight w:val="none"/>
          <w:shd w:val="clear" w:fill="FFFFFF"/>
          <w:lang w:eastAsia="zh-CN"/>
        </w:rPr>
        <w:t xml:space="preserve"> ，平均坡降</w:t>
      </w:r>
      <w:r>
        <w:rPr>
          <w:rFonts w:hint="default" w:ascii="Times New Roman" w:hAnsi="Times New Roman" w:eastAsia="宋体" w:cs="Times New Roman"/>
          <w:b w:val="0"/>
          <w:bCs w:val="0"/>
          <w:i w:val="0"/>
          <w:iCs w:val="0"/>
          <w:caps w:val="0"/>
          <w:spacing w:val="0"/>
          <w:sz w:val="24"/>
          <w:szCs w:val="24"/>
          <w:highlight w:val="none"/>
          <w:shd w:val="clear" w:fill="FFFFFF"/>
          <w:lang w:eastAsia="zh-CN"/>
        </w:rPr>
        <w:t xml:space="preserve"> 0.75‰。</w:t>
      </w:r>
    </w:p>
    <w:p w14:paraId="4BF8CC11">
      <w:pPr>
        <w:pStyle w:val="9"/>
        <w:pageBreakBefore w:val="0"/>
        <w:kinsoku/>
        <w:wordWrap/>
        <w:overflowPunct/>
        <w:topLinePunct w:val="0"/>
        <w:autoSpaceDE/>
        <w:autoSpaceDN/>
        <w:bidi w:val="0"/>
        <w:adjustRightInd/>
        <w:spacing w:beforeLines="0" w:afterLines="0" w:line="360" w:lineRule="auto"/>
        <w:textAlignment w:val="auto"/>
        <w:rPr>
          <w:rFonts w:hint="eastAsia"/>
          <w:highlight w:val="none"/>
          <w:lang w:val="en-US" w:eastAsia="zh-CN"/>
        </w:rPr>
      </w:pPr>
      <w:r>
        <w:rPr>
          <w:rFonts w:hint="eastAsia"/>
          <w:highlight w:val="none"/>
          <w:lang w:val="en-US" w:eastAsia="zh-CN"/>
        </w:rPr>
        <w:t>5.1.4.2 地下水</w:t>
      </w:r>
    </w:p>
    <w:p w14:paraId="13ADFD6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Chars="0" w:firstLine="480" w:firstLineChars="200"/>
        <w:jc w:val="both"/>
        <w:textAlignment w:val="auto"/>
        <w:outlineLvl w:val="9"/>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eastAsia" w:ascii="Times New Roman" w:hAnsi="Times New Roman" w:eastAsia="宋体" w:cs="Times New Roman"/>
          <w:b w:val="0"/>
          <w:bCs w:val="0"/>
          <w:i w:val="0"/>
          <w:iCs w:val="0"/>
          <w:caps w:val="0"/>
          <w:spacing w:val="0"/>
          <w:sz w:val="24"/>
          <w:szCs w:val="24"/>
          <w:highlight w:val="none"/>
          <w:shd w:val="clear" w:fill="FFFFFF"/>
          <w:lang w:eastAsia="zh-CN"/>
        </w:rPr>
        <w:t>岳阳县境地下水主要有松散岩类孔隙水，碎屑岩类裂隙孔隙水，基岩裂隙水三大类型。地下水深度自东至西由深变浅，均为弱酸性极软淡水，多为重碳酸钠钙型水，其次是重碳酸氯化钙型水，重碳酸钙、重碳酸钙镁型水，除新开塘地下水砷含量超标，洞庭湖地下水铁离子超标外</w:t>
      </w: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，其它都符合饮用水标准。</w:t>
      </w:r>
    </w:p>
    <w:p w14:paraId="0D7764C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Chars="0" w:firstLine="480" w:firstLineChars="200"/>
        <w:jc w:val="both"/>
        <w:textAlignment w:val="auto"/>
        <w:outlineLvl w:val="9"/>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松散岩类孔隙水的多少因地而异，分布于县境西部的东洞庭湖区和中部自北向南的麻塘—荣家湾—黄沙街一线两侧、新墙水系沿流两岸，可分为双层结构孔隙和单层结构孔隙。单层结构孔隙分布于新墙河水系沿岸、河谷地区，储水量丰富，水埋深0</w:t>
      </w:r>
      <w:r>
        <w:rPr>
          <w:rFonts w:hint="eastAsia" w:eastAsia="宋体" w:cs="Times New Roman"/>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5米，顶板埋深小于3米；双层结构孔隙主要分布在东洞庭湖，荣家湾、黄沙街储水量浅水贫乏，深水中等，鹿角—大明储水量浅部中等，深部丰富，东洞庭湖—新墙河三角洲储水量丰富，水埋深0</w:t>
      </w:r>
      <w:r>
        <w:rPr>
          <w:rFonts w:hint="eastAsia" w:eastAsia="宋体" w:cs="Times New Roman"/>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5米，顶板深10</w:t>
      </w:r>
      <w:r>
        <w:rPr>
          <w:rFonts w:hint="eastAsia" w:eastAsia="宋体" w:cs="Times New Roman"/>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36米。碎屑岩类裂隙孔隙水分布在县境中部，储水量贫乏，水埋深0</w:t>
      </w:r>
      <w:r>
        <w:rPr>
          <w:rFonts w:hint="eastAsia" w:eastAsia="宋体" w:cs="Times New Roman"/>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7米，顶</w:t>
      </w:r>
      <w:r>
        <w:rPr>
          <w:rFonts w:hint="eastAsia" w:eastAsia="宋体" w:cs="Times New Roman"/>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板</w:t>
      </w: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埋深小于3米。基岩裂隙水分为层状水和块状岩类隙水。层状岩类隙水，分布于县境东部及中部的北边，储水量贫乏；块状岩类隙水量贫乏或中等，主要分布于县境东北部，东南、中部、西北端也有零星分布。基岩裂隙水水埋深随地形变化，高处深，低处浅，一般0</w:t>
      </w:r>
      <w:r>
        <w:rPr>
          <w:rFonts w:hint="eastAsia" w:eastAsia="宋体" w:cs="Times New Roman"/>
          <w:b w:val="0"/>
          <w:bCs w:val="0"/>
          <w:i w:val="0"/>
          <w:iCs w:val="0"/>
          <w:caps w:val="0"/>
          <w:color w:val="000000" w:themeColor="text1"/>
          <w:spacing w:val="0"/>
          <w:sz w:val="24"/>
          <w:szCs w:val="24"/>
          <w:highlight w:val="none"/>
          <w:shd w:val="clear" w:fill="FFFFFF"/>
          <w:lang w:val="en-US" w:eastAsia="zh-CN"/>
          <w14:textFill>
            <w14:solidFill>
              <w14:schemeClr w14:val="tx1"/>
            </w14:solidFill>
          </w14:textFill>
        </w:rPr>
        <w:t>~</w:t>
      </w: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30米。</w:t>
      </w:r>
    </w:p>
    <w:p w14:paraId="62F88CE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Autospacing="0" w:afterAutospacing="0" w:line="360" w:lineRule="auto"/>
        <w:ind w:leftChars="0" w:firstLine="480" w:firstLineChars="200"/>
        <w:jc w:val="both"/>
        <w:textAlignment w:val="auto"/>
        <w:outlineLvl w:val="9"/>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eastAsia"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县境地下水主要靠大气降水补给，但西部湖区及滨湖平原还接受外围地下水径流的侧向补给和河湖、稻田的渗漏补给。地下水的分水岭与地表水系分水岭趋于一致，径流区和补给区混合没有明显界限，只是在东部山地、丘陵地下水径流区的运动以水平为主，东洞庭湖及平原地区地下水流速慢，局部趋于停滞。东部山区、丘陵以泉的形式分散排泄为主要方式，新墙河为东部地区各类地下水排泄的总渠道，东洞庭湖汇集全县全部地下水，一部分经长江排泄境外，一部分就地蒸发。</w:t>
      </w:r>
    </w:p>
    <w:p w14:paraId="32D7AD34">
      <w:pPr>
        <w:pStyle w:val="7"/>
        <w:keepNext/>
        <w:keepLines/>
        <w:pageBreakBefore w:val="0"/>
        <w:widowControl w:val="0"/>
        <w:kinsoku/>
        <w:wordWrap/>
        <w:overflowPunct/>
        <w:topLinePunct w:val="0"/>
        <w:autoSpaceDE/>
        <w:autoSpaceDN/>
        <w:bidi w:val="0"/>
        <w:adjustRightInd/>
        <w:snapToGrid/>
        <w:spacing w:line="360" w:lineRule="auto"/>
        <w:textAlignment w:val="auto"/>
        <w:rPr>
          <w:highlight w:val="none"/>
        </w:rPr>
      </w:pPr>
      <w:bookmarkStart w:id="149" w:name="_Toc13134"/>
      <w:r>
        <w:rPr>
          <w:rFonts w:hint="eastAsia"/>
          <w:highlight w:val="none"/>
          <w:lang w:val="en-US" w:eastAsia="zh-CN"/>
        </w:rPr>
        <w:t>5</w:t>
      </w:r>
      <w:r>
        <w:rPr>
          <w:highlight w:val="none"/>
        </w:rPr>
        <w:t>.1.5</w:t>
      </w:r>
      <w:r>
        <w:rPr>
          <w:rFonts w:hint="eastAsia"/>
          <w:highlight w:val="none"/>
          <w:lang w:val="en-US" w:eastAsia="zh-CN"/>
        </w:rPr>
        <w:t xml:space="preserve"> </w:t>
      </w:r>
      <w:r>
        <w:rPr>
          <w:highlight w:val="none"/>
        </w:rPr>
        <w:t>土壤、 自然资源</w:t>
      </w:r>
      <w:bookmarkEnd w:id="149"/>
    </w:p>
    <w:p w14:paraId="67E19D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（1）土壤</w:t>
      </w:r>
    </w:p>
    <w:p w14:paraId="5AEEFA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岳阳县成土母质主要是紫色砂页岩，其次是板岩、页岩、石灰岩，再次是砂岩和近代河流冲击物。按土壤分类，全县土壤可分为 7 个土类，18 个亚类，61 个土属，151 个土种。其中红壤土类占全县土壤面积 57.09% ，山地黄壤、紫色土、潮土、 红色石灰土、菜园土、水稻土分别占全县土壤面积的 8.75%、21.37%、0. 14%、0. 13%、0. 12% 、12.40% 。县境东部海拔 300m 以上地区，自然土壤以花岗岩红壤为主，耕作土壤以麻砂泥田、麻砂土为主。中部丘岗地区土壤多为酸性紫色土，耕作土壤以酸紫泥田、酸紫砂泥田、紫砂泥土为主。洞庭湖沿岸岗地的土壤为红土红壤，耕作土壤以黄泥田、红泥土为主。新墙河流域沿河溪谷而下，大体上依次出现红壤、黄泥田、红黄泥田、青隔红黄泥田、青泥田等。处于山、丘、岗地间的山岔、冲垅中的耕地，从山顶到山脚，因地形、水、热条件不同，使其土壤在微域内分布不同。</w:t>
      </w:r>
    </w:p>
    <w:p w14:paraId="70B6F4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（2） 自然资源</w:t>
      </w:r>
    </w:p>
    <w:p w14:paraId="1AAE58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岳阳县属于中亚热带常绿叶阔叶林带，是中亚、北亚及温带的过渡型植被，境内记录到的木本类植物 829 种，其中乡土树种655 种，用材树种主要有杉、松、樟、 枫、檫、楠、桐、柏等，果木树种主要有桃、李、梨、桔等。竹类有楠竹、凤凰竹等十余种，水生植物有芦苇、莲藕、茭白、席草等百余种。主要农作物有水稻、棉 花、油菜、芝麻、花生、薯类、蚕豆、黄豆、绿豆、湘莲等。由于人类活动的干扰， 植被分布的地域差异较大。</w:t>
      </w:r>
    </w:p>
    <w:p w14:paraId="55032F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pPr>
      <w:r>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县境内记录到的野生动物 500 种，即兽类 22 种，鸟类 266 种，虫类 195 种， 其它 17 种。记录到的鱼类 114 种。家畜有猪、牛、羊、兔、猫、狗等，家禽有鸡、 鸭、鹅、蜜蜂等。项目区域周围基本为农田、旱地，捕食昆虫、鼠类的两栖类、爬行类动物较多。陆栖动物有田鼠及各种家畜家禽；新墙河流域水生动物以鱼、虾类为主，均为常见物种。</w:t>
      </w:r>
    </w:p>
    <w:p w14:paraId="286DC5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highlight w:val="none"/>
        </w:rPr>
      </w:pPr>
      <w:r>
        <w:rPr>
          <w:rFonts w:hint="default" w:ascii="Times New Roman" w:hAnsi="Times New Roman" w:eastAsia="宋体" w:cs="Times New Roman"/>
          <w:b w:val="0"/>
          <w:bCs w:val="0"/>
          <w:i w:val="0"/>
          <w:iCs w:val="0"/>
          <w:caps w:val="0"/>
          <w:color w:val="000000" w:themeColor="text1"/>
          <w:spacing w:val="0"/>
          <w:sz w:val="24"/>
          <w:szCs w:val="24"/>
          <w:highlight w:val="none"/>
          <w:shd w:val="clear" w:fill="FFFFFF"/>
          <w:lang w:eastAsia="zh-CN"/>
          <w14:textFill>
            <w14:solidFill>
              <w14:schemeClr w14:val="tx1"/>
            </w14:solidFill>
          </w14:textFill>
        </w:rPr>
        <w:t>岳阳县矿产资源丰富。境内已发现矿种 30 余种，主要是石煤、钒、独居石、 高岭土、长石、瓷、硅砂、铁、温泉和矿泉水等。矿床（点）114 处，小型规模以上的矿产地 18 处。</w:t>
      </w:r>
    </w:p>
    <w:p w14:paraId="77CF2103">
      <w:pPr>
        <w:pStyle w:val="7"/>
        <w:keepNext/>
        <w:keepLines/>
        <w:pageBreakBefore w:val="0"/>
        <w:widowControl w:val="0"/>
        <w:kinsoku/>
        <w:wordWrap/>
        <w:overflowPunct/>
        <w:topLinePunct w:val="0"/>
        <w:autoSpaceDE/>
        <w:autoSpaceDN/>
        <w:bidi w:val="0"/>
        <w:adjustRightInd/>
        <w:snapToGrid/>
        <w:spacing w:line="360" w:lineRule="auto"/>
        <w:textAlignment w:val="auto"/>
        <w:rPr>
          <w:highlight w:val="none"/>
        </w:rPr>
      </w:pPr>
      <w:bookmarkStart w:id="150" w:name="_Toc32234"/>
      <w:r>
        <w:rPr>
          <w:rFonts w:hint="eastAsia"/>
          <w:highlight w:val="none"/>
          <w:lang w:val="en-US" w:eastAsia="zh-CN"/>
        </w:rPr>
        <w:t>5</w:t>
      </w:r>
      <w:r>
        <w:rPr>
          <w:highlight w:val="none"/>
        </w:rPr>
        <w:t>.1.</w:t>
      </w:r>
      <w:r>
        <w:rPr>
          <w:rFonts w:hint="eastAsia"/>
          <w:highlight w:val="none"/>
          <w:lang w:val="en-US" w:eastAsia="zh-CN"/>
        </w:rPr>
        <w:t xml:space="preserve">6 </w:t>
      </w:r>
      <w:r>
        <w:rPr>
          <w:highlight w:val="none"/>
        </w:rPr>
        <w:t>岳阳高新技术产业园区概况</w:t>
      </w:r>
      <w:bookmarkEnd w:id="150"/>
    </w:p>
    <w:p w14:paraId="385BF2F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根据《岳阳高新技术产业园区产业发展规划（2020-2030）》的规</w:t>
      </w:r>
      <w:r>
        <w:rPr>
          <w:rFonts w:hint="default" w:ascii="Times New Roman" w:hAnsi="Times New Roman" w:eastAsia="宋体" w:cs="Times New Roman"/>
          <w:spacing w:val="-4"/>
          <w:sz w:val="24"/>
          <w:szCs w:val="24"/>
          <w:highlight w:val="none"/>
        </w:rPr>
        <w:t>划产业定位：岳</w:t>
      </w:r>
      <w:r>
        <w:rPr>
          <w:rFonts w:hint="default" w:ascii="Times New Roman" w:hAnsi="Times New Roman" w:eastAsia="宋体" w:cs="Times New Roman"/>
          <w:spacing w:val="-2"/>
          <w:sz w:val="24"/>
          <w:szCs w:val="24"/>
          <w:highlight w:val="none"/>
        </w:rPr>
        <w:t>阳高新技术产业园区规划范围为</w:t>
      </w:r>
      <w:r>
        <w:rPr>
          <w:rFonts w:hint="default" w:ascii="Times New Roman" w:hAnsi="Times New Roman" w:eastAsia="宋体" w:cs="Times New Roman"/>
          <w:spacing w:val="-47"/>
          <w:sz w:val="24"/>
          <w:szCs w:val="24"/>
          <w:highlight w:val="none"/>
        </w:rPr>
        <w:t xml:space="preserve"> </w:t>
      </w:r>
      <w:r>
        <w:rPr>
          <w:rFonts w:hint="default" w:ascii="Times New Roman" w:hAnsi="Times New Roman" w:eastAsia="宋体" w:cs="Times New Roman"/>
          <w:spacing w:val="-2"/>
          <w:sz w:val="24"/>
          <w:szCs w:val="24"/>
          <w:highlight w:val="none"/>
        </w:rPr>
        <w:t>916</w:t>
      </w:r>
      <w:r>
        <w:rPr>
          <w:rFonts w:hint="default" w:ascii="Times New Roman" w:hAnsi="Times New Roman" w:eastAsia="宋体" w:cs="Times New Roman"/>
          <w:spacing w:val="17"/>
          <w:w w:val="101"/>
          <w:sz w:val="24"/>
          <w:szCs w:val="24"/>
          <w:highlight w:val="none"/>
        </w:rPr>
        <w:t xml:space="preserve"> </w:t>
      </w:r>
      <w:r>
        <w:rPr>
          <w:rFonts w:hint="default" w:ascii="Times New Roman" w:hAnsi="Times New Roman" w:eastAsia="宋体" w:cs="Times New Roman"/>
          <w:spacing w:val="-2"/>
          <w:sz w:val="24"/>
          <w:szCs w:val="24"/>
          <w:highlight w:val="none"/>
        </w:rPr>
        <w:t>公顷，由主产业片区和洪山洞产业片区组成：主</w:t>
      </w:r>
      <w:r>
        <w:rPr>
          <w:rFonts w:hint="default" w:ascii="Times New Roman" w:hAnsi="Times New Roman" w:eastAsia="宋体" w:cs="Times New Roman"/>
          <w:spacing w:val="-3"/>
          <w:sz w:val="24"/>
          <w:szCs w:val="24"/>
          <w:highlight w:val="none"/>
        </w:rPr>
        <w:t>产业片区规划面积</w:t>
      </w:r>
      <w:r>
        <w:rPr>
          <w:rFonts w:hint="default" w:ascii="Times New Roman" w:hAnsi="Times New Roman" w:eastAsia="宋体" w:cs="Times New Roman"/>
          <w:spacing w:val="-51"/>
          <w:sz w:val="24"/>
          <w:szCs w:val="24"/>
          <w:highlight w:val="none"/>
        </w:rPr>
        <w:t xml:space="preserve"> </w:t>
      </w:r>
      <w:r>
        <w:rPr>
          <w:rFonts w:hint="default" w:ascii="Times New Roman" w:hAnsi="Times New Roman" w:eastAsia="宋体" w:cs="Times New Roman"/>
          <w:spacing w:val="-3"/>
          <w:sz w:val="24"/>
          <w:szCs w:val="24"/>
          <w:highlight w:val="none"/>
        </w:rPr>
        <w:t>727.75公顷，东至林科所—燎原村植山</w:t>
      </w:r>
      <w:r>
        <w:rPr>
          <w:rFonts w:hint="default" w:ascii="Times New Roman" w:hAnsi="Times New Roman" w:eastAsia="宋体" w:cs="Times New Roman"/>
          <w:spacing w:val="-4"/>
          <w:sz w:val="24"/>
          <w:szCs w:val="24"/>
          <w:highlight w:val="none"/>
        </w:rPr>
        <w:t>和方杨片一线，南至兴园村</w:t>
      </w:r>
      <w:r>
        <w:rPr>
          <w:rFonts w:hint="default" w:ascii="Times New Roman" w:hAnsi="Times New Roman" w:eastAsia="宋体" w:cs="Times New Roman"/>
          <w:spacing w:val="-1"/>
          <w:sz w:val="24"/>
          <w:szCs w:val="24"/>
          <w:highlight w:val="none"/>
        </w:rPr>
        <w:t>刘介章—燎原村植山和方杨片一线，西至林冲路—武广高铁线，北至</w:t>
      </w:r>
      <w:r>
        <w:rPr>
          <w:rFonts w:hint="default" w:ascii="Times New Roman" w:hAnsi="Times New Roman" w:eastAsia="宋体" w:cs="Times New Roman"/>
          <w:spacing w:val="-2"/>
          <w:sz w:val="24"/>
          <w:szCs w:val="24"/>
          <w:highlight w:val="none"/>
        </w:rPr>
        <w:t>东方村易家组—</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1"/>
          <w:sz w:val="24"/>
          <w:szCs w:val="24"/>
          <w:highlight w:val="none"/>
        </w:rPr>
        <w:t>城南大道线，主要发展生物医药、机械制造、新材料（主要包括</w:t>
      </w:r>
      <w:r>
        <w:rPr>
          <w:rFonts w:hint="default" w:ascii="Times New Roman" w:hAnsi="Times New Roman" w:eastAsia="宋体" w:cs="Times New Roman"/>
          <w:spacing w:val="-2"/>
          <w:sz w:val="24"/>
          <w:szCs w:val="24"/>
          <w:highlight w:val="none"/>
        </w:rPr>
        <w:t>生物基材料制造、结</w:t>
      </w:r>
      <w:r>
        <w:rPr>
          <w:rFonts w:hint="default" w:ascii="Times New Roman" w:hAnsi="Times New Roman" w:eastAsia="宋体" w:cs="Times New Roman"/>
          <w:spacing w:val="1"/>
          <w:sz w:val="24"/>
          <w:szCs w:val="24"/>
          <w:highlight w:val="none"/>
        </w:rPr>
        <w:t>构性金属制品制造、数码耗材和耐火耐磨材料等)</w:t>
      </w:r>
      <w:r>
        <w:rPr>
          <w:rFonts w:hint="default" w:ascii="Times New Roman" w:hAnsi="Times New Roman" w:eastAsia="宋体" w:cs="Times New Roman"/>
          <w:spacing w:val="-16"/>
          <w:sz w:val="24"/>
          <w:szCs w:val="24"/>
          <w:highlight w:val="none"/>
        </w:rPr>
        <w:t xml:space="preserve"> </w:t>
      </w:r>
      <w:r>
        <w:rPr>
          <w:rFonts w:hint="default" w:ascii="Times New Roman" w:hAnsi="Times New Roman" w:eastAsia="宋体" w:cs="Times New Roman"/>
          <w:spacing w:val="1"/>
          <w:sz w:val="24"/>
          <w:szCs w:val="24"/>
          <w:highlight w:val="none"/>
        </w:rPr>
        <w:t>。洪山洞产业片区规划面积</w:t>
      </w:r>
      <w:r>
        <w:rPr>
          <w:rFonts w:hint="default" w:ascii="Times New Roman" w:hAnsi="Times New Roman" w:eastAsia="宋体" w:cs="Times New Roman"/>
          <w:spacing w:val="-30"/>
          <w:sz w:val="24"/>
          <w:szCs w:val="24"/>
          <w:highlight w:val="none"/>
        </w:rPr>
        <w:t xml:space="preserve"> </w:t>
      </w:r>
      <w:r>
        <w:rPr>
          <w:rFonts w:hint="default" w:ascii="Times New Roman" w:hAnsi="Times New Roman" w:eastAsia="宋体" w:cs="Times New Roman"/>
          <w:spacing w:val="1"/>
          <w:sz w:val="24"/>
          <w:szCs w:val="24"/>
          <w:highlight w:val="none"/>
        </w:rPr>
        <w:t>188.25</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3"/>
          <w:sz w:val="24"/>
          <w:szCs w:val="24"/>
          <w:highlight w:val="none"/>
        </w:rPr>
        <w:t>公顷，东至</w:t>
      </w:r>
      <w:r>
        <w:rPr>
          <w:rFonts w:hint="default" w:ascii="Times New Roman" w:hAnsi="Times New Roman" w:eastAsia="宋体" w:cs="Times New Roman"/>
          <w:spacing w:val="-25"/>
          <w:sz w:val="24"/>
          <w:szCs w:val="24"/>
          <w:highlight w:val="none"/>
        </w:rPr>
        <w:t xml:space="preserve"> </w:t>
      </w:r>
      <w:r>
        <w:rPr>
          <w:rFonts w:hint="default" w:ascii="Times New Roman" w:hAnsi="Times New Roman" w:eastAsia="宋体" w:cs="Times New Roman"/>
          <w:spacing w:val="-3"/>
          <w:sz w:val="24"/>
          <w:szCs w:val="24"/>
          <w:highlight w:val="none"/>
        </w:rPr>
        <w:t>107</w:t>
      </w:r>
      <w:r>
        <w:rPr>
          <w:rFonts w:hint="default" w:ascii="Times New Roman" w:hAnsi="Times New Roman" w:eastAsia="宋体" w:cs="Times New Roman"/>
          <w:spacing w:val="33"/>
          <w:w w:val="101"/>
          <w:sz w:val="24"/>
          <w:szCs w:val="24"/>
          <w:highlight w:val="none"/>
        </w:rPr>
        <w:t xml:space="preserve"> </w:t>
      </w:r>
      <w:r>
        <w:rPr>
          <w:rFonts w:hint="default" w:ascii="Times New Roman" w:hAnsi="Times New Roman" w:eastAsia="宋体" w:cs="Times New Roman"/>
          <w:spacing w:val="-3"/>
          <w:sz w:val="24"/>
          <w:szCs w:val="24"/>
          <w:highlight w:val="none"/>
        </w:rPr>
        <w:t>国道西侧，南至长湖村李子角，西至长湖村千公塘，北至亚泰陶瓷公</w:t>
      </w:r>
      <w:r>
        <w:rPr>
          <w:rFonts w:hint="default" w:ascii="Times New Roman" w:hAnsi="Times New Roman" w:eastAsia="宋体" w:cs="Times New Roman"/>
          <w:sz w:val="24"/>
          <w:szCs w:val="24"/>
          <w:highlight w:val="none"/>
        </w:rPr>
        <w:t>司北侧，主要发展建筑材料（主要包括陶瓷</w:t>
      </w:r>
      <w:r>
        <w:rPr>
          <w:rFonts w:hint="default" w:ascii="Times New Roman" w:hAnsi="Times New Roman" w:eastAsia="宋体" w:cs="Times New Roman"/>
          <w:spacing w:val="-1"/>
          <w:sz w:val="24"/>
          <w:szCs w:val="24"/>
          <w:highlight w:val="none"/>
        </w:rPr>
        <w:t>制品、水泥制品等)。</w:t>
      </w:r>
    </w:p>
    <w:p w14:paraId="5FC579DC">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9"/>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岳阳高新技术产业园调区扩区规划在原核准范围的基</w:t>
      </w:r>
      <w:r>
        <w:rPr>
          <w:rFonts w:hint="default" w:ascii="Times New Roman" w:hAnsi="Times New Roman" w:eastAsia="宋体" w:cs="Times New Roman"/>
          <w:spacing w:val="-2"/>
          <w:sz w:val="24"/>
          <w:szCs w:val="24"/>
          <w:highlight w:val="none"/>
        </w:rPr>
        <w:t>础上设立主区，主区在原核</w:t>
      </w:r>
      <w:r>
        <w:rPr>
          <w:rFonts w:hint="default" w:ascii="Times New Roman" w:hAnsi="Times New Roman" w:eastAsia="宋体" w:cs="Times New Roman"/>
          <w:spacing w:val="3"/>
          <w:sz w:val="24"/>
          <w:szCs w:val="24"/>
          <w:highlight w:val="none"/>
        </w:rPr>
        <w:t>准范</w:t>
      </w:r>
      <w:r>
        <w:rPr>
          <w:rFonts w:hint="default" w:ascii="Times New Roman" w:hAnsi="Times New Roman" w:eastAsia="宋体" w:cs="Times New Roman"/>
          <w:spacing w:val="-52"/>
          <w:sz w:val="24"/>
          <w:szCs w:val="24"/>
          <w:highlight w:val="none"/>
        </w:rPr>
        <w:t xml:space="preserve"> </w:t>
      </w:r>
      <w:r>
        <w:rPr>
          <w:rFonts w:hint="default" w:ascii="Times New Roman" w:hAnsi="Times New Roman" w:eastAsia="宋体" w:cs="Times New Roman"/>
          <w:spacing w:val="3"/>
          <w:sz w:val="24"/>
          <w:szCs w:val="24"/>
          <w:highlight w:val="none"/>
        </w:rPr>
        <w:t>围458</w:t>
      </w:r>
      <w:r>
        <w:rPr>
          <w:rFonts w:hint="default" w:ascii="Times New Roman" w:hAnsi="Times New Roman" w:eastAsia="宋体" w:cs="Times New Roman"/>
          <w:sz w:val="24"/>
          <w:szCs w:val="24"/>
          <w:highlight w:val="none"/>
        </w:rPr>
        <w:t>hm</w:t>
      </w:r>
      <w:r>
        <w:rPr>
          <w:rFonts w:hint="default" w:ascii="Times New Roman" w:hAnsi="Times New Roman" w:eastAsia="宋体" w:cs="Times New Roman"/>
          <w:spacing w:val="3"/>
          <w:position w:val="7"/>
          <w:sz w:val="24"/>
          <w:szCs w:val="24"/>
          <w:highlight w:val="none"/>
          <w:vertAlign w:val="superscript"/>
        </w:rPr>
        <w:t>2</w:t>
      </w:r>
      <w:r>
        <w:rPr>
          <w:rFonts w:hint="default" w:ascii="Times New Roman" w:hAnsi="Times New Roman" w:eastAsia="宋体" w:cs="Times New Roman"/>
          <w:spacing w:val="3"/>
          <w:sz w:val="24"/>
          <w:szCs w:val="24"/>
          <w:highlight w:val="none"/>
        </w:rPr>
        <w:t>的基础上调</w:t>
      </w:r>
      <w:r>
        <w:rPr>
          <w:rFonts w:hint="default" w:ascii="Times New Roman" w:hAnsi="Times New Roman" w:eastAsia="宋体" w:cs="Times New Roman"/>
          <w:spacing w:val="-59"/>
          <w:sz w:val="24"/>
          <w:szCs w:val="24"/>
          <w:highlight w:val="none"/>
        </w:rPr>
        <w:t xml:space="preserve"> </w:t>
      </w:r>
      <w:r>
        <w:rPr>
          <w:rFonts w:hint="default" w:ascii="Times New Roman" w:hAnsi="Times New Roman" w:eastAsia="宋体" w:cs="Times New Roman"/>
          <w:spacing w:val="3"/>
          <w:sz w:val="24"/>
          <w:szCs w:val="24"/>
          <w:highlight w:val="none"/>
        </w:rPr>
        <w:t>出189</w:t>
      </w:r>
      <w:r>
        <w:rPr>
          <w:rFonts w:hint="default" w:ascii="Times New Roman" w:hAnsi="Times New Roman" w:eastAsia="宋体" w:cs="Times New Roman"/>
          <w:sz w:val="24"/>
          <w:szCs w:val="24"/>
          <w:highlight w:val="none"/>
        </w:rPr>
        <w:t>hm</w:t>
      </w:r>
      <w:r>
        <w:rPr>
          <w:rFonts w:hint="default" w:ascii="Times New Roman" w:hAnsi="Times New Roman" w:eastAsia="宋体" w:cs="Times New Roman"/>
          <w:spacing w:val="3"/>
          <w:position w:val="7"/>
          <w:sz w:val="24"/>
          <w:szCs w:val="24"/>
          <w:highlight w:val="none"/>
          <w:vertAlign w:val="superscript"/>
        </w:rPr>
        <w:t>2</w:t>
      </w:r>
      <w:r>
        <w:rPr>
          <w:rFonts w:hint="default" w:ascii="Times New Roman" w:hAnsi="Times New Roman" w:eastAsia="宋体" w:cs="Times New Roman"/>
          <w:spacing w:val="3"/>
          <w:sz w:val="24"/>
          <w:szCs w:val="24"/>
          <w:highlight w:val="none"/>
        </w:rPr>
        <w:t>、扩</w:t>
      </w:r>
      <w:r>
        <w:rPr>
          <w:rFonts w:hint="default" w:ascii="Times New Roman" w:hAnsi="Times New Roman" w:eastAsia="宋体" w:cs="Times New Roman"/>
          <w:spacing w:val="-62"/>
          <w:sz w:val="24"/>
          <w:szCs w:val="24"/>
          <w:highlight w:val="none"/>
        </w:rPr>
        <w:t xml:space="preserve"> </w:t>
      </w:r>
      <w:r>
        <w:rPr>
          <w:rFonts w:hint="default" w:ascii="Times New Roman" w:hAnsi="Times New Roman" w:eastAsia="宋体" w:cs="Times New Roman"/>
          <w:spacing w:val="3"/>
          <w:sz w:val="24"/>
          <w:szCs w:val="24"/>
          <w:highlight w:val="none"/>
        </w:rPr>
        <w:t>区458.75</w:t>
      </w:r>
      <w:r>
        <w:rPr>
          <w:rFonts w:hint="default" w:ascii="Times New Roman" w:hAnsi="Times New Roman" w:eastAsia="宋体" w:cs="Times New Roman"/>
          <w:sz w:val="24"/>
          <w:szCs w:val="24"/>
          <w:highlight w:val="none"/>
        </w:rPr>
        <w:t>hm</w:t>
      </w:r>
      <w:r>
        <w:rPr>
          <w:rFonts w:hint="default" w:ascii="Times New Roman" w:hAnsi="Times New Roman" w:eastAsia="宋体" w:cs="Times New Roman"/>
          <w:spacing w:val="3"/>
          <w:position w:val="7"/>
          <w:sz w:val="24"/>
          <w:szCs w:val="24"/>
          <w:highlight w:val="none"/>
          <w:vertAlign w:val="superscript"/>
        </w:rPr>
        <w:t>2</w:t>
      </w:r>
      <w:r>
        <w:rPr>
          <w:rFonts w:hint="default" w:ascii="Times New Roman" w:hAnsi="Times New Roman" w:eastAsia="宋体" w:cs="Times New Roman"/>
          <w:spacing w:val="21"/>
          <w:w w:val="102"/>
          <w:position w:val="7"/>
          <w:sz w:val="24"/>
          <w:szCs w:val="24"/>
          <w:highlight w:val="none"/>
        </w:rPr>
        <w:t xml:space="preserve"> </w:t>
      </w:r>
      <w:r>
        <w:rPr>
          <w:rFonts w:hint="default" w:ascii="Times New Roman" w:hAnsi="Times New Roman" w:eastAsia="宋体" w:cs="Times New Roman"/>
          <w:spacing w:val="3"/>
          <w:sz w:val="24"/>
          <w:szCs w:val="24"/>
          <w:highlight w:val="none"/>
        </w:rPr>
        <w:t>，另新增洪</w:t>
      </w:r>
      <w:r>
        <w:rPr>
          <w:rFonts w:hint="default" w:ascii="Times New Roman" w:hAnsi="Times New Roman" w:eastAsia="宋体" w:cs="Times New Roman"/>
          <w:spacing w:val="-58"/>
          <w:sz w:val="24"/>
          <w:szCs w:val="24"/>
          <w:highlight w:val="none"/>
        </w:rPr>
        <w:t xml:space="preserve"> </w:t>
      </w:r>
      <w:r>
        <w:rPr>
          <w:rFonts w:hint="default" w:ascii="Times New Roman" w:hAnsi="Times New Roman" w:eastAsia="宋体" w:cs="Times New Roman"/>
          <w:spacing w:val="3"/>
          <w:sz w:val="24"/>
          <w:szCs w:val="24"/>
          <w:highlight w:val="none"/>
        </w:rPr>
        <w:t>山洞片</w:t>
      </w:r>
      <w:r>
        <w:rPr>
          <w:rFonts w:hint="default" w:ascii="Times New Roman" w:hAnsi="Times New Roman" w:eastAsia="宋体" w:cs="Times New Roman"/>
          <w:spacing w:val="-62"/>
          <w:sz w:val="24"/>
          <w:szCs w:val="24"/>
          <w:highlight w:val="none"/>
        </w:rPr>
        <w:t xml:space="preserve"> </w:t>
      </w:r>
      <w:r>
        <w:rPr>
          <w:rFonts w:hint="default" w:ascii="Times New Roman" w:hAnsi="Times New Roman" w:eastAsia="宋体" w:cs="Times New Roman"/>
          <w:spacing w:val="3"/>
          <w:sz w:val="24"/>
          <w:szCs w:val="24"/>
          <w:highlight w:val="none"/>
        </w:rPr>
        <w:t>区</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3"/>
          <w:sz w:val="24"/>
          <w:szCs w:val="24"/>
          <w:highlight w:val="none"/>
        </w:rPr>
        <w:t>88.25hm</w:t>
      </w:r>
      <w:r>
        <w:rPr>
          <w:rFonts w:hint="default" w:ascii="Times New Roman" w:hAnsi="Times New Roman" w:eastAsia="宋体" w:cs="Times New Roman"/>
          <w:spacing w:val="-3"/>
          <w:position w:val="8"/>
          <w:sz w:val="24"/>
          <w:szCs w:val="24"/>
          <w:highlight w:val="none"/>
          <w:vertAlign w:val="superscript"/>
        </w:rPr>
        <w:t>2</w:t>
      </w:r>
      <w:r>
        <w:rPr>
          <w:rFonts w:hint="default" w:ascii="Times New Roman" w:hAnsi="Times New Roman" w:eastAsia="宋体" w:cs="Times New Roman"/>
          <w:spacing w:val="-3"/>
          <w:sz w:val="24"/>
          <w:szCs w:val="24"/>
          <w:highlight w:val="none"/>
        </w:rPr>
        <w:t>。 调区扩区后规划布局为“一园两区”，设为主区和洪山洞片区</w:t>
      </w:r>
      <w:r>
        <w:rPr>
          <w:rFonts w:hint="default" w:ascii="Times New Roman" w:hAnsi="Times New Roman" w:eastAsia="宋体" w:cs="Times New Roman"/>
          <w:spacing w:val="-4"/>
          <w:sz w:val="24"/>
          <w:szCs w:val="24"/>
          <w:highlight w:val="none"/>
        </w:rPr>
        <w:t>，调区扩区后</w:t>
      </w:r>
      <w:r>
        <w:rPr>
          <w:rFonts w:hint="default" w:ascii="Times New Roman" w:hAnsi="Times New Roman" w:eastAsia="宋体" w:cs="Times New Roman"/>
          <w:spacing w:val="-1"/>
          <w:sz w:val="24"/>
          <w:szCs w:val="24"/>
          <w:highlight w:val="none"/>
        </w:rPr>
        <w:t>规划总用地面积 916hm</w:t>
      </w:r>
      <w:r>
        <w:rPr>
          <w:rFonts w:hint="default" w:ascii="Times New Roman" w:hAnsi="Times New Roman" w:eastAsia="宋体" w:cs="Times New Roman"/>
          <w:spacing w:val="-1"/>
          <w:position w:val="7"/>
          <w:sz w:val="24"/>
          <w:szCs w:val="24"/>
          <w:highlight w:val="none"/>
          <w:vertAlign w:val="superscript"/>
        </w:rPr>
        <w:t>2</w:t>
      </w:r>
      <w:r>
        <w:rPr>
          <w:rFonts w:hint="default" w:ascii="Times New Roman" w:hAnsi="Times New Roman" w:eastAsia="宋体" w:cs="Times New Roman"/>
          <w:spacing w:val="-1"/>
          <w:sz w:val="24"/>
          <w:szCs w:val="24"/>
          <w:highlight w:val="none"/>
        </w:rPr>
        <w:t>。</w:t>
      </w:r>
    </w:p>
    <w:p w14:paraId="558F376F">
      <w:pPr>
        <w:pStyle w:val="7"/>
        <w:pageBreakBefore w:val="0"/>
        <w:kinsoku/>
        <w:wordWrap/>
        <w:overflowPunct/>
        <w:topLinePunct w:val="0"/>
        <w:autoSpaceDE/>
        <w:autoSpaceDN/>
        <w:bidi w:val="0"/>
        <w:adjustRightInd/>
        <w:spacing w:line="360" w:lineRule="auto"/>
        <w:textAlignment w:val="auto"/>
        <w:rPr>
          <w:rFonts w:hint="eastAsia" w:ascii="Times New Roman" w:hAnsi="Times New Roman" w:cs="Times New Roman"/>
          <w:highlight w:val="none"/>
          <w:lang w:val="en-US" w:eastAsia="zh-CN"/>
        </w:rPr>
      </w:pPr>
      <w:bookmarkStart w:id="151" w:name="_Toc6957"/>
      <w:r>
        <w:rPr>
          <w:rFonts w:hint="eastAsia" w:ascii="Times New Roman" w:hAnsi="Times New Roman" w:cs="Times New Roman"/>
          <w:highlight w:val="none"/>
          <w:lang w:val="en-US" w:eastAsia="zh-CN"/>
        </w:rPr>
        <w:t>5.1.7岳阳高新技术产业园区污水处理厂基本情况</w:t>
      </w:r>
      <w:bookmarkEnd w:id="151"/>
    </w:p>
    <w:p w14:paraId="043CB928">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岳阳高新技术产业园区污水处理厂位于岳阳高新技术产业园荣湾镇东方村（京广高铁西侧空地），全部为新征地。污水处理厂位于岳阳县荣家湾镇东方村京广高铁西侧，总用地面积约为 38750m</w:t>
      </w:r>
      <w:r>
        <w:rPr>
          <w:rFonts w:hint="default"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lang w:val="en-US" w:eastAsia="zh-CN"/>
        </w:rPr>
        <w:t>（合 58. 125 亩），岳阳高新技术产业园区现有岳阳高新技术产业园区污水处理厂集中处理主区废水，岳阳高新技术产业园区污水处理厂的近期设计规模为：10000m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 ，远期设计处理规模 30000m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val="en-US" w:eastAsia="zh-CN"/>
        </w:rPr>
        <w:t>/d ，包括高新技术产业园生活污水和工业企业经预处理排放的生产废水。根据工业园规划，该污水处理厂服务范围为岳阳高新技术产业园区，具体为：西至武广高速铁路，南至跃进村一方杨村一线，东至划船塘水库，北至金城路。本项目位于该污水处理厂服务范围内。</w:t>
      </w:r>
    </w:p>
    <w:p w14:paraId="626E831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根据调查，岳阳高新技术产业园区污水处理厂采用“预处理+ 水解酸化+ 改良AAO+高密沉淀+活性砂滤池+消毒”工艺，尾水达到《城镇污水处理厂污染物排放标准》（GB18918-2002）中一级 A 标准后于新墙河铁路桥下游排入新墙河</w:t>
      </w:r>
      <w:r>
        <w:rPr>
          <w:rFonts w:hint="eastAsia" w:ascii="Times New Roman" w:hAnsi="Times New Roman" w:eastAsia="宋体" w:cs="Times New Roman"/>
          <w:sz w:val="24"/>
          <w:szCs w:val="24"/>
          <w:highlight w:val="none"/>
          <w:lang w:val="en-US" w:eastAsia="zh-CN"/>
        </w:rPr>
        <w:t>。</w:t>
      </w:r>
    </w:p>
    <w:p w14:paraId="39580506">
      <w:pPr>
        <w:pStyle w:val="6"/>
        <w:keepNext/>
        <w:keepLines/>
        <w:pageBreakBefore w:val="0"/>
        <w:widowControl w:val="0"/>
        <w:kinsoku/>
        <w:wordWrap/>
        <w:overflowPunct/>
        <w:topLinePunct w:val="0"/>
        <w:autoSpaceDE/>
        <w:autoSpaceDN/>
        <w:bidi w:val="0"/>
        <w:adjustRightInd/>
        <w:snapToGrid/>
        <w:spacing w:line="360" w:lineRule="auto"/>
        <w:textAlignment w:val="auto"/>
        <w:rPr>
          <w:highlight w:val="none"/>
        </w:rPr>
      </w:pPr>
      <w:bookmarkStart w:id="152" w:name="_Toc16596"/>
      <w:bookmarkStart w:id="153" w:name="_Toc488833078"/>
      <w:r>
        <w:rPr>
          <w:rFonts w:hint="eastAsia"/>
          <w:highlight w:val="none"/>
          <w:lang w:val="en-US" w:eastAsia="zh-CN"/>
        </w:rPr>
        <w:t>5</w:t>
      </w:r>
      <w:r>
        <w:rPr>
          <w:highlight w:val="none"/>
        </w:rPr>
        <w:t>.2环境质量现状调查与评价</w:t>
      </w:r>
      <w:bookmarkEnd w:id="152"/>
      <w:bookmarkEnd w:id="153"/>
    </w:p>
    <w:p w14:paraId="725CDC1D">
      <w:pPr>
        <w:pStyle w:val="7"/>
        <w:keepNext/>
        <w:keepLines/>
        <w:pageBreakBefore w:val="0"/>
        <w:widowControl w:val="0"/>
        <w:kinsoku/>
        <w:wordWrap/>
        <w:overflowPunct/>
        <w:topLinePunct w:val="0"/>
        <w:autoSpaceDE/>
        <w:autoSpaceDN/>
        <w:bidi w:val="0"/>
        <w:adjustRightInd/>
        <w:snapToGrid/>
        <w:spacing w:line="360" w:lineRule="auto"/>
        <w:textAlignment w:val="auto"/>
        <w:rPr>
          <w:highlight w:val="none"/>
        </w:rPr>
      </w:pPr>
      <w:bookmarkStart w:id="154" w:name="_Toc14718"/>
      <w:r>
        <w:rPr>
          <w:rFonts w:hint="eastAsia"/>
          <w:highlight w:val="none"/>
          <w:lang w:val="en-US" w:eastAsia="zh-CN"/>
        </w:rPr>
        <w:t>5</w:t>
      </w:r>
      <w:r>
        <w:rPr>
          <w:highlight w:val="none"/>
        </w:rPr>
        <w:t>.2.1环境空气质量现状监测与评价</w:t>
      </w:r>
      <w:bookmarkEnd w:id="154"/>
    </w:p>
    <w:p w14:paraId="13206B82">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pacing w:val="-4"/>
          <w:sz w:val="24"/>
          <w:szCs w:val="24"/>
          <w:highlight w:val="none"/>
        </w:rPr>
      </w:pPr>
      <w:r>
        <w:rPr>
          <w:rFonts w:hint="default" w:ascii="Times New Roman" w:hAnsi="Times New Roman" w:eastAsia="宋体" w:cs="Times New Roman"/>
          <w:b/>
          <w:bCs/>
          <w:spacing w:val="-4"/>
          <w:sz w:val="24"/>
          <w:szCs w:val="24"/>
          <w:highlight w:val="none"/>
          <w:lang w:eastAsia="zh-CN"/>
        </w:rPr>
        <w:t>（</w:t>
      </w:r>
      <w:r>
        <w:rPr>
          <w:rFonts w:hint="default" w:ascii="Times New Roman" w:hAnsi="Times New Roman" w:eastAsia="宋体" w:cs="Times New Roman"/>
          <w:b/>
          <w:bCs/>
          <w:spacing w:val="-4"/>
          <w:sz w:val="24"/>
          <w:szCs w:val="24"/>
          <w:highlight w:val="none"/>
          <w:lang w:val="en-US" w:eastAsia="zh-CN"/>
        </w:rPr>
        <w:t>1</w:t>
      </w:r>
      <w:r>
        <w:rPr>
          <w:rFonts w:hint="default" w:ascii="Times New Roman" w:hAnsi="Times New Roman" w:eastAsia="宋体" w:cs="Times New Roman"/>
          <w:b/>
          <w:bCs/>
          <w:spacing w:val="-4"/>
          <w:sz w:val="24"/>
          <w:szCs w:val="24"/>
          <w:highlight w:val="none"/>
          <w:lang w:eastAsia="zh-CN"/>
        </w:rPr>
        <w:t>）</w:t>
      </w:r>
      <w:r>
        <w:rPr>
          <w:rFonts w:hint="default" w:ascii="Times New Roman" w:hAnsi="Times New Roman" w:eastAsia="宋体" w:cs="Times New Roman"/>
          <w:b/>
          <w:bCs/>
          <w:spacing w:val="-4"/>
          <w:sz w:val="24"/>
          <w:szCs w:val="24"/>
          <w:highlight w:val="none"/>
        </w:rPr>
        <w:t>区域环境</w:t>
      </w:r>
      <w:r>
        <w:rPr>
          <w:rFonts w:hint="default" w:ascii="Times New Roman" w:hAnsi="Times New Roman" w:eastAsia="宋体" w:cs="Times New Roman"/>
          <w:b/>
          <w:bCs/>
          <w:spacing w:val="-4"/>
          <w:sz w:val="24"/>
          <w:szCs w:val="24"/>
          <w:highlight w:val="none"/>
          <w:lang w:val="en-US" w:eastAsia="zh-CN"/>
        </w:rPr>
        <w:t>空气</w:t>
      </w:r>
      <w:r>
        <w:rPr>
          <w:rFonts w:hint="default" w:ascii="Times New Roman" w:hAnsi="Times New Roman" w:eastAsia="宋体" w:cs="Times New Roman"/>
          <w:b/>
          <w:bCs/>
          <w:spacing w:val="-4"/>
          <w:sz w:val="24"/>
          <w:szCs w:val="24"/>
          <w:highlight w:val="none"/>
        </w:rPr>
        <w:t>质量达标判定</w:t>
      </w:r>
    </w:p>
    <w:p w14:paraId="0367436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0A8EBA8E">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本次环评收集了岳阳市生态环境局岳阳县分局提供的岳阳县2023年环境空气质量监测数据，对项目所在地岳阳县环境空气质量现状进行评价。区域空气质量现状评价见下表。</w:t>
      </w:r>
    </w:p>
    <w:p w14:paraId="03437C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sz w:val="24"/>
          <w:szCs w:val="24"/>
          <w:highlight w:val="none"/>
          <w:vertAlign w:val="baseline"/>
          <w:lang w:val="en-US" w:eastAsia="zh-CN"/>
        </w:rPr>
      </w:pPr>
      <w:r>
        <w:rPr>
          <w:rFonts w:hint="default" w:ascii="Times New Roman" w:hAnsi="Times New Roman" w:eastAsia="宋体" w:cs="Times New Roman"/>
          <w:b/>
          <w:bCs/>
          <w:sz w:val="24"/>
          <w:szCs w:val="24"/>
          <w:highlight w:val="none"/>
          <w:lang w:eastAsia="zh-CN"/>
        </w:rPr>
        <w:t>表</w:t>
      </w:r>
      <w:r>
        <w:rPr>
          <w:rFonts w:hint="eastAsia" w:eastAsia="宋体" w:cs="Times New Roman"/>
          <w:b/>
          <w:bCs/>
          <w:sz w:val="24"/>
          <w:szCs w:val="24"/>
          <w:highlight w:val="none"/>
          <w:lang w:val="en-US" w:eastAsia="zh-CN"/>
        </w:rPr>
        <w:t>5.2</w:t>
      </w:r>
      <w:r>
        <w:rPr>
          <w:rFonts w:hint="default" w:ascii="Times New Roman" w:hAnsi="Times New Roman" w:eastAsia="宋体" w:cs="Times New Roman"/>
          <w:b/>
          <w:bCs/>
          <w:sz w:val="24"/>
          <w:szCs w:val="24"/>
          <w:highlight w:val="none"/>
          <w:lang w:val="en-US" w:eastAsia="zh-CN"/>
        </w:rPr>
        <w:t>-1</w:t>
      </w:r>
      <w:r>
        <w:rPr>
          <w:rFonts w:hint="default" w:ascii="Times New Roman" w:hAnsi="Times New Roman" w:eastAsia="宋体" w:cs="Times New Roman"/>
          <w:b/>
          <w:bCs/>
          <w:sz w:val="24"/>
          <w:szCs w:val="24"/>
          <w:highlight w:val="none"/>
          <w:lang w:eastAsia="zh-CN"/>
        </w:rPr>
        <w:t xml:space="preserve"> </w:t>
      </w:r>
      <w:r>
        <w:rPr>
          <w:rFonts w:hint="default"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eastAsia="zh-CN"/>
        </w:rPr>
        <w:t>区域环境空气质量现状评价表（岳阳县</w:t>
      </w:r>
      <w:r>
        <w:rPr>
          <w:rFonts w:hint="eastAsia" w:eastAsia="宋体" w:cs="Times New Roman"/>
          <w:b/>
          <w:bCs/>
          <w:sz w:val="24"/>
          <w:szCs w:val="24"/>
          <w:highlight w:val="none"/>
          <w:lang w:val="en-US" w:eastAsia="zh-CN"/>
        </w:rPr>
        <w:t>2023年</w:t>
      </w:r>
      <w:r>
        <w:rPr>
          <w:rFonts w:hint="default" w:ascii="Times New Roman" w:hAnsi="Times New Roman" w:eastAsia="宋体" w:cs="Times New Roman"/>
          <w:b/>
          <w:bCs/>
          <w:sz w:val="24"/>
          <w:szCs w:val="24"/>
          <w:highlight w:val="none"/>
          <w:lang w:eastAsia="zh-CN"/>
        </w:rPr>
        <w:t xml:space="preserve">）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943"/>
        <w:gridCol w:w="1851"/>
        <w:gridCol w:w="1385"/>
        <w:gridCol w:w="1279"/>
        <w:gridCol w:w="1126"/>
        <w:gridCol w:w="1109"/>
      </w:tblGrid>
      <w:tr w14:paraId="66AD7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483" w:type="pct"/>
            <w:noWrap w:val="0"/>
            <w:vAlign w:val="center"/>
          </w:tcPr>
          <w:p w14:paraId="03F7D8D6">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所在区域</w:t>
            </w:r>
          </w:p>
        </w:tc>
        <w:tc>
          <w:tcPr>
            <w:tcW w:w="554" w:type="pct"/>
            <w:noWrap w:val="0"/>
            <w:vAlign w:val="center"/>
          </w:tcPr>
          <w:p w14:paraId="012EEC3F">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监测</w:t>
            </w:r>
          </w:p>
          <w:p w14:paraId="30A3ADA1">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项目</w:t>
            </w:r>
          </w:p>
        </w:tc>
        <w:tc>
          <w:tcPr>
            <w:tcW w:w="1087" w:type="pct"/>
            <w:noWrap w:val="0"/>
            <w:vAlign w:val="center"/>
          </w:tcPr>
          <w:p w14:paraId="05BCCF5A">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年评价指标</w:t>
            </w:r>
          </w:p>
        </w:tc>
        <w:tc>
          <w:tcPr>
            <w:tcW w:w="813" w:type="pct"/>
            <w:noWrap w:val="0"/>
            <w:vAlign w:val="center"/>
          </w:tcPr>
          <w:p w14:paraId="62B2ABFA">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现状浓度（μg/m</w:t>
            </w:r>
            <w:r>
              <w:rPr>
                <w:rFonts w:hint="default" w:ascii="Times New Roman" w:hAnsi="Times New Roman" w:eastAsia="宋体" w:cs="Times New Roman"/>
                <w:b/>
                <w:bCs/>
                <w:sz w:val="21"/>
                <w:szCs w:val="21"/>
                <w:highlight w:val="none"/>
                <w:vertAlign w:val="superscript"/>
              </w:rPr>
              <w:t>3</w:t>
            </w:r>
            <w:r>
              <w:rPr>
                <w:rFonts w:hint="default" w:ascii="Times New Roman" w:hAnsi="Times New Roman" w:eastAsia="宋体" w:cs="Times New Roman"/>
                <w:b/>
                <w:bCs/>
                <w:sz w:val="21"/>
                <w:szCs w:val="21"/>
                <w:highlight w:val="none"/>
              </w:rPr>
              <w:t>）</w:t>
            </w:r>
          </w:p>
        </w:tc>
        <w:tc>
          <w:tcPr>
            <w:tcW w:w="751" w:type="pct"/>
            <w:noWrap w:val="0"/>
            <w:vAlign w:val="center"/>
          </w:tcPr>
          <w:p w14:paraId="1577CB0E">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标准值（μg/m</w:t>
            </w:r>
            <w:r>
              <w:rPr>
                <w:rFonts w:hint="default" w:ascii="Times New Roman" w:hAnsi="Times New Roman" w:eastAsia="宋体" w:cs="Times New Roman"/>
                <w:b/>
                <w:bCs/>
                <w:sz w:val="21"/>
                <w:szCs w:val="21"/>
                <w:highlight w:val="none"/>
                <w:vertAlign w:val="superscript"/>
              </w:rPr>
              <w:t>3</w:t>
            </w:r>
            <w:r>
              <w:rPr>
                <w:rFonts w:hint="default" w:ascii="Times New Roman" w:hAnsi="Times New Roman" w:eastAsia="宋体" w:cs="Times New Roman"/>
                <w:b/>
                <w:bCs/>
                <w:sz w:val="21"/>
                <w:szCs w:val="21"/>
                <w:highlight w:val="none"/>
              </w:rPr>
              <w:t>）</w:t>
            </w:r>
          </w:p>
        </w:tc>
        <w:tc>
          <w:tcPr>
            <w:tcW w:w="661" w:type="pct"/>
            <w:noWrap w:val="0"/>
            <w:vAlign w:val="center"/>
          </w:tcPr>
          <w:p w14:paraId="08499ECB">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rPr>
              <w:t>占标率</w:t>
            </w:r>
            <w:r>
              <w:rPr>
                <w:rFonts w:hint="default" w:ascii="Times New Roman" w:hAnsi="Times New Roman" w:eastAsia="宋体" w:cs="Times New Roman"/>
                <w:b/>
                <w:bCs/>
                <w:sz w:val="21"/>
                <w:szCs w:val="21"/>
                <w:highlight w:val="none"/>
                <w:lang w:val="en-US" w:eastAsia="zh-CN"/>
              </w:rPr>
              <w:t>%</w:t>
            </w:r>
          </w:p>
        </w:tc>
        <w:tc>
          <w:tcPr>
            <w:tcW w:w="651" w:type="pct"/>
            <w:noWrap w:val="0"/>
            <w:vAlign w:val="center"/>
          </w:tcPr>
          <w:p w14:paraId="7FD9CE95">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是否达标</w:t>
            </w:r>
          </w:p>
        </w:tc>
      </w:tr>
      <w:tr w14:paraId="31DA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3" w:type="pct"/>
            <w:vMerge w:val="restart"/>
            <w:noWrap w:val="0"/>
            <w:vAlign w:val="center"/>
          </w:tcPr>
          <w:p w14:paraId="30B03BB1">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岳阳县</w:t>
            </w:r>
          </w:p>
        </w:tc>
        <w:tc>
          <w:tcPr>
            <w:tcW w:w="554" w:type="pct"/>
            <w:noWrap w:val="0"/>
            <w:vAlign w:val="center"/>
          </w:tcPr>
          <w:p w14:paraId="346BF09C">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SO</w:t>
            </w:r>
            <w:r>
              <w:rPr>
                <w:rFonts w:hint="default" w:ascii="Times New Roman" w:hAnsi="Times New Roman" w:eastAsia="宋体" w:cs="Times New Roman"/>
                <w:sz w:val="21"/>
                <w:szCs w:val="21"/>
                <w:highlight w:val="none"/>
                <w:vertAlign w:val="subscript"/>
              </w:rPr>
              <w:t>2</w:t>
            </w:r>
          </w:p>
        </w:tc>
        <w:tc>
          <w:tcPr>
            <w:tcW w:w="1087" w:type="pct"/>
            <w:noWrap w:val="0"/>
            <w:vAlign w:val="center"/>
          </w:tcPr>
          <w:p w14:paraId="64953501">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813" w:type="pct"/>
            <w:noWrap w:val="0"/>
            <w:vAlign w:val="center"/>
          </w:tcPr>
          <w:p w14:paraId="374BBAE6">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w:t>
            </w:r>
          </w:p>
        </w:tc>
        <w:tc>
          <w:tcPr>
            <w:tcW w:w="751" w:type="pct"/>
            <w:noWrap w:val="0"/>
            <w:vAlign w:val="center"/>
          </w:tcPr>
          <w:p w14:paraId="6D13B362">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661" w:type="pct"/>
            <w:noWrap w:val="0"/>
            <w:vAlign w:val="center"/>
          </w:tcPr>
          <w:p w14:paraId="445BA0BC">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8.3</w:t>
            </w:r>
          </w:p>
        </w:tc>
        <w:tc>
          <w:tcPr>
            <w:tcW w:w="651" w:type="pct"/>
            <w:noWrap w:val="0"/>
            <w:vAlign w:val="center"/>
          </w:tcPr>
          <w:p w14:paraId="427658E7">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14:paraId="3192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3" w:type="pct"/>
            <w:vMerge w:val="continue"/>
            <w:noWrap w:val="0"/>
            <w:vAlign w:val="center"/>
          </w:tcPr>
          <w:p w14:paraId="660B9C81">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kern w:val="0"/>
                <w:sz w:val="21"/>
                <w:szCs w:val="21"/>
                <w:highlight w:val="none"/>
              </w:rPr>
            </w:pPr>
          </w:p>
        </w:tc>
        <w:tc>
          <w:tcPr>
            <w:tcW w:w="554" w:type="pct"/>
            <w:noWrap w:val="0"/>
            <w:vAlign w:val="center"/>
          </w:tcPr>
          <w:p w14:paraId="19F92E95">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NO</w:t>
            </w:r>
            <w:r>
              <w:rPr>
                <w:rFonts w:hint="default" w:ascii="Times New Roman" w:hAnsi="Times New Roman" w:eastAsia="宋体" w:cs="Times New Roman"/>
                <w:sz w:val="21"/>
                <w:szCs w:val="21"/>
                <w:highlight w:val="none"/>
                <w:vertAlign w:val="subscript"/>
              </w:rPr>
              <w:t>2</w:t>
            </w:r>
          </w:p>
        </w:tc>
        <w:tc>
          <w:tcPr>
            <w:tcW w:w="1087" w:type="pct"/>
            <w:noWrap w:val="0"/>
            <w:vAlign w:val="center"/>
          </w:tcPr>
          <w:p w14:paraId="383C5667">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813" w:type="pct"/>
            <w:noWrap w:val="0"/>
            <w:vAlign w:val="center"/>
          </w:tcPr>
          <w:p w14:paraId="3A964F71">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w:t>
            </w:r>
          </w:p>
        </w:tc>
        <w:tc>
          <w:tcPr>
            <w:tcW w:w="751" w:type="pct"/>
            <w:noWrap w:val="0"/>
            <w:vAlign w:val="center"/>
          </w:tcPr>
          <w:p w14:paraId="6BBD0129">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c>
          <w:tcPr>
            <w:tcW w:w="661" w:type="pct"/>
            <w:noWrap w:val="0"/>
            <w:vAlign w:val="center"/>
          </w:tcPr>
          <w:p w14:paraId="2B6206A9">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45.0</w:t>
            </w:r>
          </w:p>
        </w:tc>
        <w:tc>
          <w:tcPr>
            <w:tcW w:w="651" w:type="pct"/>
            <w:noWrap w:val="0"/>
            <w:vAlign w:val="center"/>
          </w:tcPr>
          <w:p w14:paraId="6401284D">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14:paraId="148D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3" w:type="pct"/>
            <w:vMerge w:val="continue"/>
            <w:noWrap w:val="0"/>
            <w:vAlign w:val="center"/>
          </w:tcPr>
          <w:p w14:paraId="1030EC23">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kern w:val="0"/>
                <w:sz w:val="21"/>
                <w:szCs w:val="21"/>
                <w:highlight w:val="none"/>
              </w:rPr>
            </w:pPr>
          </w:p>
        </w:tc>
        <w:tc>
          <w:tcPr>
            <w:tcW w:w="554" w:type="pct"/>
            <w:noWrap w:val="0"/>
            <w:vAlign w:val="center"/>
          </w:tcPr>
          <w:p w14:paraId="6EB91A02">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PM</w:t>
            </w:r>
            <w:r>
              <w:rPr>
                <w:rFonts w:hint="default" w:ascii="Times New Roman" w:hAnsi="Times New Roman" w:eastAsia="宋体" w:cs="Times New Roman"/>
                <w:sz w:val="21"/>
                <w:szCs w:val="21"/>
                <w:highlight w:val="none"/>
                <w:vertAlign w:val="subscript"/>
              </w:rPr>
              <w:t>10</w:t>
            </w:r>
          </w:p>
        </w:tc>
        <w:tc>
          <w:tcPr>
            <w:tcW w:w="1087" w:type="pct"/>
            <w:noWrap w:val="0"/>
            <w:vAlign w:val="center"/>
          </w:tcPr>
          <w:p w14:paraId="389143F6">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813" w:type="pct"/>
            <w:noWrap w:val="0"/>
            <w:vAlign w:val="center"/>
          </w:tcPr>
          <w:p w14:paraId="356A28D9">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49</w:t>
            </w:r>
          </w:p>
        </w:tc>
        <w:tc>
          <w:tcPr>
            <w:tcW w:w="751" w:type="pct"/>
            <w:noWrap w:val="0"/>
            <w:vAlign w:val="center"/>
          </w:tcPr>
          <w:p w14:paraId="20929B94">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70</w:t>
            </w:r>
          </w:p>
        </w:tc>
        <w:tc>
          <w:tcPr>
            <w:tcW w:w="661" w:type="pct"/>
            <w:noWrap w:val="0"/>
            <w:vAlign w:val="center"/>
          </w:tcPr>
          <w:p w14:paraId="498BFE72">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70.0</w:t>
            </w:r>
          </w:p>
        </w:tc>
        <w:tc>
          <w:tcPr>
            <w:tcW w:w="651" w:type="pct"/>
            <w:noWrap w:val="0"/>
            <w:vAlign w:val="center"/>
          </w:tcPr>
          <w:p w14:paraId="0680A6DB">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14:paraId="2BC1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3" w:type="pct"/>
            <w:vMerge w:val="continue"/>
            <w:noWrap w:val="0"/>
            <w:vAlign w:val="center"/>
          </w:tcPr>
          <w:p w14:paraId="02C64091">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kern w:val="0"/>
                <w:sz w:val="21"/>
                <w:szCs w:val="21"/>
                <w:highlight w:val="none"/>
              </w:rPr>
            </w:pPr>
          </w:p>
        </w:tc>
        <w:tc>
          <w:tcPr>
            <w:tcW w:w="554" w:type="pct"/>
            <w:noWrap w:val="0"/>
            <w:vAlign w:val="center"/>
          </w:tcPr>
          <w:p w14:paraId="3C1E21C3">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PM</w:t>
            </w:r>
            <w:r>
              <w:rPr>
                <w:rFonts w:hint="default" w:ascii="Times New Roman" w:hAnsi="Times New Roman" w:eastAsia="宋体" w:cs="Times New Roman"/>
                <w:sz w:val="21"/>
                <w:szCs w:val="21"/>
                <w:highlight w:val="none"/>
                <w:vertAlign w:val="subscript"/>
              </w:rPr>
              <w:t>2.5</w:t>
            </w:r>
          </w:p>
        </w:tc>
        <w:tc>
          <w:tcPr>
            <w:tcW w:w="1087" w:type="pct"/>
            <w:noWrap w:val="0"/>
            <w:vAlign w:val="center"/>
          </w:tcPr>
          <w:p w14:paraId="5CA0F399">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年平均质量浓度</w:t>
            </w:r>
          </w:p>
        </w:tc>
        <w:tc>
          <w:tcPr>
            <w:tcW w:w="813" w:type="pct"/>
            <w:noWrap w:val="0"/>
            <w:vAlign w:val="center"/>
          </w:tcPr>
          <w:p w14:paraId="1650EE20">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34</w:t>
            </w:r>
          </w:p>
        </w:tc>
        <w:tc>
          <w:tcPr>
            <w:tcW w:w="751" w:type="pct"/>
            <w:noWrap w:val="0"/>
            <w:vAlign w:val="center"/>
          </w:tcPr>
          <w:p w14:paraId="1FB25D96">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35</w:t>
            </w:r>
          </w:p>
        </w:tc>
        <w:tc>
          <w:tcPr>
            <w:tcW w:w="661" w:type="pct"/>
            <w:noWrap w:val="0"/>
            <w:vAlign w:val="center"/>
          </w:tcPr>
          <w:p w14:paraId="096FC2E5">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97.1</w:t>
            </w:r>
          </w:p>
        </w:tc>
        <w:tc>
          <w:tcPr>
            <w:tcW w:w="651" w:type="pct"/>
            <w:noWrap w:val="0"/>
            <w:vAlign w:val="center"/>
          </w:tcPr>
          <w:p w14:paraId="339FA7A6">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sz w:val="21"/>
                <w:szCs w:val="21"/>
                <w:highlight w:val="none"/>
              </w:rPr>
              <w:t>达标</w:t>
            </w:r>
          </w:p>
        </w:tc>
      </w:tr>
      <w:tr w14:paraId="7114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3" w:type="pct"/>
            <w:vMerge w:val="continue"/>
            <w:noWrap w:val="0"/>
            <w:vAlign w:val="center"/>
          </w:tcPr>
          <w:p w14:paraId="5F5DC413">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kern w:val="0"/>
                <w:sz w:val="21"/>
                <w:szCs w:val="21"/>
                <w:highlight w:val="none"/>
              </w:rPr>
            </w:pPr>
          </w:p>
        </w:tc>
        <w:tc>
          <w:tcPr>
            <w:tcW w:w="554" w:type="pct"/>
            <w:noWrap w:val="0"/>
            <w:vAlign w:val="center"/>
          </w:tcPr>
          <w:p w14:paraId="29A5FAA8">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w:t>
            </w:r>
          </w:p>
        </w:tc>
        <w:tc>
          <w:tcPr>
            <w:tcW w:w="1087" w:type="pct"/>
            <w:noWrap w:val="0"/>
            <w:vAlign w:val="center"/>
          </w:tcPr>
          <w:p w14:paraId="47E0A3BD">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95百分位数日平均质量浓度</w:t>
            </w:r>
          </w:p>
        </w:tc>
        <w:tc>
          <w:tcPr>
            <w:tcW w:w="813" w:type="pct"/>
            <w:noWrap w:val="0"/>
            <w:vAlign w:val="center"/>
          </w:tcPr>
          <w:p w14:paraId="52116908">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900</w:t>
            </w:r>
          </w:p>
        </w:tc>
        <w:tc>
          <w:tcPr>
            <w:tcW w:w="751" w:type="pct"/>
            <w:noWrap w:val="0"/>
            <w:vAlign w:val="center"/>
          </w:tcPr>
          <w:p w14:paraId="123DF785">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4000</w:t>
            </w:r>
          </w:p>
        </w:tc>
        <w:tc>
          <w:tcPr>
            <w:tcW w:w="661" w:type="pct"/>
            <w:noWrap w:val="0"/>
            <w:vAlign w:val="center"/>
          </w:tcPr>
          <w:p w14:paraId="577E244B">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22.5</w:t>
            </w:r>
          </w:p>
        </w:tc>
        <w:tc>
          <w:tcPr>
            <w:tcW w:w="651" w:type="pct"/>
            <w:noWrap w:val="0"/>
            <w:vAlign w:val="center"/>
          </w:tcPr>
          <w:p w14:paraId="6AE3715B">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r w14:paraId="3FAE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3" w:type="pct"/>
            <w:vMerge w:val="continue"/>
            <w:noWrap w:val="0"/>
            <w:vAlign w:val="center"/>
          </w:tcPr>
          <w:p w14:paraId="2C1629A7">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kern w:val="0"/>
                <w:sz w:val="21"/>
                <w:szCs w:val="21"/>
                <w:highlight w:val="none"/>
              </w:rPr>
            </w:pPr>
          </w:p>
        </w:tc>
        <w:tc>
          <w:tcPr>
            <w:tcW w:w="554" w:type="pct"/>
            <w:noWrap w:val="0"/>
            <w:vAlign w:val="center"/>
          </w:tcPr>
          <w:p w14:paraId="3F8245DC">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O</w:t>
            </w:r>
            <w:r>
              <w:rPr>
                <w:rFonts w:hint="default" w:ascii="Times New Roman" w:hAnsi="Times New Roman" w:eastAsia="宋体" w:cs="Times New Roman"/>
                <w:sz w:val="21"/>
                <w:szCs w:val="21"/>
                <w:highlight w:val="none"/>
                <w:vertAlign w:val="subscript"/>
              </w:rPr>
              <w:t>3</w:t>
            </w:r>
          </w:p>
        </w:tc>
        <w:tc>
          <w:tcPr>
            <w:tcW w:w="1087" w:type="pct"/>
            <w:noWrap w:val="0"/>
            <w:vAlign w:val="center"/>
          </w:tcPr>
          <w:p w14:paraId="473E1443">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90百分位数最大8小时平均质量浓度</w:t>
            </w:r>
          </w:p>
        </w:tc>
        <w:tc>
          <w:tcPr>
            <w:tcW w:w="813" w:type="pct"/>
            <w:noWrap w:val="0"/>
            <w:vAlign w:val="center"/>
          </w:tcPr>
          <w:p w14:paraId="72B7FB53">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128</w:t>
            </w:r>
          </w:p>
        </w:tc>
        <w:tc>
          <w:tcPr>
            <w:tcW w:w="751" w:type="pct"/>
            <w:noWrap w:val="0"/>
            <w:vAlign w:val="center"/>
          </w:tcPr>
          <w:p w14:paraId="61D16236">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160</w:t>
            </w:r>
          </w:p>
        </w:tc>
        <w:tc>
          <w:tcPr>
            <w:tcW w:w="661" w:type="pct"/>
            <w:noWrap w:val="0"/>
            <w:vAlign w:val="center"/>
          </w:tcPr>
          <w:p w14:paraId="5A4BBB95">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80.0</w:t>
            </w:r>
          </w:p>
        </w:tc>
        <w:tc>
          <w:tcPr>
            <w:tcW w:w="651" w:type="pct"/>
            <w:noWrap w:val="0"/>
            <w:vAlign w:val="center"/>
          </w:tcPr>
          <w:p w14:paraId="7415EB3B">
            <w:pPr>
              <w:pStyle w:val="3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达标</w:t>
            </w:r>
          </w:p>
        </w:tc>
      </w:tr>
    </w:tbl>
    <w:p w14:paraId="6625A0BD">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eastAsia="仿宋"/>
          <w:highlight w:val="none"/>
          <w:lang w:eastAsia="zh-CN"/>
        </w:rPr>
      </w:pPr>
      <w:r>
        <w:rPr>
          <w:rFonts w:hint="default" w:ascii="Times New Roman" w:hAnsi="Times New Roman" w:eastAsia="宋体" w:cs="Times New Roman"/>
          <w:b w:val="0"/>
          <w:bCs w:val="0"/>
          <w:sz w:val="24"/>
          <w:szCs w:val="24"/>
          <w:highlight w:val="none"/>
          <w:vertAlign w:val="baseline"/>
          <w:lang w:val="en-US" w:eastAsia="zh-CN"/>
        </w:rPr>
        <w:t>项目所在区域的</w:t>
      </w:r>
      <w:r>
        <w:rPr>
          <w:rFonts w:hint="default" w:ascii="Times New Roman" w:hAnsi="Times New Roman" w:eastAsia="宋体" w:cs="Times New Roman"/>
          <w:b w:val="0"/>
          <w:bCs w:val="0"/>
          <w:sz w:val="24"/>
          <w:szCs w:val="24"/>
          <w:highlight w:val="none"/>
        </w:rPr>
        <w:t>SO</w:t>
      </w:r>
      <w:r>
        <w:rPr>
          <w:rFonts w:hint="default" w:ascii="Times New Roman" w:hAnsi="Times New Roman" w:eastAsia="宋体" w:cs="Times New Roman"/>
          <w:b w:val="0"/>
          <w:bCs w:val="0"/>
          <w:sz w:val="24"/>
          <w:szCs w:val="24"/>
          <w:highlight w:val="none"/>
          <w:vertAlign w:val="subscript"/>
        </w:rPr>
        <w:t>2</w:t>
      </w:r>
      <w:r>
        <w:rPr>
          <w:rFonts w:hint="default" w:ascii="Times New Roman" w:hAnsi="Times New Roman" w:eastAsia="宋体" w:cs="Times New Roman"/>
          <w:b w:val="0"/>
          <w:bCs w:val="0"/>
          <w:sz w:val="24"/>
          <w:szCs w:val="24"/>
          <w:highlight w:val="none"/>
        </w:rPr>
        <w:t>、NO</w:t>
      </w:r>
      <w:r>
        <w:rPr>
          <w:rFonts w:hint="default" w:ascii="Times New Roman" w:hAnsi="Times New Roman" w:eastAsia="宋体" w:cs="Times New Roman"/>
          <w:b w:val="0"/>
          <w:bCs w:val="0"/>
          <w:sz w:val="24"/>
          <w:szCs w:val="24"/>
          <w:highlight w:val="none"/>
          <w:vertAlign w:val="subscript"/>
        </w:rPr>
        <w:t>2</w:t>
      </w:r>
      <w:r>
        <w:rPr>
          <w:rFonts w:hint="default" w:ascii="Times New Roman" w:hAnsi="Times New Roman" w:eastAsia="宋体" w:cs="Times New Roman"/>
          <w:b w:val="0"/>
          <w:bCs w:val="0"/>
          <w:sz w:val="24"/>
          <w:szCs w:val="24"/>
          <w:highlight w:val="none"/>
        </w:rPr>
        <w:t>、PM</w:t>
      </w:r>
      <w:r>
        <w:rPr>
          <w:rFonts w:hint="default" w:ascii="Times New Roman" w:hAnsi="Times New Roman" w:eastAsia="宋体" w:cs="Times New Roman"/>
          <w:b w:val="0"/>
          <w:bCs w:val="0"/>
          <w:sz w:val="24"/>
          <w:szCs w:val="24"/>
          <w:highlight w:val="none"/>
          <w:vertAlign w:val="subscript"/>
        </w:rPr>
        <w:t>10</w:t>
      </w:r>
      <w:r>
        <w:rPr>
          <w:rFonts w:hint="default" w:ascii="Times New Roman" w:hAnsi="Times New Roman" w:eastAsia="宋体" w:cs="Times New Roman"/>
          <w:b w:val="0"/>
          <w:bCs w:val="0"/>
          <w:sz w:val="24"/>
          <w:szCs w:val="24"/>
          <w:highlight w:val="none"/>
        </w:rPr>
        <w:t>、PM</w:t>
      </w:r>
      <w:r>
        <w:rPr>
          <w:rFonts w:hint="default" w:ascii="Times New Roman" w:hAnsi="Times New Roman" w:eastAsia="宋体" w:cs="Times New Roman"/>
          <w:b w:val="0"/>
          <w:bCs w:val="0"/>
          <w:sz w:val="24"/>
          <w:szCs w:val="24"/>
          <w:highlight w:val="none"/>
          <w:vertAlign w:val="subscript"/>
        </w:rPr>
        <w:t>2.5</w:t>
      </w:r>
      <w:r>
        <w:rPr>
          <w:rFonts w:hint="default" w:ascii="Times New Roman" w:hAnsi="Times New Roman" w:eastAsia="宋体" w:cs="Times New Roman"/>
          <w:b w:val="0"/>
          <w:bCs w:val="0"/>
          <w:sz w:val="24"/>
          <w:szCs w:val="24"/>
          <w:highlight w:val="none"/>
          <w:vertAlign w:val="baseline"/>
          <w:lang w:eastAsia="zh-CN"/>
        </w:rPr>
        <w:t>、</w:t>
      </w:r>
      <w:r>
        <w:rPr>
          <w:rFonts w:hint="default" w:ascii="Times New Roman" w:hAnsi="Times New Roman" w:eastAsia="宋体" w:cs="Times New Roman"/>
          <w:b w:val="0"/>
          <w:bCs w:val="0"/>
          <w:sz w:val="24"/>
          <w:szCs w:val="24"/>
          <w:highlight w:val="none"/>
        </w:rPr>
        <w:t>CO、O</w:t>
      </w:r>
      <w:r>
        <w:rPr>
          <w:rFonts w:hint="default" w:ascii="Times New Roman" w:hAnsi="Times New Roman" w:eastAsia="宋体" w:cs="Times New Roman"/>
          <w:b w:val="0"/>
          <w:bCs w:val="0"/>
          <w:sz w:val="24"/>
          <w:szCs w:val="24"/>
          <w:highlight w:val="none"/>
          <w:vertAlign w:val="subscript"/>
        </w:rPr>
        <w:t>3</w:t>
      </w:r>
      <w:r>
        <w:rPr>
          <w:rFonts w:hint="default" w:ascii="Times New Roman" w:hAnsi="Times New Roman" w:eastAsia="宋体" w:cs="Times New Roman"/>
          <w:b w:val="0"/>
          <w:bCs w:val="0"/>
          <w:sz w:val="24"/>
          <w:szCs w:val="24"/>
          <w:highlight w:val="none"/>
          <w:vertAlign w:val="baseline"/>
          <w:lang w:val="en-US" w:eastAsia="zh-CN"/>
        </w:rPr>
        <w:t>监测指标均达到《环境空气质量标准》（GB3095-2012）二级标准要求，区域环境质量较好，属于达标区。</w:t>
      </w:r>
    </w:p>
    <w:p w14:paraId="26A4B4EA">
      <w:pPr>
        <w:keepNext w:val="0"/>
        <w:keepLines w:val="0"/>
        <w:pageBreakBefore w:val="0"/>
        <w:numPr>
          <w:ilvl w:val="0"/>
          <w:numId w:val="0"/>
        </w:numPr>
        <w:kinsoku/>
        <w:wordWrap/>
        <w:overflowPunct/>
        <w:topLinePunct w:val="0"/>
        <w:autoSpaceDE/>
        <w:autoSpaceDN/>
        <w:bidi w:val="0"/>
        <w:adjustRightInd/>
        <w:snapToGrid/>
        <w:textAlignment w:val="auto"/>
        <w:rPr>
          <w:rFonts w:hint="eastAsia" w:ascii="Times New Roman" w:hAnsi="Times New Roman" w:eastAsia="宋体" w:cs="Times New Roman"/>
          <w:b/>
          <w:bCs/>
          <w:spacing w:val="-4"/>
          <w:sz w:val="24"/>
          <w:szCs w:val="24"/>
          <w:highlight w:val="none"/>
          <w:lang w:val="en-US" w:eastAsia="zh-CN"/>
        </w:rPr>
      </w:pPr>
      <w:r>
        <w:rPr>
          <w:rFonts w:hint="eastAsia" w:eastAsia="宋体" w:cs="Times New Roman"/>
          <w:b/>
          <w:bCs/>
          <w:spacing w:val="-4"/>
          <w:sz w:val="24"/>
          <w:szCs w:val="24"/>
          <w:highlight w:val="none"/>
          <w:lang w:val="en-US" w:eastAsia="zh-CN"/>
        </w:rPr>
        <w:t>（2）</w:t>
      </w:r>
      <w:r>
        <w:rPr>
          <w:rFonts w:hint="default" w:ascii="Times New Roman" w:hAnsi="Times New Roman" w:eastAsia="宋体" w:cs="Times New Roman"/>
          <w:b/>
          <w:bCs/>
          <w:spacing w:val="-4"/>
          <w:sz w:val="24"/>
          <w:szCs w:val="24"/>
          <w:highlight w:val="none"/>
          <w:lang w:val="en-US" w:eastAsia="zh-CN"/>
        </w:rPr>
        <w:t>其他污染物环境质量现状补充监测</w:t>
      </w:r>
    </w:p>
    <w:p w14:paraId="6996F0B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本项目大气环境影响评价等级为二级，根据《环境影响评价 技术导则 大气环境》(HJ2.2-2018) ，需要对项目特征因子 TSP、TVOC进行现状监测，为了解项目区域特征因子大气环境现状，本次环评委托湖南中额环保科技有限公司于202</w:t>
      </w:r>
      <w:r>
        <w:rPr>
          <w:rFonts w:hint="eastAsia" w:ascii="Times New Roman" w:hAnsi="Times New Roman" w:eastAsia="宋体" w:cs="Times New Roman"/>
          <w:b w:val="0"/>
          <w:bCs w:val="0"/>
          <w:sz w:val="24"/>
          <w:szCs w:val="24"/>
          <w:highlight w:val="none"/>
          <w:vertAlign w:val="baseline"/>
          <w:lang w:val="en-US" w:eastAsia="zh-CN"/>
        </w:rPr>
        <w:t>5</w:t>
      </w:r>
      <w:r>
        <w:rPr>
          <w:rFonts w:hint="default" w:ascii="Times New Roman" w:hAnsi="Times New Roman" w:eastAsia="宋体" w:cs="Times New Roman"/>
          <w:b w:val="0"/>
          <w:bCs w:val="0"/>
          <w:sz w:val="24"/>
          <w:szCs w:val="24"/>
          <w:highlight w:val="none"/>
          <w:vertAlign w:val="baseline"/>
          <w:lang w:val="en-US" w:eastAsia="zh-CN"/>
        </w:rPr>
        <w:t xml:space="preserve"> 年</w:t>
      </w:r>
      <w:r>
        <w:rPr>
          <w:rFonts w:hint="eastAsia" w:ascii="Times New Roman" w:hAnsi="Times New Roman" w:eastAsia="宋体" w:cs="Times New Roman"/>
          <w:b w:val="0"/>
          <w:bCs w:val="0"/>
          <w:sz w:val="24"/>
          <w:szCs w:val="24"/>
          <w:highlight w:val="none"/>
          <w:vertAlign w:val="baseline"/>
          <w:lang w:val="en-US" w:eastAsia="zh-CN"/>
        </w:rPr>
        <w:t>3</w:t>
      </w:r>
      <w:r>
        <w:rPr>
          <w:rFonts w:hint="default" w:ascii="Times New Roman" w:hAnsi="Times New Roman" w:eastAsia="宋体" w:cs="Times New Roman"/>
          <w:b w:val="0"/>
          <w:bCs w:val="0"/>
          <w:sz w:val="24"/>
          <w:szCs w:val="24"/>
          <w:highlight w:val="none"/>
          <w:vertAlign w:val="baseline"/>
          <w:lang w:val="en-US" w:eastAsia="zh-CN"/>
        </w:rPr>
        <w:t xml:space="preserve"> 月</w:t>
      </w:r>
      <w:r>
        <w:rPr>
          <w:rFonts w:hint="eastAsia" w:ascii="Times New Roman" w:hAnsi="Times New Roman" w:eastAsia="宋体" w:cs="Times New Roman"/>
          <w:b w:val="0"/>
          <w:bCs w:val="0"/>
          <w:sz w:val="24"/>
          <w:szCs w:val="24"/>
          <w:highlight w:val="none"/>
          <w:vertAlign w:val="baseline"/>
          <w:lang w:val="en-US" w:eastAsia="zh-CN"/>
        </w:rPr>
        <w:t>25日~</w:t>
      </w:r>
      <w:r>
        <w:rPr>
          <w:rFonts w:hint="default" w:ascii="Times New Roman" w:hAnsi="Times New Roman" w:eastAsia="宋体" w:cs="Times New Roman"/>
          <w:b w:val="0"/>
          <w:bCs w:val="0"/>
          <w:sz w:val="24"/>
          <w:szCs w:val="24"/>
          <w:highlight w:val="none"/>
          <w:vertAlign w:val="baseline"/>
          <w:lang w:val="en-US" w:eastAsia="zh-CN"/>
        </w:rPr>
        <w:t>202</w:t>
      </w:r>
      <w:r>
        <w:rPr>
          <w:rFonts w:hint="eastAsia" w:ascii="Times New Roman" w:hAnsi="Times New Roman" w:eastAsia="宋体" w:cs="Times New Roman"/>
          <w:b w:val="0"/>
          <w:bCs w:val="0"/>
          <w:sz w:val="24"/>
          <w:szCs w:val="24"/>
          <w:highlight w:val="none"/>
          <w:vertAlign w:val="baseline"/>
          <w:lang w:val="en-US" w:eastAsia="zh-CN"/>
        </w:rPr>
        <w:t>5</w:t>
      </w:r>
      <w:r>
        <w:rPr>
          <w:rFonts w:hint="default" w:ascii="Times New Roman" w:hAnsi="Times New Roman" w:eastAsia="宋体" w:cs="Times New Roman"/>
          <w:b w:val="0"/>
          <w:bCs w:val="0"/>
          <w:sz w:val="24"/>
          <w:szCs w:val="24"/>
          <w:highlight w:val="none"/>
          <w:vertAlign w:val="baseline"/>
          <w:lang w:val="en-US" w:eastAsia="zh-CN"/>
        </w:rPr>
        <w:t xml:space="preserve"> 年</w:t>
      </w:r>
      <w:r>
        <w:rPr>
          <w:rFonts w:hint="eastAsia" w:ascii="Times New Roman" w:hAnsi="Times New Roman" w:eastAsia="宋体" w:cs="Times New Roman"/>
          <w:b w:val="0"/>
          <w:bCs w:val="0"/>
          <w:sz w:val="24"/>
          <w:szCs w:val="24"/>
          <w:highlight w:val="none"/>
          <w:vertAlign w:val="baseline"/>
          <w:lang w:val="en-US" w:eastAsia="zh-CN"/>
        </w:rPr>
        <w:t>3月31</w:t>
      </w:r>
      <w:r>
        <w:rPr>
          <w:rFonts w:hint="default" w:ascii="Times New Roman" w:hAnsi="Times New Roman" w:eastAsia="宋体" w:cs="Times New Roman"/>
          <w:b w:val="0"/>
          <w:bCs w:val="0"/>
          <w:sz w:val="24"/>
          <w:szCs w:val="24"/>
          <w:highlight w:val="none"/>
          <w:vertAlign w:val="baseline"/>
          <w:lang w:val="en-US" w:eastAsia="zh-CN"/>
        </w:rPr>
        <w:t>日</w:t>
      </w:r>
      <w:r>
        <w:rPr>
          <w:rFonts w:hint="eastAsia" w:ascii="Times New Roman" w:hAnsi="Times New Roman" w:eastAsia="宋体" w:cs="Times New Roman"/>
          <w:b w:val="0"/>
          <w:bCs w:val="0"/>
          <w:sz w:val="24"/>
          <w:szCs w:val="24"/>
          <w:highlight w:val="none"/>
          <w:vertAlign w:val="baseline"/>
          <w:lang w:val="en-US" w:eastAsia="zh-CN"/>
        </w:rPr>
        <w:t>对</w:t>
      </w:r>
      <w:r>
        <w:rPr>
          <w:rFonts w:hint="default" w:ascii="Times New Roman" w:hAnsi="Times New Roman" w:eastAsia="宋体" w:cs="Times New Roman"/>
          <w:b w:val="0"/>
          <w:bCs w:val="0"/>
          <w:sz w:val="24"/>
          <w:szCs w:val="24"/>
          <w:highlight w:val="none"/>
          <w:vertAlign w:val="baseline"/>
          <w:lang w:val="en-US" w:eastAsia="zh-CN"/>
        </w:rPr>
        <w:t>评价区域内 TSP、TVOC 进行现场采样监测。</w:t>
      </w:r>
    </w:p>
    <w:p w14:paraId="3F134E05">
      <w:pPr>
        <w:keepNext w:val="0"/>
        <w:keepLines w:val="0"/>
        <w:widowControl/>
        <w:suppressLineNumbers w:val="0"/>
        <w:jc w:val="left"/>
        <w:rPr>
          <w:rFonts w:hint="default" w:ascii="Times New Roman" w:hAnsi="Times New Roman" w:eastAsia="宋体" w:cs="Times New Roman"/>
          <w:b/>
          <w:bCs/>
          <w:sz w:val="24"/>
          <w:szCs w:val="24"/>
          <w:highlight w:val="none"/>
          <w:lang w:eastAsia="zh-CN"/>
        </w:rPr>
      </w:pPr>
      <w:r>
        <w:rPr>
          <w:rFonts w:hint="eastAsia" w:ascii="宋体" w:hAnsi="宋体" w:eastAsia="宋体" w:cs="宋体"/>
          <w:color w:val="000000"/>
          <w:kern w:val="0"/>
          <w:sz w:val="24"/>
          <w:szCs w:val="24"/>
          <w:highlight w:val="none"/>
          <w:lang w:val="en-US" w:eastAsia="zh-CN" w:bidi="ar"/>
        </w:rPr>
        <w:t>补充监测情况如下：</w:t>
      </w:r>
    </w:p>
    <w:p w14:paraId="12D722E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表</w:t>
      </w:r>
      <w:r>
        <w:rPr>
          <w:rFonts w:hint="eastAsia" w:ascii="Times New Roman" w:hAnsi="Times New Roman" w:eastAsia="宋体" w:cs="Times New Roman"/>
          <w:b/>
          <w:bCs/>
          <w:sz w:val="24"/>
          <w:szCs w:val="24"/>
          <w:highlight w:val="none"/>
          <w:lang w:val="en-US" w:eastAsia="zh-CN"/>
        </w:rPr>
        <w:t>5.2</w:t>
      </w:r>
      <w:r>
        <w:rPr>
          <w:rFonts w:hint="default" w:ascii="Times New Roman" w:hAnsi="Times New Roman" w:eastAsia="宋体" w:cs="Times New Roman"/>
          <w:b/>
          <w:bCs/>
          <w:sz w:val="24"/>
          <w:szCs w:val="24"/>
          <w:highlight w:val="none"/>
          <w:lang w:eastAsia="zh-CN"/>
        </w:rPr>
        <w:t>-2   其他污染物补充监测点位基本信息</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58"/>
        <w:gridCol w:w="1941"/>
        <w:gridCol w:w="2706"/>
        <w:gridCol w:w="2707"/>
      </w:tblGrid>
      <w:tr w14:paraId="2C6289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680" w:type="pct"/>
            <w:tcBorders>
              <w:tl2br w:val="nil"/>
              <w:tr2bl w:val="nil"/>
            </w:tcBorders>
            <w:vAlign w:val="center"/>
          </w:tcPr>
          <w:p w14:paraId="1B597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序号</w:t>
            </w:r>
          </w:p>
        </w:tc>
        <w:tc>
          <w:tcPr>
            <w:tcW w:w="1140" w:type="pct"/>
            <w:tcBorders>
              <w:tl2br w:val="nil"/>
              <w:tr2bl w:val="nil"/>
            </w:tcBorders>
            <w:vAlign w:val="center"/>
          </w:tcPr>
          <w:p w14:paraId="30BF3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监测点</w:t>
            </w:r>
          </w:p>
        </w:tc>
        <w:tc>
          <w:tcPr>
            <w:tcW w:w="1589" w:type="pct"/>
            <w:tcBorders>
              <w:tl2br w:val="nil"/>
              <w:tr2bl w:val="nil"/>
            </w:tcBorders>
            <w:vAlign w:val="center"/>
          </w:tcPr>
          <w:p w14:paraId="39EE4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监测因子</w:t>
            </w:r>
          </w:p>
        </w:tc>
        <w:tc>
          <w:tcPr>
            <w:tcW w:w="1590" w:type="pct"/>
            <w:tcBorders>
              <w:tl2br w:val="nil"/>
              <w:tr2bl w:val="nil"/>
            </w:tcBorders>
            <w:vAlign w:val="center"/>
          </w:tcPr>
          <w:p w14:paraId="56D29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sz w:val="21"/>
                <w:szCs w:val="21"/>
                <w:highlight w:val="none"/>
                <w:lang w:val="en-US" w:eastAsia="zh-CN"/>
              </w:rPr>
              <w:t>监测频次</w:t>
            </w:r>
          </w:p>
        </w:tc>
      </w:tr>
      <w:tr w14:paraId="7720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0" w:type="pct"/>
            <w:tcBorders>
              <w:tl2br w:val="nil"/>
              <w:tr2bl w:val="nil"/>
            </w:tcBorders>
            <w:vAlign w:val="center"/>
          </w:tcPr>
          <w:p w14:paraId="7095A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G1</w:t>
            </w:r>
          </w:p>
        </w:tc>
        <w:tc>
          <w:tcPr>
            <w:tcW w:w="1140" w:type="pct"/>
            <w:tcBorders>
              <w:tl2br w:val="nil"/>
              <w:tr2bl w:val="nil"/>
            </w:tcBorders>
            <w:vAlign w:val="center"/>
          </w:tcPr>
          <w:p w14:paraId="194EF9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厂址</w:t>
            </w:r>
          </w:p>
        </w:tc>
        <w:tc>
          <w:tcPr>
            <w:tcW w:w="1589" w:type="pct"/>
            <w:vMerge w:val="restart"/>
            <w:tcBorders>
              <w:tl2br w:val="nil"/>
              <w:tr2bl w:val="nil"/>
            </w:tcBorders>
            <w:vAlign w:val="center"/>
          </w:tcPr>
          <w:p w14:paraId="304F4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TS</w:t>
            </w:r>
            <w:r>
              <w:rPr>
                <w:rFonts w:hint="default" w:ascii="Times New Roman" w:hAnsi="Times New Roman" w:eastAsia="宋体" w:cs="Times New Roman"/>
                <w:sz w:val="21"/>
                <w:szCs w:val="21"/>
                <w:highlight w:val="none"/>
                <w:lang w:val="en-US" w:eastAsia="zh-CN"/>
              </w:rPr>
              <w:t>P（日均值）</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TVOC</w:t>
            </w:r>
          </w:p>
        </w:tc>
        <w:tc>
          <w:tcPr>
            <w:tcW w:w="1590" w:type="pct"/>
            <w:vMerge w:val="restart"/>
            <w:tcBorders>
              <w:tl2br w:val="nil"/>
              <w:tr2bl w:val="nil"/>
            </w:tcBorders>
            <w:vAlign w:val="center"/>
          </w:tcPr>
          <w:p w14:paraId="48D800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连续监测7天</w:t>
            </w:r>
          </w:p>
        </w:tc>
      </w:tr>
      <w:tr w14:paraId="554D10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0" w:type="pct"/>
            <w:tcBorders>
              <w:tl2br w:val="nil"/>
              <w:tr2bl w:val="nil"/>
            </w:tcBorders>
            <w:vAlign w:val="center"/>
          </w:tcPr>
          <w:p w14:paraId="535DA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G2</w:t>
            </w:r>
          </w:p>
        </w:tc>
        <w:tc>
          <w:tcPr>
            <w:tcW w:w="1140" w:type="pct"/>
            <w:tcBorders>
              <w:tl2br w:val="nil"/>
              <w:tr2bl w:val="nil"/>
            </w:tcBorders>
            <w:vAlign w:val="center"/>
          </w:tcPr>
          <w:p w14:paraId="6171E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项目地主导风向下风向442米</w:t>
            </w:r>
          </w:p>
        </w:tc>
        <w:tc>
          <w:tcPr>
            <w:tcW w:w="1589" w:type="pct"/>
            <w:vMerge w:val="continue"/>
            <w:tcBorders>
              <w:tl2br w:val="nil"/>
              <w:tr2bl w:val="nil"/>
            </w:tcBorders>
            <w:vAlign w:val="center"/>
          </w:tcPr>
          <w:p w14:paraId="2C5B2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590" w:type="pct"/>
            <w:vMerge w:val="continue"/>
            <w:tcBorders>
              <w:tl2br w:val="nil"/>
              <w:tr2bl w:val="nil"/>
            </w:tcBorders>
            <w:vAlign w:val="center"/>
          </w:tcPr>
          <w:p w14:paraId="1E950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r>
    </w:tbl>
    <w:p w14:paraId="74BC853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检测结果如下：</w:t>
      </w:r>
    </w:p>
    <w:p w14:paraId="764B282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b/>
          <w:bCs/>
          <w:sz w:val="24"/>
          <w:szCs w:val="24"/>
          <w:highlight w:val="none"/>
          <w:lang w:eastAsia="zh-CN"/>
        </w:rPr>
        <w:t>表5.</w:t>
      </w:r>
      <w:r>
        <w:rPr>
          <w:rFonts w:hint="eastAsia"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bCs/>
          <w:sz w:val="24"/>
          <w:szCs w:val="24"/>
          <w:highlight w:val="none"/>
          <w:lang w:eastAsia="zh-CN"/>
        </w:rPr>
        <w:t>-</w:t>
      </w:r>
      <w:r>
        <w:rPr>
          <w:rFonts w:hint="eastAsia" w:ascii="Times New Roman" w:hAnsi="Times New Roman" w:eastAsia="宋体" w:cs="Times New Roman"/>
          <w:b/>
          <w:bCs/>
          <w:sz w:val="24"/>
          <w:szCs w:val="24"/>
          <w:highlight w:val="none"/>
          <w:lang w:val="en-US" w:eastAsia="zh-CN"/>
        </w:rPr>
        <w:t>3</w:t>
      </w:r>
      <w:r>
        <w:rPr>
          <w:rFonts w:hint="default" w:ascii="Times New Roman" w:hAnsi="Times New Roman" w:eastAsia="宋体" w:cs="Times New Roman"/>
          <w:b/>
          <w:bCs/>
          <w:sz w:val="24"/>
          <w:szCs w:val="24"/>
          <w:highlight w:val="none"/>
          <w:lang w:eastAsia="zh-CN"/>
        </w:rPr>
        <w:t xml:space="preserve">   环境空气检测结果</w:t>
      </w:r>
    </w:p>
    <w:tbl>
      <w:tblPr>
        <w:tblStyle w:val="37"/>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762"/>
        <w:gridCol w:w="711"/>
        <w:gridCol w:w="1277"/>
        <w:gridCol w:w="1058"/>
        <w:gridCol w:w="1079"/>
        <w:gridCol w:w="1047"/>
        <w:gridCol w:w="814"/>
        <w:gridCol w:w="737"/>
      </w:tblGrid>
      <w:tr w14:paraId="2280F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040" w:type="dxa"/>
            <w:vMerge w:val="restart"/>
            <w:tcBorders>
              <w:tl2br w:val="nil"/>
              <w:tr2bl w:val="nil"/>
            </w:tcBorders>
            <w:vAlign w:val="center"/>
          </w:tcPr>
          <w:p w14:paraId="3665CA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p w14:paraId="0F49B6A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3"/>
                <w:sz w:val="21"/>
                <w:szCs w:val="21"/>
                <w:highlight w:val="none"/>
              </w:rPr>
              <w:t>点位名</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spacing w:val="1"/>
                <w:sz w:val="21"/>
                <w:szCs w:val="21"/>
                <w:highlight w:val="none"/>
              </w:rPr>
              <w:t>称</w:t>
            </w:r>
          </w:p>
        </w:tc>
        <w:tc>
          <w:tcPr>
            <w:tcW w:w="1473" w:type="dxa"/>
            <w:gridSpan w:val="2"/>
            <w:tcBorders>
              <w:tl2br w:val="nil"/>
              <w:tr2bl w:val="nil"/>
            </w:tcBorders>
            <w:vAlign w:val="center"/>
          </w:tcPr>
          <w:p w14:paraId="701B686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7"/>
                <w:sz w:val="21"/>
                <w:szCs w:val="21"/>
                <w:highlight w:val="none"/>
              </w:rPr>
              <w:t>监测点坐标</w:t>
            </w:r>
            <w:r>
              <w:rPr>
                <w:rFonts w:hint="default" w:ascii="Times New Roman" w:hAnsi="Times New Roman" w:eastAsia="宋体" w:cs="Times New Roman"/>
                <w:b/>
                <w:bCs/>
                <w:spacing w:val="7"/>
                <w:sz w:val="21"/>
                <w:szCs w:val="21"/>
                <w:highlight w:val="none"/>
                <w:lang w:val="en-US" w:eastAsia="zh-CN"/>
              </w:rPr>
              <w:t>/度</w:t>
            </w:r>
          </w:p>
        </w:tc>
        <w:tc>
          <w:tcPr>
            <w:tcW w:w="1277" w:type="dxa"/>
            <w:vMerge w:val="restart"/>
            <w:tcBorders>
              <w:tl2br w:val="nil"/>
              <w:tr2bl w:val="nil"/>
            </w:tcBorders>
            <w:vAlign w:val="center"/>
          </w:tcPr>
          <w:p w14:paraId="2FAC50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p w14:paraId="757B573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污染物</w:t>
            </w:r>
          </w:p>
        </w:tc>
        <w:tc>
          <w:tcPr>
            <w:tcW w:w="1058" w:type="dxa"/>
            <w:vMerge w:val="restart"/>
            <w:tcBorders>
              <w:tl2br w:val="nil"/>
              <w:tr2bl w:val="nil"/>
            </w:tcBorders>
            <w:vAlign w:val="center"/>
          </w:tcPr>
          <w:p w14:paraId="552919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p w14:paraId="205411C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7"/>
                <w:sz w:val="21"/>
                <w:szCs w:val="21"/>
                <w:highlight w:val="none"/>
              </w:rPr>
              <w:t>评价标准</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spacing w:val="39"/>
                <w:w w:val="101"/>
                <w:sz w:val="21"/>
                <w:szCs w:val="21"/>
                <w:highlight w:val="none"/>
              </w:rPr>
              <w:t xml:space="preserve"> </w:t>
            </w:r>
            <w:r>
              <w:rPr>
                <w:rFonts w:hint="default" w:ascii="Times New Roman" w:hAnsi="Times New Roman" w:eastAsia="宋体" w:cs="Times New Roman"/>
                <w:b/>
                <w:bCs/>
                <w:sz w:val="21"/>
                <w:szCs w:val="21"/>
                <w:highlight w:val="none"/>
              </w:rPr>
              <w:t>(</w:t>
            </w:r>
            <w:r>
              <w:rPr>
                <w:rFonts w:hint="default" w:ascii="Times New Roman" w:hAnsi="Times New Roman" w:eastAsia="宋体" w:cs="Times New Roman"/>
                <w:b/>
                <w:bCs/>
                <w:sz w:val="21"/>
                <w:szCs w:val="21"/>
                <w:highlight w:val="none"/>
                <w:lang w:val="en-US" w:eastAsia="zh-CN"/>
              </w:rPr>
              <w:t>m</w:t>
            </w:r>
            <w:r>
              <w:rPr>
                <w:rFonts w:hint="default" w:ascii="Times New Roman" w:hAnsi="Times New Roman" w:eastAsia="宋体" w:cs="Times New Roman"/>
                <w:b/>
                <w:bCs/>
                <w:sz w:val="21"/>
                <w:szCs w:val="21"/>
                <w:highlight w:val="none"/>
              </w:rPr>
              <w:t>g/m</w:t>
            </w:r>
            <w:r>
              <w:rPr>
                <w:rFonts w:hint="default" w:ascii="Times New Roman" w:hAnsi="Times New Roman" w:eastAsia="宋体" w:cs="Times New Roman"/>
                <w:b/>
                <w:bCs/>
                <w:position w:val="6"/>
                <w:sz w:val="21"/>
                <w:szCs w:val="21"/>
                <w:highlight w:val="none"/>
              </w:rPr>
              <w:t>3</w:t>
            </w:r>
            <w:r>
              <w:rPr>
                <w:rFonts w:hint="default" w:ascii="Times New Roman" w:hAnsi="Times New Roman" w:eastAsia="宋体" w:cs="Times New Roman"/>
                <w:b/>
                <w:bCs/>
                <w:sz w:val="21"/>
                <w:szCs w:val="21"/>
                <w:highlight w:val="none"/>
              </w:rPr>
              <w:t>）</w:t>
            </w:r>
          </w:p>
        </w:tc>
        <w:tc>
          <w:tcPr>
            <w:tcW w:w="1079" w:type="dxa"/>
            <w:vMerge w:val="restart"/>
            <w:tcBorders>
              <w:tl2br w:val="nil"/>
              <w:tr2bl w:val="nil"/>
            </w:tcBorders>
            <w:vAlign w:val="center"/>
          </w:tcPr>
          <w:p w14:paraId="3519B0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p w14:paraId="6BDAF12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6"/>
                <w:sz w:val="21"/>
                <w:szCs w:val="21"/>
                <w:highlight w:val="none"/>
              </w:rPr>
              <w:t>现状浓度</w:t>
            </w:r>
            <w:r>
              <w:rPr>
                <w:rFonts w:hint="default" w:ascii="Times New Roman" w:hAnsi="Times New Roman" w:eastAsia="宋体" w:cs="Times New Roman"/>
                <w:b/>
                <w:bCs/>
                <w:color w:val="auto"/>
                <w:sz w:val="21"/>
                <w:szCs w:val="21"/>
                <w:highlight w:val="none"/>
                <w:u w:val="none" w:color="auto"/>
              </w:rPr>
              <w:t>范围/</w:t>
            </w:r>
            <w:r>
              <w:rPr>
                <w:rFonts w:hint="default" w:ascii="Times New Roman" w:hAnsi="Times New Roman" w:eastAsia="宋体" w:cs="Times New Roman"/>
                <w:b/>
                <w:bCs/>
                <w:spacing w:val="1"/>
                <w:sz w:val="21"/>
                <w:szCs w:val="21"/>
                <w:highlight w:val="none"/>
              </w:rPr>
              <w:t xml:space="preserve">  /  (</w:t>
            </w:r>
            <w:r>
              <w:rPr>
                <w:rFonts w:hint="default" w:ascii="Times New Roman" w:hAnsi="Times New Roman" w:eastAsia="宋体" w:cs="Times New Roman"/>
                <w:b/>
                <w:bCs/>
                <w:spacing w:val="1"/>
                <w:sz w:val="21"/>
                <w:szCs w:val="21"/>
                <w:highlight w:val="none"/>
                <w:lang w:val="en-US" w:eastAsia="zh-CN"/>
              </w:rPr>
              <w:t>m</w:t>
            </w:r>
            <w:r>
              <w:rPr>
                <w:rFonts w:hint="default" w:ascii="Times New Roman" w:hAnsi="Times New Roman" w:eastAsia="宋体" w:cs="Times New Roman"/>
                <w:b/>
                <w:bCs/>
                <w:spacing w:val="1"/>
                <w:sz w:val="21"/>
                <w:szCs w:val="21"/>
                <w:highlight w:val="none"/>
              </w:rPr>
              <w:t>g/m</w:t>
            </w:r>
            <w:r>
              <w:rPr>
                <w:rFonts w:hint="default" w:ascii="Times New Roman" w:hAnsi="Times New Roman" w:eastAsia="宋体" w:cs="Times New Roman"/>
                <w:b/>
                <w:bCs/>
                <w:spacing w:val="1"/>
                <w:position w:val="6"/>
                <w:sz w:val="21"/>
                <w:szCs w:val="21"/>
                <w:highlight w:val="none"/>
              </w:rPr>
              <w:t>3</w:t>
            </w:r>
            <w:r>
              <w:rPr>
                <w:rFonts w:hint="default" w:ascii="Times New Roman" w:hAnsi="Times New Roman" w:eastAsia="宋体" w:cs="Times New Roman"/>
                <w:b/>
                <w:bCs/>
                <w:spacing w:val="1"/>
                <w:sz w:val="21"/>
                <w:szCs w:val="21"/>
                <w:highlight w:val="none"/>
              </w:rPr>
              <w:t>）</w:t>
            </w:r>
          </w:p>
        </w:tc>
        <w:tc>
          <w:tcPr>
            <w:tcW w:w="1047" w:type="dxa"/>
            <w:vMerge w:val="restart"/>
            <w:tcBorders>
              <w:tl2br w:val="nil"/>
              <w:tr2bl w:val="nil"/>
            </w:tcBorders>
            <w:vAlign w:val="center"/>
          </w:tcPr>
          <w:p w14:paraId="5ED010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p w14:paraId="0010553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color w:val="auto"/>
                <w:sz w:val="21"/>
                <w:szCs w:val="21"/>
                <w:highlight w:val="none"/>
                <w:u w:val="none" w:color="auto"/>
              </w:rPr>
              <w:t>最大浓度占标率/%</w:t>
            </w:r>
          </w:p>
        </w:tc>
        <w:tc>
          <w:tcPr>
            <w:tcW w:w="814" w:type="dxa"/>
            <w:vMerge w:val="restart"/>
            <w:tcBorders>
              <w:tl2br w:val="nil"/>
              <w:tr2bl w:val="nil"/>
            </w:tcBorders>
            <w:vAlign w:val="center"/>
          </w:tcPr>
          <w:p w14:paraId="78FC58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p w14:paraId="6CAA697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5"/>
                <w:sz w:val="21"/>
                <w:szCs w:val="21"/>
                <w:highlight w:val="none"/>
              </w:rPr>
              <w:t>超标</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spacing w:val="2"/>
                <w:sz w:val="21"/>
                <w:szCs w:val="21"/>
                <w:highlight w:val="none"/>
              </w:rPr>
              <w:t>率/%</w:t>
            </w:r>
          </w:p>
        </w:tc>
        <w:tc>
          <w:tcPr>
            <w:tcW w:w="737" w:type="dxa"/>
            <w:vMerge w:val="restart"/>
            <w:tcBorders>
              <w:tl2br w:val="nil"/>
              <w:tr2bl w:val="nil"/>
            </w:tcBorders>
            <w:vAlign w:val="center"/>
          </w:tcPr>
          <w:p w14:paraId="2B27BB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p>
          <w:p w14:paraId="533AFDC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5"/>
                <w:sz w:val="21"/>
                <w:szCs w:val="21"/>
                <w:highlight w:val="none"/>
              </w:rPr>
              <w:t>达标</w:t>
            </w:r>
          </w:p>
          <w:p w14:paraId="727BB56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4"/>
                <w:sz w:val="21"/>
                <w:szCs w:val="21"/>
                <w:highlight w:val="none"/>
              </w:rPr>
              <w:t>情况</w:t>
            </w:r>
          </w:p>
        </w:tc>
      </w:tr>
      <w:tr w14:paraId="1832E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040" w:type="dxa"/>
            <w:vMerge w:val="continue"/>
            <w:tcBorders>
              <w:tl2br w:val="nil"/>
              <w:tr2bl w:val="nil"/>
            </w:tcBorders>
            <w:vAlign w:val="center"/>
          </w:tcPr>
          <w:p w14:paraId="5CB32D8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3"/>
                <w:sz w:val="21"/>
                <w:szCs w:val="21"/>
                <w:highlight w:val="none"/>
              </w:rPr>
            </w:pPr>
          </w:p>
        </w:tc>
        <w:tc>
          <w:tcPr>
            <w:tcW w:w="762" w:type="dxa"/>
            <w:tcBorders>
              <w:tl2br w:val="nil"/>
              <w:tr2bl w:val="nil"/>
            </w:tcBorders>
            <w:vAlign w:val="center"/>
          </w:tcPr>
          <w:p w14:paraId="514A10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color w:val="auto"/>
                <w:sz w:val="21"/>
                <w:szCs w:val="21"/>
                <w:highlight w:val="none"/>
                <w:u w:val="none" w:color="auto"/>
              </w:rPr>
              <w:t>X</w:t>
            </w:r>
          </w:p>
        </w:tc>
        <w:tc>
          <w:tcPr>
            <w:tcW w:w="711" w:type="dxa"/>
            <w:tcBorders>
              <w:tl2br w:val="nil"/>
              <w:tr2bl w:val="nil"/>
            </w:tcBorders>
            <w:vAlign w:val="center"/>
          </w:tcPr>
          <w:p w14:paraId="417A89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color w:val="auto"/>
                <w:sz w:val="21"/>
                <w:szCs w:val="21"/>
                <w:highlight w:val="none"/>
                <w:u w:val="none" w:color="auto"/>
              </w:rPr>
              <w:t>Y</w:t>
            </w:r>
          </w:p>
        </w:tc>
        <w:tc>
          <w:tcPr>
            <w:tcW w:w="1277" w:type="dxa"/>
            <w:vMerge w:val="continue"/>
            <w:tcBorders>
              <w:tl2br w:val="nil"/>
              <w:tr2bl w:val="nil"/>
            </w:tcBorders>
            <w:vAlign w:val="center"/>
          </w:tcPr>
          <w:p w14:paraId="4FBEC42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rPr>
            </w:pPr>
          </w:p>
        </w:tc>
        <w:tc>
          <w:tcPr>
            <w:tcW w:w="1058" w:type="dxa"/>
            <w:vMerge w:val="continue"/>
            <w:tcBorders>
              <w:tl2br w:val="nil"/>
              <w:tr2bl w:val="nil"/>
            </w:tcBorders>
            <w:vAlign w:val="center"/>
          </w:tcPr>
          <w:p w14:paraId="22ED1E2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7"/>
                <w:sz w:val="21"/>
                <w:szCs w:val="21"/>
                <w:highlight w:val="none"/>
              </w:rPr>
            </w:pPr>
          </w:p>
        </w:tc>
        <w:tc>
          <w:tcPr>
            <w:tcW w:w="1079" w:type="dxa"/>
            <w:vMerge w:val="continue"/>
            <w:tcBorders>
              <w:tl2br w:val="nil"/>
              <w:tr2bl w:val="nil"/>
            </w:tcBorders>
            <w:vAlign w:val="center"/>
          </w:tcPr>
          <w:p w14:paraId="10F7A7E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rPr>
            </w:pPr>
          </w:p>
        </w:tc>
        <w:tc>
          <w:tcPr>
            <w:tcW w:w="1047" w:type="dxa"/>
            <w:vMerge w:val="continue"/>
            <w:tcBorders>
              <w:tl2br w:val="nil"/>
              <w:tr2bl w:val="nil"/>
            </w:tcBorders>
            <w:vAlign w:val="center"/>
          </w:tcPr>
          <w:p w14:paraId="6726F99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u w:val="none" w:color="auto"/>
              </w:rPr>
            </w:pPr>
          </w:p>
        </w:tc>
        <w:tc>
          <w:tcPr>
            <w:tcW w:w="814" w:type="dxa"/>
            <w:vMerge w:val="continue"/>
            <w:tcBorders>
              <w:tl2br w:val="nil"/>
              <w:tr2bl w:val="nil"/>
            </w:tcBorders>
            <w:vAlign w:val="center"/>
          </w:tcPr>
          <w:p w14:paraId="712A3C4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5"/>
                <w:sz w:val="21"/>
                <w:szCs w:val="21"/>
                <w:highlight w:val="none"/>
              </w:rPr>
            </w:pPr>
          </w:p>
        </w:tc>
        <w:tc>
          <w:tcPr>
            <w:tcW w:w="737" w:type="dxa"/>
            <w:vMerge w:val="continue"/>
            <w:tcBorders>
              <w:tl2br w:val="nil"/>
              <w:tr2bl w:val="nil"/>
            </w:tcBorders>
            <w:vAlign w:val="center"/>
          </w:tcPr>
          <w:p w14:paraId="07F7A35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p>
        </w:tc>
      </w:tr>
      <w:tr w14:paraId="1E77A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40" w:type="dxa"/>
            <w:vMerge w:val="restart"/>
            <w:tcBorders>
              <w:tl2br w:val="nil"/>
              <w:tr2bl w:val="nil"/>
            </w:tcBorders>
            <w:vAlign w:val="center"/>
          </w:tcPr>
          <w:p w14:paraId="183847D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3"/>
                <w:sz w:val="21"/>
                <w:szCs w:val="21"/>
                <w:highlight w:val="none"/>
              </w:rPr>
            </w:pPr>
            <w:r>
              <w:rPr>
                <w:rFonts w:hint="default" w:ascii="Times New Roman" w:hAnsi="Times New Roman" w:eastAsia="宋体" w:cs="Times New Roman"/>
                <w:b w:val="0"/>
                <w:bCs w:val="0"/>
                <w:sz w:val="21"/>
                <w:szCs w:val="21"/>
                <w:highlight w:val="none"/>
              </w:rPr>
              <w:t>G1</w:t>
            </w:r>
            <w:r>
              <w:rPr>
                <w:rFonts w:hint="default" w:ascii="Times New Roman" w:hAnsi="Times New Roman" w:eastAsia="宋体" w:cs="Times New Roman"/>
                <w:b w:val="0"/>
                <w:bCs w:val="0"/>
                <w:sz w:val="21"/>
                <w:szCs w:val="21"/>
                <w:highlight w:val="none"/>
                <w:lang w:val="en-US" w:eastAsia="zh-CN"/>
              </w:rPr>
              <w:t>厂址</w:t>
            </w:r>
          </w:p>
        </w:tc>
        <w:tc>
          <w:tcPr>
            <w:tcW w:w="762" w:type="dxa"/>
            <w:vMerge w:val="restart"/>
            <w:tcBorders>
              <w:tl2br w:val="nil"/>
              <w:tr2bl w:val="nil"/>
            </w:tcBorders>
            <w:vAlign w:val="center"/>
          </w:tcPr>
          <w:p w14:paraId="2A05EF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b w:val="0"/>
                <w:bCs w:val="0"/>
                <w:spacing w:val="4"/>
                <w:sz w:val="21"/>
                <w:szCs w:val="21"/>
                <w:highlight w:val="none"/>
              </w:rPr>
              <w:t>113.140391750</w:t>
            </w:r>
          </w:p>
        </w:tc>
        <w:tc>
          <w:tcPr>
            <w:tcW w:w="711" w:type="dxa"/>
            <w:vMerge w:val="restart"/>
            <w:tcBorders>
              <w:tl2br w:val="nil"/>
              <w:tr2bl w:val="nil"/>
            </w:tcBorders>
            <w:vAlign w:val="center"/>
          </w:tcPr>
          <w:p w14:paraId="2374C8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b w:val="0"/>
                <w:bCs w:val="0"/>
                <w:spacing w:val="4"/>
                <w:sz w:val="21"/>
                <w:szCs w:val="21"/>
                <w:highlight w:val="none"/>
              </w:rPr>
              <w:t>29.121886025</w:t>
            </w:r>
          </w:p>
        </w:tc>
        <w:tc>
          <w:tcPr>
            <w:tcW w:w="1277" w:type="dxa"/>
            <w:tcBorders>
              <w:tl2br w:val="nil"/>
              <w:tr2bl w:val="nil"/>
            </w:tcBorders>
            <w:vAlign w:val="center"/>
          </w:tcPr>
          <w:p w14:paraId="100B377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rPr>
            </w:pPr>
            <w:r>
              <w:rPr>
                <w:rFonts w:hint="default" w:ascii="Times New Roman" w:hAnsi="Times New Roman" w:eastAsia="宋体" w:cs="Times New Roman"/>
                <w:b w:val="0"/>
                <w:bCs w:val="0"/>
                <w:sz w:val="21"/>
                <w:szCs w:val="21"/>
                <w:highlight w:val="none"/>
              </w:rPr>
              <w:t>TS</w:t>
            </w:r>
            <w:r>
              <w:rPr>
                <w:rFonts w:hint="default" w:ascii="Times New Roman" w:hAnsi="Times New Roman" w:eastAsia="宋体" w:cs="Times New Roman"/>
                <w:b w:val="0"/>
                <w:bCs w:val="0"/>
                <w:sz w:val="21"/>
                <w:szCs w:val="21"/>
                <w:highlight w:val="none"/>
                <w:lang w:val="en-US" w:eastAsia="zh-CN"/>
              </w:rPr>
              <w:t>P（日均值）</w:t>
            </w:r>
          </w:p>
        </w:tc>
        <w:tc>
          <w:tcPr>
            <w:tcW w:w="1058" w:type="dxa"/>
            <w:tcBorders>
              <w:tl2br w:val="nil"/>
              <w:tr2bl w:val="nil"/>
            </w:tcBorders>
            <w:vAlign w:val="center"/>
          </w:tcPr>
          <w:p w14:paraId="4F8723E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7"/>
                <w:sz w:val="21"/>
                <w:szCs w:val="21"/>
                <w:highlight w:val="none"/>
                <w:lang w:val="en-US" w:eastAsia="zh-CN"/>
              </w:rPr>
            </w:pPr>
            <w:r>
              <w:rPr>
                <w:rFonts w:hint="default" w:ascii="Times New Roman" w:hAnsi="Times New Roman" w:eastAsia="宋体" w:cs="Times New Roman"/>
                <w:b w:val="0"/>
                <w:bCs w:val="0"/>
                <w:spacing w:val="7"/>
                <w:sz w:val="21"/>
                <w:szCs w:val="21"/>
                <w:highlight w:val="none"/>
                <w:lang w:val="en-US" w:eastAsia="zh-CN"/>
              </w:rPr>
              <w:t>0.3</w:t>
            </w:r>
          </w:p>
        </w:tc>
        <w:tc>
          <w:tcPr>
            <w:tcW w:w="1079" w:type="dxa"/>
            <w:tcBorders>
              <w:tl2br w:val="nil"/>
              <w:tr2bl w:val="nil"/>
            </w:tcBorders>
            <w:vAlign w:val="center"/>
          </w:tcPr>
          <w:p w14:paraId="257DA9E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7"/>
                <w:sz w:val="21"/>
                <w:szCs w:val="21"/>
                <w:highlight w:val="none"/>
                <w:lang w:val="en-US" w:eastAsia="zh-CN"/>
              </w:rPr>
            </w:pPr>
            <w:r>
              <w:rPr>
                <w:rFonts w:hint="eastAsia" w:ascii="Times New Roman" w:hAnsi="Times New Roman" w:eastAsia="宋体" w:cs="Times New Roman"/>
                <w:b w:val="0"/>
                <w:bCs w:val="0"/>
                <w:spacing w:val="7"/>
                <w:sz w:val="21"/>
                <w:szCs w:val="21"/>
                <w:highlight w:val="none"/>
                <w:lang w:val="en-US" w:eastAsia="zh-CN"/>
              </w:rPr>
              <w:t>0.090</w:t>
            </w:r>
            <w:r>
              <w:rPr>
                <w:rFonts w:hint="default" w:ascii="Times New Roman" w:hAnsi="Times New Roman" w:eastAsia="宋体" w:cs="Times New Roman"/>
                <w:b w:val="0"/>
                <w:bCs w:val="0"/>
                <w:spacing w:val="7"/>
                <w:sz w:val="21"/>
                <w:szCs w:val="21"/>
                <w:highlight w:val="none"/>
                <w:lang w:val="en-US" w:eastAsia="zh-CN"/>
              </w:rPr>
              <w:t>~</w:t>
            </w:r>
            <w:r>
              <w:rPr>
                <w:rFonts w:hint="eastAsia" w:ascii="Times New Roman" w:hAnsi="Times New Roman" w:eastAsia="宋体" w:cs="Times New Roman"/>
                <w:b w:val="0"/>
                <w:bCs w:val="0"/>
                <w:spacing w:val="7"/>
                <w:sz w:val="21"/>
                <w:szCs w:val="21"/>
                <w:highlight w:val="none"/>
                <w:lang w:val="en-US" w:eastAsia="zh-CN"/>
              </w:rPr>
              <w:t>0.110</w:t>
            </w:r>
          </w:p>
        </w:tc>
        <w:tc>
          <w:tcPr>
            <w:tcW w:w="1047" w:type="dxa"/>
            <w:tcBorders>
              <w:tl2br w:val="nil"/>
              <w:tr2bl w:val="nil"/>
            </w:tcBorders>
            <w:vAlign w:val="center"/>
          </w:tcPr>
          <w:p w14:paraId="44EA296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36.6</w:t>
            </w:r>
          </w:p>
        </w:tc>
        <w:tc>
          <w:tcPr>
            <w:tcW w:w="814" w:type="dxa"/>
            <w:tcBorders>
              <w:tl2br w:val="nil"/>
              <w:tr2bl w:val="nil"/>
            </w:tcBorders>
            <w:vAlign w:val="center"/>
          </w:tcPr>
          <w:p w14:paraId="03B0411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spacing w:val="5"/>
                <w:sz w:val="21"/>
                <w:szCs w:val="21"/>
                <w:highlight w:val="none"/>
                <w:lang w:val="en-US" w:eastAsia="zh-CN"/>
              </w:rPr>
            </w:pPr>
            <w:r>
              <w:rPr>
                <w:rFonts w:hint="eastAsia" w:ascii="Times New Roman" w:hAnsi="Times New Roman" w:eastAsia="宋体" w:cs="Times New Roman"/>
                <w:b w:val="0"/>
                <w:bCs w:val="0"/>
                <w:spacing w:val="5"/>
                <w:sz w:val="21"/>
                <w:szCs w:val="21"/>
                <w:highlight w:val="none"/>
                <w:lang w:val="en-US" w:eastAsia="zh-CN"/>
              </w:rPr>
              <w:t>0</w:t>
            </w:r>
          </w:p>
        </w:tc>
        <w:tc>
          <w:tcPr>
            <w:tcW w:w="737" w:type="dxa"/>
            <w:tcBorders>
              <w:tl2br w:val="nil"/>
              <w:tr2bl w:val="nil"/>
            </w:tcBorders>
            <w:vAlign w:val="center"/>
          </w:tcPr>
          <w:p w14:paraId="51A620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color w:val="auto"/>
                <w:sz w:val="21"/>
                <w:szCs w:val="21"/>
                <w:highlight w:val="none"/>
                <w:u w:val="none" w:color="auto"/>
              </w:rPr>
              <w:t>达标</w:t>
            </w:r>
          </w:p>
        </w:tc>
      </w:tr>
      <w:tr w14:paraId="6A195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40" w:type="dxa"/>
            <w:vMerge w:val="continue"/>
            <w:tcBorders>
              <w:tl2br w:val="nil"/>
              <w:tr2bl w:val="nil"/>
            </w:tcBorders>
            <w:vAlign w:val="center"/>
          </w:tcPr>
          <w:p w14:paraId="0E2F084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highlight w:val="none"/>
              </w:rPr>
            </w:pPr>
          </w:p>
        </w:tc>
        <w:tc>
          <w:tcPr>
            <w:tcW w:w="762" w:type="dxa"/>
            <w:vMerge w:val="continue"/>
            <w:tcBorders>
              <w:tl2br w:val="nil"/>
              <w:tr2bl w:val="nil"/>
            </w:tcBorders>
            <w:vAlign w:val="center"/>
          </w:tcPr>
          <w:p w14:paraId="6C2ED0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p>
        </w:tc>
        <w:tc>
          <w:tcPr>
            <w:tcW w:w="711" w:type="dxa"/>
            <w:vMerge w:val="continue"/>
            <w:tcBorders>
              <w:tl2br w:val="nil"/>
              <w:tr2bl w:val="nil"/>
            </w:tcBorders>
            <w:vAlign w:val="center"/>
          </w:tcPr>
          <w:p w14:paraId="4C92EB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p>
        </w:tc>
        <w:tc>
          <w:tcPr>
            <w:tcW w:w="1277" w:type="dxa"/>
            <w:tcBorders>
              <w:tl2br w:val="nil"/>
              <w:tr2bl w:val="nil"/>
            </w:tcBorders>
            <w:vAlign w:val="center"/>
          </w:tcPr>
          <w:p w14:paraId="42F04ED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lang w:val="en-US"/>
              </w:rPr>
            </w:pPr>
            <w:r>
              <w:rPr>
                <w:rFonts w:hint="default" w:ascii="Times New Roman" w:hAnsi="Times New Roman" w:eastAsia="宋体" w:cs="Times New Roman"/>
                <w:b w:val="0"/>
                <w:bCs w:val="0"/>
                <w:sz w:val="21"/>
                <w:szCs w:val="21"/>
                <w:highlight w:val="none"/>
                <w:lang w:val="en-US" w:eastAsia="zh-CN"/>
              </w:rPr>
              <w:t>TVOC（8h平均值）</w:t>
            </w:r>
          </w:p>
        </w:tc>
        <w:tc>
          <w:tcPr>
            <w:tcW w:w="1058" w:type="dxa"/>
            <w:tcBorders>
              <w:tl2br w:val="nil"/>
              <w:tr2bl w:val="nil"/>
            </w:tcBorders>
            <w:vAlign w:val="center"/>
          </w:tcPr>
          <w:p w14:paraId="646750A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7"/>
                <w:sz w:val="21"/>
                <w:szCs w:val="21"/>
                <w:highlight w:val="none"/>
                <w:lang w:val="en-US" w:eastAsia="zh-CN"/>
              </w:rPr>
            </w:pPr>
            <w:r>
              <w:rPr>
                <w:rFonts w:hint="default" w:ascii="Times New Roman" w:hAnsi="Times New Roman" w:eastAsia="宋体" w:cs="Times New Roman"/>
                <w:b w:val="0"/>
                <w:bCs w:val="0"/>
                <w:spacing w:val="7"/>
                <w:sz w:val="21"/>
                <w:szCs w:val="21"/>
                <w:highlight w:val="none"/>
                <w:lang w:val="en-US" w:eastAsia="zh-CN"/>
              </w:rPr>
              <w:t>0.6</w:t>
            </w:r>
          </w:p>
        </w:tc>
        <w:tc>
          <w:tcPr>
            <w:tcW w:w="1079" w:type="dxa"/>
            <w:tcBorders>
              <w:tl2br w:val="nil"/>
              <w:tr2bl w:val="nil"/>
            </w:tcBorders>
            <w:vAlign w:val="center"/>
          </w:tcPr>
          <w:p w14:paraId="428F56C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7"/>
                <w:sz w:val="21"/>
                <w:szCs w:val="21"/>
                <w:highlight w:val="none"/>
                <w:lang w:val="en-US" w:eastAsia="zh-CN"/>
              </w:rPr>
            </w:pPr>
            <w:r>
              <w:rPr>
                <w:rFonts w:hint="eastAsia" w:ascii="Times New Roman" w:hAnsi="Times New Roman" w:eastAsia="宋体" w:cs="Times New Roman"/>
                <w:b w:val="0"/>
                <w:bCs w:val="0"/>
                <w:spacing w:val="7"/>
                <w:sz w:val="21"/>
                <w:szCs w:val="21"/>
                <w:highlight w:val="none"/>
                <w:lang w:val="en-US" w:eastAsia="zh-CN"/>
              </w:rPr>
              <w:t>0.105</w:t>
            </w:r>
            <w:r>
              <w:rPr>
                <w:rFonts w:hint="default" w:ascii="Times New Roman" w:hAnsi="Times New Roman" w:eastAsia="宋体" w:cs="Times New Roman"/>
                <w:b w:val="0"/>
                <w:bCs w:val="0"/>
                <w:spacing w:val="7"/>
                <w:sz w:val="21"/>
                <w:szCs w:val="21"/>
                <w:highlight w:val="none"/>
                <w:lang w:val="en-US" w:eastAsia="zh-CN"/>
              </w:rPr>
              <w:t>~</w:t>
            </w:r>
            <w:r>
              <w:rPr>
                <w:rFonts w:hint="eastAsia" w:ascii="Times New Roman" w:hAnsi="Times New Roman" w:eastAsia="宋体" w:cs="Times New Roman"/>
                <w:b w:val="0"/>
                <w:bCs w:val="0"/>
                <w:spacing w:val="7"/>
                <w:sz w:val="21"/>
                <w:szCs w:val="21"/>
                <w:highlight w:val="none"/>
                <w:lang w:val="en-US" w:eastAsia="zh-CN"/>
              </w:rPr>
              <w:t>0.130</w:t>
            </w:r>
          </w:p>
        </w:tc>
        <w:tc>
          <w:tcPr>
            <w:tcW w:w="1047" w:type="dxa"/>
            <w:tcBorders>
              <w:tl2br w:val="nil"/>
              <w:tr2bl w:val="nil"/>
            </w:tcBorders>
            <w:vAlign w:val="center"/>
          </w:tcPr>
          <w:p w14:paraId="49C3CE5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21.6</w:t>
            </w:r>
          </w:p>
        </w:tc>
        <w:tc>
          <w:tcPr>
            <w:tcW w:w="814" w:type="dxa"/>
            <w:tcBorders>
              <w:tl2br w:val="nil"/>
              <w:tr2bl w:val="nil"/>
            </w:tcBorders>
            <w:vAlign w:val="center"/>
          </w:tcPr>
          <w:p w14:paraId="1A8E060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spacing w:val="5"/>
                <w:sz w:val="21"/>
                <w:szCs w:val="21"/>
                <w:highlight w:val="none"/>
                <w:lang w:val="en-US" w:eastAsia="zh-CN"/>
              </w:rPr>
            </w:pPr>
            <w:r>
              <w:rPr>
                <w:rFonts w:hint="eastAsia" w:ascii="Times New Roman" w:hAnsi="Times New Roman" w:eastAsia="宋体" w:cs="Times New Roman"/>
                <w:b w:val="0"/>
                <w:bCs w:val="0"/>
                <w:spacing w:val="5"/>
                <w:sz w:val="21"/>
                <w:szCs w:val="21"/>
                <w:highlight w:val="none"/>
                <w:lang w:val="en-US" w:eastAsia="zh-CN"/>
              </w:rPr>
              <w:t>0</w:t>
            </w:r>
          </w:p>
        </w:tc>
        <w:tc>
          <w:tcPr>
            <w:tcW w:w="737" w:type="dxa"/>
            <w:tcBorders>
              <w:tl2br w:val="nil"/>
              <w:tr2bl w:val="nil"/>
            </w:tcBorders>
            <w:vAlign w:val="center"/>
          </w:tcPr>
          <w:p w14:paraId="65C9CD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color w:val="auto"/>
                <w:sz w:val="21"/>
                <w:szCs w:val="21"/>
                <w:highlight w:val="none"/>
                <w:u w:val="none" w:color="auto"/>
              </w:rPr>
              <w:t>达标</w:t>
            </w:r>
          </w:p>
        </w:tc>
      </w:tr>
      <w:tr w14:paraId="6A5E8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40" w:type="dxa"/>
            <w:vMerge w:val="restart"/>
            <w:tcBorders>
              <w:tl2br w:val="nil"/>
              <w:tr2bl w:val="nil"/>
            </w:tcBorders>
            <w:vAlign w:val="center"/>
          </w:tcPr>
          <w:p w14:paraId="319B19A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sz w:val="21"/>
                <w:szCs w:val="21"/>
                <w:highlight w:val="none"/>
                <w:lang w:val="en-US" w:eastAsia="zh-CN"/>
              </w:rPr>
              <w:t>G2项目地主导风向下风向442米</w:t>
            </w:r>
          </w:p>
        </w:tc>
        <w:tc>
          <w:tcPr>
            <w:tcW w:w="762" w:type="dxa"/>
            <w:vMerge w:val="restart"/>
            <w:tcBorders>
              <w:tl2br w:val="nil"/>
              <w:tr2bl w:val="nil"/>
            </w:tcBorders>
            <w:vAlign w:val="center"/>
          </w:tcPr>
          <w:p w14:paraId="1909F3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b w:val="0"/>
                <w:bCs w:val="0"/>
                <w:spacing w:val="4"/>
                <w:sz w:val="21"/>
                <w:szCs w:val="21"/>
                <w:highlight w:val="none"/>
              </w:rPr>
              <w:t>113.137255956</w:t>
            </w:r>
          </w:p>
        </w:tc>
        <w:tc>
          <w:tcPr>
            <w:tcW w:w="711" w:type="dxa"/>
            <w:vMerge w:val="restart"/>
            <w:tcBorders>
              <w:tl2br w:val="nil"/>
              <w:tr2bl w:val="nil"/>
            </w:tcBorders>
            <w:vAlign w:val="center"/>
          </w:tcPr>
          <w:p w14:paraId="634F67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b w:val="0"/>
                <w:bCs w:val="0"/>
                <w:spacing w:val="4"/>
                <w:sz w:val="21"/>
                <w:szCs w:val="21"/>
                <w:highlight w:val="none"/>
              </w:rPr>
              <w:t>29.118794658</w:t>
            </w:r>
          </w:p>
        </w:tc>
        <w:tc>
          <w:tcPr>
            <w:tcW w:w="1277" w:type="dxa"/>
            <w:tcBorders>
              <w:tl2br w:val="nil"/>
              <w:tr2bl w:val="nil"/>
            </w:tcBorders>
            <w:vAlign w:val="center"/>
          </w:tcPr>
          <w:p w14:paraId="484DB3C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pacing w:val="6"/>
                <w:sz w:val="21"/>
                <w:szCs w:val="21"/>
                <w:highlight w:val="none"/>
              </w:rPr>
            </w:pPr>
            <w:r>
              <w:rPr>
                <w:rFonts w:hint="default" w:ascii="Times New Roman" w:hAnsi="Times New Roman" w:eastAsia="宋体" w:cs="Times New Roman"/>
                <w:b w:val="0"/>
                <w:bCs w:val="0"/>
                <w:sz w:val="21"/>
                <w:szCs w:val="21"/>
                <w:highlight w:val="none"/>
              </w:rPr>
              <w:t>TS</w:t>
            </w:r>
            <w:r>
              <w:rPr>
                <w:rFonts w:hint="default" w:ascii="Times New Roman" w:hAnsi="Times New Roman" w:eastAsia="宋体" w:cs="Times New Roman"/>
                <w:b w:val="0"/>
                <w:bCs w:val="0"/>
                <w:sz w:val="21"/>
                <w:szCs w:val="21"/>
                <w:highlight w:val="none"/>
                <w:lang w:val="en-US" w:eastAsia="zh-CN"/>
              </w:rPr>
              <w:t>P（日均值）</w:t>
            </w:r>
          </w:p>
        </w:tc>
        <w:tc>
          <w:tcPr>
            <w:tcW w:w="1058" w:type="dxa"/>
            <w:tcBorders>
              <w:tl2br w:val="nil"/>
              <w:tr2bl w:val="nil"/>
            </w:tcBorders>
            <w:vAlign w:val="center"/>
          </w:tcPr>
          <w:p w14:paraId="5E0F191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pacing w:val="7"/>
                <w:sz w:val="21"/>
                <w:szCs w:val="21"/>
                <w:highlight w:val="none"/>
              </w:rPr>
            </w:pPr>
            <w:r>
              <w:rPr>
                <w:rFonts w:hint="default" w:ascii="Times New Roman" w:hAnsi="Times New Roman" w:eastAsia="宋体" w:cs="Times New Roman"/>
                <w:b w:val="0"/>
                <w:bCs w:val="0"/>
                <w:spacing w:val="7"/>
                <w:sz w:val="21"/>
                <w:szCs w:val="21"/>
                <w:highlight w:val="none"/>
                <w:lang w:val="en-US" w:eastAsia="zh-CN"/>
              </w:rPr>
              <w:t>0.3</w:t>
            </w:r>
          </w:p>
        </w:tc>
        <w:tc>
          <w:tcPr>
            <w:tcW w:w="1079" w:type="dxa"/>
            <w:tcBorders>
              <w:tl2br w:val="nil"/>
              <w:tr2bl w:val="nil"/>
            </w:tcBorders>
            <w:vAlign w:val="center"/>
          </w:tcPr>
          <w:p w14:paraId="40175F1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7"/>
                <w:sz w:val="21"/>
                <w:szCs w:val="21"/>
                <w:highlight w:val="none"/>
                <w:lang w:val="en-US" w:eastAsia="zh-CN"/>
              </w:rPr>
            </w:pPr>
            <w:r>
              <w:rPr>
                <w:rFonts w:hint="eastAsia" w:ascii="Times New Roman" w:hAnsi="Times New Roman" w:eastAsia="宋体" w:cs="Times New Roman"/>
                <w:b w:val="0"/>
                <w:bCs w:val="0"/>
                <w:spacing w:val="7"/>
                <w:sz w:val="21"/>
                <w:szCs w:val="21"/>
                <w:highlight w:val="none"/>
                <w:lang w:val="en-US" w:eastAsia="zh-CN"/>
              </w:rPr>
              <w:t>0.097</w:t>
            </w:r>
            <w:r>
              <w:rPr>
                <w:rFonts w:hint="default" w:ascii="Times New Roman" w:hAnsi="Times New Roman" w:eastAsia="宋体" w:cs="Times New Roman"/>
                <w:b w:val="0"/>
                <w:bCs w:val="0"/>
                <w:spacing w:val="7"/>
                <w:sz w:val="21"/>
                <w:szCs w:val="21"/>
                <w:highlight w:val="none"/>
                <w:lang w:val="en-US" w:eastAsia="zh-CN"/>
              </w:rPr>
              <w:t>~</w:t>
            </w:r>
            <w:r>
              <w:rPr>
                <w:rFonts w:hint="eastAsia" w:ascii="Times New Roman" w:hAnsi="Times New Roman" w:eastAsia="宋体" w:cs="Times New Roman"/>
                <w:b w:val="0"/>
                <w:bCs w:val="0"/>
                <w:spacing w:val="7"/>
                <w:sz w:val="21"/>
                <w:szCs w:val="21"/>
                <w:highlight w:val="none"/>
                <w:lang w:val="en-US" w:eastAsia="zh-CN"/>
              </w:rPr>
              <w:t>0.126</w:t>
            </w:r>
          </w:p>
        </w:tc>
        <w:tc>
          <w:tcPr>
            <w:tcW w:w="1047" w:type="dxa"/>
            <w:tcBorders>
              <w:tl2br w:val="nil"/>
              <w:tr2bl w:val="nil"/>
            </w:tcBorders>
            <w:vAlign w:val="center"/>
          </w:tcPr>
          <w:p w14:paraId="3E2C41B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42</w:t>
            </w:r>
          </w:p>
        </w:tc>
        <w:tc>
          <w:tcPr>
            <w:tcW w:w="814" w:type="dxa"/>
            <w:tcBorders>
              <w:tl2br w:val="nil"/>
              <w:tr2bl w:val="nil"/>
            </w:tcBorders>
            <w:vAlign w:val="center"/>
          </w:tcPr>
          <w:p w14:paraId="612DD1B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spacing w:val="5"/>
                <w:sz w:val="21"/>
                <w:szCs w:val="21"/>
                <w:highlight w:val="none"/>
                <w:lang w:val="en-US" w:eastAsia="zh-CN"/>
              </w:rPr>
            </w:pPr>
            <w:r>
              <w:rPr>
                <w:rFonts w:hint="eastAsia" w:ascii="Times New Roman" w:hAnsi="Times New Roman" w:eastAsia="宋体" w:cs="Times New Roman"/>
                <w:b w:val="0"/>
                <w:bCs w:val="0"/>
                <w:spacing w:val="5"/>
                <w:sz w:val="21"/>
                <w:szCs w:val="21"/>
                <w:highlight w:val="none"/>
                <w:lang w:val="en-US" w:eastAsia="zh-CN"/>
              </w:rPr>
              <w:t>0</w:t>
            </w:r>
          </w:p>
        </w:tc>
        <w:tc>
          <w:tcPr>
            <w:tcW w:w="737" w:type="dxa"/>
            <w:tcBorders>
              <w:tl2br w:val="nil"/>
              <w:tr2bl w:val="nil"/>
            </w:tcBorders>
            <w:vAlign w:val="center"/>
          </w:tcPr>
          <w:p w14:paraId="0EBACB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color w:val="auto"/>
                <w:sz w:val="21"/>
                <w:szCs w:val="21"/>
                <w:highlight w:val="none"/>
                <w:u w:val="none" w:color="auto"/>
              </w:rPr>
              <w:t>达标</w:t>
            </w:r>
          </w:p>
        </w:tc>
      </w:tr>
      <w:tr w14:paraId="24E1C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40" w:type="dxa"/>
            <w:vMerge w:val="continue"/>
            <w:tcBorders>
              <w:tl2br w:val="nil"/>
              <w:tr2bl w:val="nil"/>
            </w:tcBorders>
            <w:vAlign w:val="center"/>
          </w:tcPr>
          <w:p w14:paraId="0B84B54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z w:val="21"/>
                <w:szCs w:val="21"/>
                <w:highlight w:val="none"/>
              </w:rPr>
            </w:pPr>
          </w:p>
        </w:tc>
        <w:tc>
          <w:tcPr>
            <w:tcW w:w="762" w:type="dxa"/>
            <w:vMerge w:val="continue"/>
            <w:tcBorders>
              <w:tl2br w:val="nil"/>
              <w:tr2bl w:val="nil"/>
            </w:tcBorders>
            <w:vAlign w:val="center"/>
          </w:tcPr>
          <w:p w14:paraId="1D028C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p>
        </w:tc>
        <w:tc>
          <w:tcPr>
            <w:tcW w:w="711" w:type="dxa"/>
            <w:vMerge w:val="continue"/>
            <w:tcBorders>
              <w:tl2br w:val="nil"/>
              <w:tr2bl w:val="nil"/>
            </w:tcBorders>
            <w:vAlign w:val="center"/>
          </w:tcPr>
          <w:p w14:paraId="370753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4"/>
                <w:sz w:val="21"/>
                <w:szCs w:val="21"/>
                <w:highlight w:val="none"/>
              </w:rPr>
            </w:pPr>
          </w:p>
        </w:tc>
        <w:tc>
          <w:tcPr>
            <w:tcW w:w="1277" w:type="dxa"/>
            <w:tcBorders>
              <w:tl2br w:val="nil"/>
              <w:tr2bl w:val="nil"/>
            </w:tcBorders>
            <w:vAlign w:val="center"/>
          </w:tcPr>
          <w:p w14:paraId="558FAA5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pacing w:val="6"/>
                <w:sz w:val="21"/>
                <w:szCs w:val="21"/>
                <w:highlight w:val="none"/>
              </w:rPr>
            </w:pPr>
            <w:r>
              <w:rPr>
                <w:rFonts w:hint="default" w:ascii="Times New Roman" w:hAnsi="Times New Roman" w:eastAsia="宋体" w:cs="Times New Roman"/>
                <w:b w:val="0"/>
                <w:bCs w:val="0"/>
                <w:sz w:val="21"/>
                <w:szCs w:val="21"/>
                <w:highlight w:val="none"/>
                <w:lang w:val="en-US" w:eastAsia="zh-CN"/>
              </w:rPr>
              <w:t>TVOC（8h平均值）</w:t>
            </w:r>
          </w:p>
        </w:tc>
        <w:tc>
          <w:tcPr>
            <w:tcW w:w="1058" w:type="dxa"/>
            <w:tcBorders>
              <w:tl2br w:val="nil"/>
              <w:tr2bl w:val="nil"/>
            </w:tcBorders>
            <w:vAlign w:val="center"/>
          </w:tcPr>
          <w:p w14:paraId="572B437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spacing w:val="7"/>
                <w:sz w:val="21"/>
                <w:szCs w:val="21"/>
                <w:highlight w:val="none"/>
              </w:rPr>
            </w:pPr>
            <w:r>
              <w:rPr>
                <w:rFonts w:hint="default" w:ascii="Times New Roman" w:hAnsi="Times New Roman" w:eastAsia="宋体" w:cs="Times New Roman"/>
                <w:b w:val="0"/>
                <w:bCs w:val="0"/>
                <w:spacing w:val="7"/>
                <w:sz w:val="21"/>
                <w:szCs w:val="21"/>
                <w:highlight w:val="none"/>
                <w:lang w:val="en-US" w:eastAsia="zh-CN"/>
              </w:rPr>
              <w:t>0.6</w:t>
            </w:r>
          </w:p>
        </w:tc>
        <w:tc>
          <w:tcPr>
            <w:tcW w:w="1079" w:type="dxa"/>
            <w:tcBorders>
              <w:tl2br w:val="nil"/>
              <w:tr2bl w:val="nil"/>
            </w:tcBorders>
            <w:vAlign w:val="center"/>
          </w:tcPr>
          <w:p w14:paraId="25E8E5D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7"/>
                <w:sz w:val="21"/>
                <w:szCs w:val="21"/>
                <w:highlight w:val="none"/>
                <w:lang w:val="en-US" w:eastAsia="zh-CN"/>
              </w:rPr>
            </w:pPr>
            <w:r>
              <w:rPr>
                <w:rFonts w:hint="eastAsia" w:ascii="Times New Roman" w:hAnsi="Times New Roman" w:eastAsia="宋体" w:cs="Times New Roman"/>
                <w:b w:val="0"/>
                <w:bCs w:val="0"/>
                <w:spacing w:val="7"/>
                <w:sz w:val="21"/>
                <w:szCs w:val="21"/>
                <w:highlight w:val="none"/>
                <w:lang w:val="en-US" w:eastAsia="zh-CN"/>
              </w:rPr>
              <w:t>0.105</w:t>
            </w:r>
            <w:r>
              <w:rPr>
                <w:rFonts w:hint="default" w:ascii="Times New Roman" w:hAnsi="Times New Roman" w:eastAsia="宋体" w:cs="Times New Roman"/>
                <w:b w:val="0"/>
                <w:bCs w:val="0"/>
                <w:spacing w:val="7"/>
                <w:sz w:val="21"/>
                <w:szCs w:val="21"/>
                <w:highlight w:val="none"/>
                <w:lang w:val="en-US" w:eastAsia="zh-CN"/>
              </w:rPr>
              <w:t>~</w:t>
            </w:r>
            <w:r>
              <w:rPr>
                <w:rFonts w:hint="eastAsia" w:ascii="Times New Roman" w:hAnsi="Times New Roman" w:eastAsia="宋体" w:cs="Times New Roman"/>
                <w:b w:val="0"/>
                <w:bCs w:val="0"/>
                <w:spacing w:val="7"/>
                <w:sz w:val="21"/>
                <w:szCs w:val="21"/>
                <w:highlight w:val="none"/>
                <w:lang w:val="en-US" w:eastAsia="zh-CN"/>
              </w:rPr>
              <w:t>0.133</w:t>
            </w:r>
          </w:p>
        </w:tc>
        <w:tc>
          <w:tcPr>
            <w:tcW w:w="1047" w:type="dxa"/>
            <w:tcBorders>
              <w:tl2br w:val="nil"/>
              <w:tr2bl w:val="nil"/>
            </w:tcBorders>
            <w:vAlign w:val="center"/>
          </w:tcPr>
          <w:p w14:paraId="615C571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22.2</w:t>
            </w:r>
          </w:p>
        </w:tc>
        <w:tc>
          <w:tcPr>
            <w:tcW w:w="814" w:type="dxa"/>
            <w:tcBorders>
              <w:tl2br w:val="nil"/>
              <w:tr2bl w:val="nil"/>
            </w:tcBorders>
            <w:vAlign w:val="center"/>
          </w:tcPr>
          <w:p w14:paraId="32ADF78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spacing w:val="5"/>
                <w:sz w:val="21"/>
                <w:szCs w:val="21"/>
                <w:highlight w:val="none"/>
                <w:lang w:val="en-US" w:eastAsia="zh-CN"/>
              </w:rPr>
            </w:pPr>
            <w:r>
              <w:rPr>
                <w:rFonts w:hint="eastAsia" w:ascii="Times New Roman" w:hAnsi="Times New Roman" w:eastAsia="宋体" w:cs="Times New Roman"/>
                <w:b w:val="0"/>
                <w:bCs w:val="0"/>
                <w:spacing w:val="5"/>
                <w:sz w:val="21"/>
                <w:szCs w:val="21"/>
                <w:highlight w:val="none"/>
                <w:lang w:val="en-US" w:eastAsia="zh-CN"/>
              </w:rPr>
              <w:t>0</w:t>
            </w:r>
          </w:p>
        </w:tc>
        <w:tc>
          <w:tcPr>
            <w:tcW w:w="737" w:type="dxa"/>
            <w:tcBorders>
              <w:tl2br w:val="nil"/>
              <w:tr2bl w:val="nil"/>
            </w:tcBorders>
            <w:vAlign w:val="center"/>
          </w:tcPr>
          <w:p w14:paraId="249C62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pacing w:val="4"/>
                <w:sz w:val="21"/>
                <w:szCs w:val="21"/>
                <w:highlight w:val="none"/>
              </w:rPr>
            </w:pPr>
            <w:r>
              <w:rPr>
                <w:rFonts w:hint="default" w:ascii="Times New Roman" w:hAnsi="Times New Roman" w:eastAsia="宋体" w:cs="Times New Roman"/>
                <w:color w:val="auto"/>
                <w:sz w:val="21"/>
                <w:szCs w:val="21"/>
                <w:highlight w:val="none"/>
                <w:u w:val="none" w:color="auto"/>
              </w:rPr>
              <w:t>达标</w:t>
            </w:r>
          </w:p>
        </w:tc>
      </w:tr>
    </w:tbl>
    <w:p w14:paraId="10BEFD1D">
      <w:pPr>
        <w:pStyle w:val="2"/>
        <w:spacing w:before="35" w:line="333" w:lineRule="auto"/>
        <w:ind w:left="132" w:firstLine="480"/>
        <w:jc w:val="both"/>
        <w:rPr>
          <w:b/>
          <w:bCs/>
          <w:spacing w:val="-4"/>
          <w:highlight w:val="none"/>
        </w:rPr>
      </w:pPr>
      <w:r>
        <w:rPr>
          <w:rFonts w:hint="eastAsia" w:ascii="Times New Roman" w:hAnsi="Times New Roman" w:eastAsia="宋体" w:cs="Times New Roman"/>
          <w:b w:val="0"/>
          <w:bCs w:val="0"/>
          <w:sz w:val="24"/>
          <w:szCs w:val="24"/>
          <w:highlight w:val="none"/>
          <w:vertAlign w:val="baseline"/>
          <w:lang w:val="en-US" w:eastAsia="zh-CN"/>
        </w:rPr>
        <w:t>根据上表检测结果可知，TSP 满足《环境空气质量标准》（GB3095-2012）二级标准要求；TVOC 满足《环境影响评价技术导则大气环境》（HJ2.2-2018）中附录 D.1“其他污染物空气质量浓度参考限值”。</w:t>
      </w:r>
      <w:r>
        <w:rPr>
          <w:spacing w:val="-1"/>
          <w:highlight w:val="none"/>
        </w:rPr>
        <w:t>项目</w:t>
      </w:r>
      <w:r>
        <w:rPr>
          <w:spacing w:val="-2"/>
          <w:highlight w:val="none"/>
        </w:rPr>
        <w:t>所在地环境空气质量良好。</w:t>
      </w:r>
    </w:p>
    <w:p w14:paraId="3326FDCA">
      <w:pPr>
        <w:pStyle w:val="7"/>
        <w:bidi w:val="0"/>
        <w:rPr>
          <w:rFonts w:hint="eastAsia"/>
          <w:highlight w:val="none"/>
          <w:lang w:val="en-US" w:eastAsia="zh-CN"/>
        </w:rPr>
      </w:pPr>
      <w:bookmarkStart w:id="155" w:name="_Toc11469"/>
      <w:r>
        <w:rPr>
          <w:rFonts w:hint="eastAsia"/>
          <w:highlight w:val="none"/>
          <w:lang w:val="en-US" w:eastAsia="zh-CN"/>
        </w:rPr>
        <w:t>5.2.2 地表水环境质量现状监测和评价</w:t>
      </w:r>
      <w:bookmarkEnd w:id="155"/>
    </w:p>
    <w:p w14:paraId="6DA81FD0">
      <w:pPr>
        <w:pStyle w:val="9"/>
        <w:bidi w:val="0"/>
        <w:rPr>
          <w:highlight w:val="none"/>
        </w:rPr>
      </w:pPr>
      <w:r>
        <w:rPr>
          <w:rFonts w:hint="eastAsia"/>
          <w:highlight w:val="none"/>
          <w:lang w:val="en-US" w:eastAsia="zh-CN"/>
        </w:rPr>
        <w:t>5.2</w:t>
      </w:r>
      <w:r>
        <w:rPr>
          <w:highlight w:val="none"/>
        </w:rPr>
        <w:t>.2.1</w:t>
      </w:r>
      <w:r>
        <w:rPr>
          <w:rFonts w:hint="eastAsia"/>
          <w:highlight w:val="none"/>
        </w:rPr>
        <w:t>区域水环境质量调查</w:t>
      </w:r>
    </w:p>
    <w:p w14:paraId="2623EB8F">
      <w:pPr>
        <w:rPr>
          <w:rFonts w:hint="eastAsia" w:ascii="Times New Roman" w:hAnsi="Times New Roman"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根据《岳阳市</w:t>
      </w:r>
      <w:r>
        <w:rPr>
          <w:rFonts w:hint="default" w:ascii="Times New Roman" w:hAnsi="Times New Roman" w:eastAsia="宋体" w:cs="Times New Roman"/>
          <w:b w:val="0"/>
          <w:bCs w:val="0"/>
          <w:kern w:val="0"/>
          <w:sz w:val="24"/>
          <w:szCs w:val="24"/>
          <w:highlight w:val="none"/>
          <w:vertAlign w:val="baseline"/>
          <w:lang w:val="en-US" w:eastAsia="zh-CN" w:bidi="ar-SA"/>
        </w:rPr>
        <w:t>2023</w:t>
      </w:r>
      <w:r>
        <w:rPr>
          <w:rFonts w:hint="eastAsia" w:ascii="Times New Roman" w:hAnsi="Times New Roman" w:eastAsia="宋体" w:cs="Times New Roman"/>
          <w:b w:val="0"/>
          <w:bCs w:val="0"/>
          <w:kern w:val="0"/>
          <w:sz w:val="24"/>
          <w:szCs w:val="24"/>
          <w:highlight w:val="none"/>
          <w:vertAlign w:val="baseline"/>
          <w:lang w:val="en-US" w:eastAsia="zh-CN" w:bidi="ar-SA"/>
        </w:rPr>
        <w:t>年度生态环境质量公报</w:t>
      </w:r>
      <w:r>
        <w:rPr>
          <w:rFonts w:hint="default" w:ascii="Times New Roman" w:hAnsi="Times New Roman" w:eastAsia="宋体" w:cs="Times New Roman"/>
          <w:b w:val="0"/>
          <w:bCs w:val="0"/>
          <w:kern w:val="0"/>
          <w:sz w:val="24"/>
          <w:szCs w:val="24"/>
          <w:highlight w:val="none"/>
          <w:vertAlign w:val="baseline"/>
          <w:lang w:val="en-US" w:eastAsia="zh-CN" w:bidi="ar-SA"/>
        </w:rPr>
        <w:t>》，2023</w:t>
      </w:r>
      <w:r>
        <w:rPr>
          <w:rFonts w:hint="eastAsia" w:ascii="Times New Roman" w:hAnsi="Times New Roman" w:eastAsia="宋体" w:cs="Times New Roman"/>
          <w:b w:val="0"/>
          <w:bCs w:val="0"/>
          <w:kern w:val="0"/>
          <w:sz w:val="24"/>
          <w:szCs w:val="24"/>
          <w:highlight w:val="none"/>
          <w:vertAlign w:val="baseline"/>
          <w:lang w:val="en-US" w:eastAsia="zh-CN" w:bidi="ar-SA"/>
        </w:rPr>
        <w:t>年，环洞庭湖河流水质状况总体为优。Ⅰ～Ⅲ类水质断面28个，占比100%。其中新墙河水质总体为优，9个控制断面水质均达到或优于Ⅱ类。</w:t>
      </w:r>
    </w:p>
    <w:p w14:paraId="5AEC71E0">
      <w:pPr>
        <w:pStyle w:val="9"/>
        <w:bidi w:val="0"/>
        <w:rPr>
          <w:rFonts w:hint="default" w:ascii="Times New Roman" w:hAnsi="Times New Roman" w:eastAsia="宋体" w:cs="Times New Roman"/>
          <w:b w:val="0"/>
          <w:bCs w:val="0"/>
          <w:kern w:val="0"/>
          <w:sz w:val="24"/>
          <w:szCs w:val="24"/>
          <w:highlight w:val="none"/>
          <w:vertAlign w:val="baseline"/>
          <w:lang w:val="en-US" w:eastAsia="zh-CN" w:bidi="ar-SA"/>
        </w:rPr>
      </w:pPr>
      <w:r>
        <w:rPr>
          <w:rFonts w:hint="eastAsia"/>
          <w:highlight w:val="none"/>
          <w:lang w:val="en-US" w:eastAsia="zh-CN"/>
        </w:rPr>
        <w:t>5.2.2.2地表水环境质量现状监测数据</w:t>
      </w:r>
    </w:p>
    <w:p w14:paraId="058CD718">
      <w:pPr>
        <w:rPr>
          <w:rFonts w:hint="default" w:ascii="Times New Roman" w:hAnsi="Times New Roman" w:eastAsia="宋体" w:cs="Times New Roman"/>
          <w:b w:val="0"/>
          <w:bCs w:val="0"/>
          <w:kern w:val="0"/>
          <w:sz w:val="24"/>
          <w:szCs w:val="24"/>
          <w:highlight w:val="none"/>
          <w:vertAlign w:val="baseline"/>
          <w:lang w:val="en-US" w:eastAsia="zh-CN" w:bidi="ar-SA"/>
        </w:rPr>
      </w:pPr>
      <w:r>
        <w:rPr>
          <w:rFonts w:hint="default" w:ascii="Times New Roman" w:hAnsi="Times New Roman" w:eastAsia="宋体" w:cs="Times New Roman"/>
          <w:b w:val="0"/>
          <w:bCs w:val="0"/>
          <w:kern w:val="0"/>
          <w:sz w:val="24"/>
          <w:szCs w:val="24"/>
          <w:highlight w:val="none"/>
          <w:vertAlign w:val="baseline"/>
          <w:lang w:val="en-US" w:eastAsia="zh-CN" w:bidi="ar-SA"/>
        </w:rPr>
        <w:t>本项目地表水评价等级为三级B</w:t>
      </w:r>
      <w:r>
        <w:rPr>
          <w:rFonts w:hint="eastAsia" w:ascii="Times New Roman" w:hAnsi="Times New Roman" w:eastAsia="宋体" w:cs="Times New Roman"/>
          <w:b w:val="0"/>
          <w:bCs w:val="0"/>
          <w:kern w:val="0"/>
          <w:sz w:val="24"/>
          <w:szCs w:val="24"/>
          <w:highlight w:val="none"/>
          <w:vertAlign w:val="baseline"/>
          <w:lang w:val="en-US" w:eastAsia="zh-CN" w:bidi="ar-SA"/>
        </w:rPr>
        <w:t>。项目地面清洁废水经沉淀池沉淀后同纯水制备浓水一起进入园区污水管网，生活污水依托园区创新创业基地隔油池+化粪池处理后经园区污水管网排入岳阳高新技术产业园区污水处理厂处理达标后排入新墙河。</w:t>
      </w:r>
    </w:p>
    <w:p w14:paraId="49C61281">
      <w:pPr>
        <w:rPr>
          <w:rFonts w:hint="default" w:ascii="Times New Roman" w:hAnsi="Times New Roman" w:eastAsia="宋体" w:cs="Times New Roman"/>
          <w:b w:val="0"/>
          <w:bCs w:val="0"/>
          <w:kern w:val="0"/>
          <w:sz w:val="24"/>
          <w:szCs w:val="24"/>
          <w:highlight w:val="none"/>
          <w:vertAlign w:val="baseline"/>
          <w:lang w:val="en-US" w:eastAsia="zh-CN" w:bidi="ar-SA"/>
        </w:rPr>
      </w:pPr>
      <w:r>
        <w:rPr>
          <w:rFonts w:hint="eastAsia" w:eastAsia="宋体" w:cs="Times New Roman"/>
          <w:b w:val="0"/>
          <w:bCs w:val="0"/>
          <w:kern w:val="0"/>
          <w:sz w:val="24"/>
          <w:szCs w:val="24"/>
          <w:highlight w:val="none"/>
          <w:vertAlign w:val="baseline"/>
          <w:lang w:val="en-US" w:eastAsia="zh-CN" w:bidi="ar-SA"/>
        </w:rPr>
        <w:t>（1）引用监测结果</w:t>
      </w:r>
    </w:p>
    <w:p w14:paraId="681C37E0">
      <w:pPr>
        <w:rPr>
          <w:rFonts w:ascii="宋体" w:hAnsi="宋体" w:eastAsia="宋体" w:cs="宋体"/>
          <w:spacing w:val="-1"/>
          <w:sz w:val="24"/>
          <w:szCs w:val="24"/>
          <w:highlight w:val="none"/>
        </w:rPr>
      </w:pPr>
      <w:r>
        <w:rPr>
          <w:rFonts w:hint="default" w:ascii="Times New Roman" w:hAnsi="Times New Roman" w:eastAsia="宋体" w:cs="Times New Roman"/>
          <w:b w:val="0"/>
          <w:bCs w:val="0"/>
          <w:kern w:val="0"/>
          <w:sz w:val="24"/>
          <w:szCs w:val="24"/>
          <w:highlight w:val="none"/>
          <w:vertAlign w:val="baseline"/>
          <w:lang w:val="en-US" w:eastAsia="zh-CN" w:bidi="ar-SA"/>
        </w:rPr>
        <w:t>为调查本项目废水纳污水体和雨水受纳水体环境质量现状，</w:t>
      </w:r>
      <w:r>
        <w:rPr>
          <w:rFonts w:hint="eastAsia" w:ascii="Times New Roman" w:hAnsi="Times New Roman" w:eastAsia="宋体" w:cs="Times New Roman"/>
          <w:b w:val="0"/>
          <w:bCs w:val="0"/>
          <w:kern w:val="0"/>
          <w:sz w:val="24"/>
          <w:szCs w:val="24"/>
          <w:highlight w:val="none"/>
          <w:vertAlign w:val="baseline"/>
          <w:lang w:val="en-US" w:eastAsia="zh-CN" w:bidi="ar-SA"/>
        </w:rPr>
        <w:t>本评价引用岳阳高新技术产业园2022年12月17日对新墙河岳阳县污水处理厂排口上游200 米、新墙河下游1500米，白杨水库的地表水分析数据</w:t>
      </w:r>
      <w:r>
        <w:rPr>
          <w:rFonts w:hint="eastAsia" w:eastAsia="宋体" w:cs="Times New Roman"/>
          <w:b w:val="0"/>
          <w:bCs w:val="0"/>
          <w:kern w:val="0"/>
          <w:sz w:val="24"/>
          <w:szCs w:val="24"/>
          <w:highlight w:val="none"/>
          <w:vertAlign w:val="baseline"/>
          <w:lang w:val="en-US" w:eastAsia="zh-CN" w:bidi="ar-SA"/>
        </w:rPr>
        <w:t>（见</w:t>
      </w:r>
      <w:r>
        <w:rPr>
          <w:rFonts w:hint="eastAsia" w:eastAsia="宋体"/>
          <w:kern w:val="0"/>
          <w:sz w:val="24"/>
          <w:szCs w:val="24"/>
          <w:highlight w:val="none"/>
        </w:rPr>
        <w:t>附件5：《2022年度第四季度岳阳高新技术产业园区环境质量监测》</w:t>
      </w:r>
      <w:r>
        <w:rPr>
          <w:rFonts w:hint="eastAsia" w:eastAsia="宋体" w:cs="Times New Roman"/>
          <w:b w:val="0"/>
          <w:bCs w:val="0"/>
          <w:kern w:val="0"/>
          <w:sz w:val="24"/>
          <w:szCs w:val="24"/>
          <w:highlight w:val="none"/>
          <w:vertAlign w:val="baseline"/>
          <w:lang w:val="en-US" w:eastAsia="zh-CN" w:bidi="ar-SA"/>
        </w:rPr>
        <w:t>），</w:t>
      </w:r>
      <w:r>
        <w:rPr>
          <w:rFonts w:hint="default" w:ascii="Times New Roman" w:hAnsi="Times New Roman" w:eastAsia="宋体" w:cs="Times New Roman"/>
          <w:color w:val="auto"/>
          <w:sz w:val="24"/>
          <w:szCs w:val="24"/>
          <w:highlight w:val="none"/>
          <w:u w:val="none" w:color="auto"/>
        </w:rPr>
        <w:t>监测时间较近且在3年有效范围内</w:t>
      </w:r>
      <w:r>
        <w:rPr>
          <w:rFonts w:hint="eastAsia" w:ascii="Times New Roman" w:hAnsi="Times New Roman" w:eastAsia="宋体" w:cs="Times New Roman"/>
          <w:b w:val="0"/>
          <w:bCs w:val="0"/>
          <w:kern w:val="0"/>
          <w:sz w:val="24"/>
          <w:szCs w:val="24"/>
          <w:highlight w:val="none"/>
          <w:vertAlign w:val="baseline"/>
          <w:lang w:val="en-US" w:eastAsia="zh-CN" w:bidi="ar-SA"/>
        </w:rPr>
        <w:t>。</w:t>
      </w:r>
    </w:p>
    <w:p w14:paraId="36DC9CC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sz w:val="24"/>
          <w:szCs w:val="24"/>
          <w:highlight w:val="none"/>
          <w:lang w:eastAsia="zh-CN"/>
        </w:rPr>
      </w:pPr>
      <w:r>
        <w:rPr>
          <w:rFonts w:hint="eastAsia" w:ascii="Times New Roman" w:hAnsi="Times New Roman" w:eastAsia="宋体" w:cs="Times New Roman"/>
          <w:b/>
          <w:bCs/>
          <w:sz w:val="24"/>
          <w:szCs w:val="24"/>
          <w:highlight w:val="none"/>
          <w:lang w:val="en-US" w:eastAsia="zh-CN"/>
        </w:rPr>
        <w:t xml:space="preserve">表5.2-4 </w:t>
      </w:r>
      <w:r>
        <w:rPr>
          <w:rFonts w:hint="default" w:ascii="Times New Roman" w:hAnsi="Times New Roman" w:eastAsia="宋体" w:cs="Times New Roman"/>
          <w:b/>
          <w:bCs/>
          <w:sz w:val="24"/>
          <w:szCs w:val="24"/>
          <w:highlight w:val="none"/>
          <w:lang w:eastAsia="zh-CN"/>
        </w:rPr>
        <w:t>新墙河</w:t>
      </w:r>
      <w:r>
        <w:rPr>
          <w:rFonts w:hint="eastAsia" w:ascii="Times New Roman" w:hAnsi="Times New Roman" w:eastAsia="宋体" w:cs="Times New Roman"/>
          <w:b/>
          <w:bCs/>
          <w:sz w:val="24"/>
          <w:szCs w:val="24"/>
          <w:highlight w:val="none"/>
          <w:lang w:val="en-US" w:eastAsia="zh-CN"/>
        </w:rPr>
        <w:t>及白杨水库的</w:t>
      </w:r>
      <w:r>
        <w:rPr>
          <w:rFonts w:hint="default" w:ascii="Times New Roman" w:hAnsi="Times New Roman" w:eastAsia="宋体" w:cs="Times New Roman"/>
          <w:b/>
          <w:bCs/>
          <w:sz w:val="24"/>
          <w:szCs w:val="24"/>
          <w:highlight w:val="none"/>
          <w:lang w:eastAsia="zh-CN"/>
        </w:rPr>
        <w:t>水质监测结果统计表</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eastAsia="zh-CN"/>
        </w:rPr>
        <w:t>单位 mg/L</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858"/>
        <w:gridCol w:w="1535"/>
        <w:gridCol w:w="1126"/>
        <w:gridCol w:w="1053"/>
        <w:gridCol w:w="1698"/>
        <w:gridCol w:w="1151"/>
      </w:tblGrid>
      <w:tr w14:paraId="188C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pct"/>
            <w:vMerge w:val="restart"/>
            <w:vAlign w:val="center"/>
          </w:tcPr>
          <w:p w14:paraId="5C2F1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检测项目</w:t>
            </w:r>
          </w:p>
        </w:tc>
        <w:tc>
          <w:tcPr>
            <w:tcW w:w="532" w:type="pct"/>
            <w:vMerge w:val="restart"/>
            <w:vAlign w:val="center"/>
          </w:tcPr>
          <w:p w14:paraId="1D20FF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单位</w:t>
            </w:r>
          </w:p>
        </w:tc>
        <w:tc>
          <w:tcPr>
            <w:tcW w:w="2336" w:type="pct"/>
            <w:gridSpan w:val="3"/>
            <w:vAlign w:val="center"/>
          </w:tcPr>
          <w:p w14:paraId="070A9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bidi="ar-SA"/>
              </w:rPr>
              <w:t>检测结果</w:t>
            </w:r>
          </w:p>
        </w:tc>
        <w:tc>
          <w:tcPr>
            <w:tcW w:w="722" w:type="pct"/>
            <w:vMerge w:val="restart"/>
            <w:vAlign w:val="center"/>
          </w:tcPr>
          <w:p w14:paraId="6A6AEE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bidi="ar-SA"/>
              </w:rPr>
              <w:t>(GB3838-2002）Ⅲ类 标准</w:t>
            </w:r>
          </w:p>
        </w:tc>
        <w:tc>
          <w:tcPr>
            <w:tcW w:w="722" w:type="pct"/>
            <w:vMerge w:val="restart"/>
            <w:vAlign w:val="center"/>
          </w:tcPr>
          <w:p w14:paraId="3D67E4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rPr>
              <w:t>是否达标</w:t>
            </w:r>
          </w:p>
        </w:tc>
      </w:tr>
      <w:tr w14:paraId="625C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6963C3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532" w:type="pct"/>
            <w:vMerge w:val="continue"/>
            <w:vAlign w:val="center"/>
          </w:tcPr>
          <w:p w14:paraId="709EC4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p>
        </w:tc>
        <w:tc>
          <w:tcPr>
            <w:tcW w:w="965" w:type="pct"/>
            <w:vAlign w:val="center"/>
          </w:tcPr>
          <w:p w14:paraId="366058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bidi="ar-SA"/>
              </w:rPr>
              <w:t>新墙河岳阳县污水处理厂排口上游200 米</w:t>
            </w:r>
          </w:p>
        </w:tc>
        <w:tc>
          <w:tcPr>
            <w:tcW w:w="707" w:type="pct"/>
            <w:vAlign w:val="center"/>
          </w:tcPr>
          <w:p w14:paraId="05AC5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bidi="ar-SA"/>
              </w:rPr>
              <w:t>新墙河下游1500米</w:t>
            </w:r>
          </w:p>
        </w:tc>
        <w:tc>
          <w:tcPr>
            <w:tcW w:w="663" w:type="pct"/>
            <w:vAlign w:val="center"/>
          </w:tcPr>
          <w:p w14:paraId="335AFB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bidi="ar-SA"/>
              </w:rPr>
              <w:t>白杨水库</w:t>
            </w:r>
          </w:p>
        </w:tc>
        <w:tc>
          <w:tcPr>
            <w:tcW w:w="722" w:type="pct"/>
            <w:vMerge w:val="continue"/>
            <w:vAlign w:val="center"/>
          </w:tcPr>
          <w:p w14:paraId="1C8663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p>
        </w:tc>
        <w:tc>
          <w:tcPr>
            <w:tcW w:w="722" w:type="pct"/>
            <w:vMerge w:val="continue"/>
            <w:vAlign w:val="center"/>
          </w:tcPr>
          <w:p w14:paraId="4350A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p>
        </w:tc>
      </w:tr>
      <w:tr w14:paraId="0189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20EAF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рH</w:t>
            </w:r>
          </w:p>
        </w:tc>
        <w:tc>
          <w:tcPr>
            <w:tcW w:w="532" w:type="pct"/>
            <w:vAlign w:val="center"/>
          </w:tcPr>
          <w:p w14:paraId="694C3D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无量纲</w:t>
            </w:r>
          </w:p>
        </w:tc>
        <w:tc>
          <w:tcPr>
            <w:tcW w:w="965" w:type="pct"/>
            <w:vAlign w:val="center"/>
          </w:tcPr>
          <w:p w14:paraId="4B6A6A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7.7</w:t>
            </w:r>
          </w:p>
        </w:tc>
        <w:tc>
          <w:tcPr>
            <w:tcW w:w="707" w:type="pct"/>
            <w:vAlign w:val="center"/>
          </w:tcPr>
          <w:p w14:paraId="19AFF6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6.8</w:t>
            </w:r>
          </w:p>
        </w:tc>
        <w:tc>
          <w:tcPr>
            <w:tcW w:w="663" w:type="pct"/>
            <w:vAlign w:val="center"/>
          </w:tcPr>
          <w:p w14:paraId="2BEE57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7.0</w:t>
            </w:r>
          </w:p>
        </w:tc>
        <w:tc>
          <w:tcPr>
            <w:tcW w:w="722" w:type="pct"/>
            <w:vAlign w:val="center"/>
          </w:tcPr>
          <w:p w14:paraId="770885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z w:val="21"/>
                <w:szCs w:val="21"/>
                <w:highlight w:val="none"/>
              </w:rPr>
              <w:t>6-9</w:t>
            </w:r>
          </w:p>
        </w:tc>
        <w:tc>
          <w:tcPr>
            <w:tcW w:w="722" w:type="pct"/>
            <w:vAlign w:val="top"/>
          </w:tcPr>
          <w:p w14:paraId="55614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6AAA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53805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化学需氧量</w:t>
            </w:r>
          </w:p>
        </w:tc>
        <w:tc>
          <w:tcPr>
            <w:tcW w:w="532" w:type="pct"/>
            <w:vAlign w:val="center"/>
          </w:tcPr>
          <w:p w14:paraId="689ED7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01B714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12</w:t>
            </w:r>
          </w:p>
        </w:tc>
        <w:tc>
          <w:tcPr>
            <w:tcW w:w="707" w:type="pct"/>
            <w:vAlign w:val="center"/>
          </w:tcPr>
          <w:p w14:paraId="64AAD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17</w:t>
            </w:r>
          </w:p>
        </w:tc>
        <w:tc>
          <w:tcPr>
            <w:tcW w:w="663" w:type="pct"/>
            <w:vAlign w:val="center"/>
          </w:tcPr>
          <w:p w14:paraId="4FA17B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11</w:t>
            </w:r>
          </w:p>
        </w:tc>
        <w:tc>
          <w:tcPr>
            <w:tcW w:w="722" w:type="pct"/>
            <w:vAlign w:val="center"/>
          </w:tcPr>
          <w:p w14:paraId="6C0F2B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4"/>
                <w:sz w:val="21"/>
                <w:szCs w:val="21"/>
                <w:highlight w:val="none"/>
              </w:rPr>
              <w:t>≤20</w:t>
            </w:r>
          </w:p>
        </w:tc>
        <w:tc>
          <w:tcPr>
            <w:tcW w:w="722" w:type="pct"/>
            <w:vAlign w:val="center"/>
          </w:tcPr>
          <w:p w14:paraId="5341CC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4"/>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5181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4018D3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五日生化需氧量</w:t>
            </w:r>
          </w:p>
        </w:tc>
        <w:tc>
          <w:tcPr>
            <w:tcW w:w="532" w:type="pct"/>
            <w:vAlign w:val="center"/>
          </w:tcPr>
          <w:p w14:paraId="343DD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1097A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2.7</w:t>
            </w:r>
          </w:p>
        </w:tc>
        <w:tc>
          <w:tcPr>
            <w:tcW w:w="707" w:type="pct"/>
            <w:vAlign w:val="center"/>
          </w:tcPr>
          <w:p w14:paraId="333516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3.4</w:t>
            </w:r>
          </w:p>
        </w:tc>
        <w:tc>
          <w:tcPr>
            <w:tcW w:w="663" w:type="pct"/>
            <w:vAlign w:val="center"/>
          </w:tcPr>
          <w:p w14:paraId="03BF6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2.3</w:t>
            </w:r>
          </w:p>
        </w:tc>
        <w:tc>
          <w:tcPr>
            <w:tcW w:w="722" w:type="pct"/>
            <w:vAlign w:val="center"/>
          </w:tcPr>
          <w:p w14:paraId="3B6D5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≤4</w:t>
            </w:r>
          </w:p>
        </w:tc>
        <w:tc>
          <w:tcPr>
            <w:tcW w:w="722" w:type="pct"/>
            <w:vAlign w:val="center"/>
          </w:tcPr>
          <w:p w14:paraId="2613EC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76CD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44FB1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氨氮</w:t>
            </w:r>
          </w:p>
        </w:tc>
        <w:tc>
          <w:tcPr>
            <w:tcW w:w="532" w:type="pct"/>
            <w:vAlign w:val="center"/>
          </w:tcPr>
          <w:p w14:paraId="14D7E0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1D3D9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0.231</w:t>
            </w:r>
          </w:p>
        </w:tc>
        <w:tc>
          <w:tcPr>
            <w:tcW w:w="707" w:type="pct"/>
            <w:vAlign w:val="center"/>
          </w:tcPr>
          <w:p w14:paraId="5DAB39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0.301</w:t>
            </w:r>
          </w:p>
        </w:tc>
        <w:tc>
          <w:tcPr>
            <w:tcW w:w="663" w:type="pct"/>
            <w:vAlign w:val="center"/>
          </w:tcPr>
          <w:p w14:paraId="5C8626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0.461</w:t>
            </w:r>
          </w:p>
        </w:tc>
        <w:tc>
          <w:tcPr>
            <w:tcW w:w="722" w:type="pct"/>
            <w:vAlign w:val="center"/>
          </w:tcPr>
          <w:p w14:paraId="5549BA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≤1</w:t>
            </w:r>
          </w:p>
        </w:tc>
        <w:tc>
          <w:tcPr>
            <w:tcW w:w="722" w:type="pct"/>
            <w:vAlign w:val="center"/>
          </w:tcPr>
          <w:p w14:paraId="62348D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28D1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028BCD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总磷</w:t>
            </w:r>
          </w:p>
        </w:tc>
        <w:tc>
          <w:tcPr>
            <w:tcW w:w="532" w:type="pct"/>
            <w:vAlign w:val="center"/>
          </w:tcPr>
          <w:p w14:paraId="6641F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7AF35E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0.05</w:t>
            </w:r>
          </w:p>
        </w:tc>
        <w:tc>
          <w:tcPr>
            <w:tcW w:w="707" w:type="pct"/>
            <w:vAlign w:val="center"/>
          </w:tcPr>
          <w:p w14:paraId="4CB2E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0.09</w:t>
            </w:r>
          </w:p>
        </w:tc>
        <w:tc>
          <w:tcPr>
            <w:tcW w:w="663" w:type="pct"/>
            <w:vAlign w:val="center"/>
          </w:tcPr>
          <w:p w14:paraId="0958E7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0.08</w:t>
            </w:r>
          </w:p>
        </w:tc>
        <w:tc>
          <w:tcPr>
            <w:tcW w:w="722" w:type="pct"/>
            <w:vAlign w:val="center"/>
          </w:tcPr>
          <w:p w14:paraId="170C18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≤0.2</w:t>
            </w:r>
          </w:p>
        </w:tc>
        <w:tc>
          <w:tcPr>
            <w:tcW w:w="722" w:type="pct"/>
            <w:vAlign w:val="center"/>
          </w:tcPr>
          <w:p w14:paraId="479FF9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02FB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783E0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硫化物</w:t>
            </w:r>
          </w:p>
        </w:tc>
        <w:tc>
          <w:tcPr>
            <w:tcW w:w="532" w:type="pct"/>
            <w:vAlign w:val="center"/>
          </w:tcPr>
          <w:p w14:paraId="590EFC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7598AF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0.09</w:t>
            </w:r>
          </w:p>
        </w:tc>
        <w:tc>
          <w:tcPr>
            <w:tcW w:w="707" w:type="pct"/>
            <w:vAlign w:val="center"/>
          </w:tcPr>
          <w:p w14:paraId="5A0894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0.12</w:t>
            </w:r>
          </w:p>
        </w:tc>
        <w:tc>
          <w:tcPr>
            <w:tcW w:w="663" w:type="pct"/>
            <w:vAlign w:val="center"/>
          </w:tcPr>
          <w:p w14:paraId="35178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0.11</w:t>
            </w:r>
          </w:p>
        </w:tc>
        <w:tc>
          <w:tcPr>
            <w:tcW w:w="722" w:type="pct"/>
            <w:vAlign w:val="center"/>
          </w:tcPr>
          <w:p w14:paraId="07CC94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≤0.2</w:t>
            </w:r>
          </w:p>
        </w:tc>
        <w:tc>
          <w:tcPr>
            <w:tcW w:w="722" w:type="pct"/>
            <w:vAlign w:val="center"/>
          </w:tcPr>
          <w:p w14:paraId="63545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517B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0EBE18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氟化物</w:t>
            </w:r>
          </w:p>
        </w:tc>
        <w:tc>
          <w:tcPr>
            <w:tcW w:w="532" w:type="pct"/>
            <w:vAlign w:val="center"/>
          </w:tcPr>
          <w:p w14:paraId="72115E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69048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0.09</w:t>
            </w:r>
          </w:p>
        </w:tc>
        <w:tc>
          <w:tcPr>
            <w:tcW w:w="707" w:type="pct"/>
            <w:vAlign w:val="center"/>
          </w:tcPr>
          <w:p w14:paraId="29A14A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0.12</w:t>
            </w:r>
          </w:p>
        </w:tc>
        <w:tc>
          <w:tcPr>
            <w:tcW w:w="663" w:type="pct"/>
            <w:vAlign w:val="center"/>
          </w:tcPr>
          <w:p w14:paraId="76127A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0.13</w:t>
            </w:r>
          </w:p>
        </w:tc>
        <w:tc>
          <w:tcPr>
            <w:tcW w:w="722" w:type="pct"/>
            <w:vAlign w:val="center"/>
          </w:tcPr>
          <w:p w14:paraId="7B009A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1</w:t>
            </w:r>
          </w:p>
        </w:tc>
        <w:tc>
          <w:tcPr>
            <w:tcW w:w="722" w:type="pct"/>
            <w:vAlign w:val="center"/>
          </w:tcPr>
          <w:p w14:paraId="0472C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2EBB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6AF53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氰化物</w:t>
            </w:r>
          </w:p>
        </w:tc>
        <w:tc>
          <w:tcPr>
            <w:tcW w:w="532" w:type="pct"/>
            <w:vAlign w:val="center"/>
          </w:tcPr>
          <w:p w14:paraId="30CE7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7EFB35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35CB0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52A40B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58523D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0.2</w:t>
            </w:r>
          </w:p>
        </w:tc>
        <w:tc>
          <w:tcPr>
            <w:tcW w:w="722" w:type="pct"/>
            <w:vAlign w:val="center"/>
          </w:tcPr>
          <w:p w14:paraId="092C2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4B4D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5BDB84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溶解氧</w:t>
            </w:r>
          </w:p>
        </w:tc>
        <w:tc>
          <w:tcPr>
            <w:tcW w:w="532" w:type="pct"/>
            <w:vAlign w:val="center"/>
          </w:tcPr>
          <w:p w14:paraId="72BA6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4EB42A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6.3</w:t>
            </w:r>
          </w:p>
        </w:tc>
        <w:tc>
          <w:tcPr>
            <w:tcW w:w="707" w:type="pct"/>
            <w:vAlign w:val="center"/>
          </w:tcPr>
          <w:p w14:paraId="57E109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5.8</w:t>
            </w:r>
          </w:p>
        </w:tc>
        <w:tc>
          <w:tcPr>
            <w:tcW w:w="663" w:type="pct"/>
            <w:vAlign w:val="center"/>
          </w:tcPr>
          <w:p w14:paraId="0A82E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5.6</w:t>
            </w:r>
          </w:p>
        </w:tc>
        <w:tc>
          <w:tcPr>
            <w:tcW w:w="722" w:type="pct"/>
            <w:vAlign w:val="center"/>
          </w:tcPr>
          <w:p w14:paraId="7C8AF5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spacing w:val="-12"/>
                <w:position w:val="1"/>
                <w:sz w:val="21"/>
                <w:szCs w:val="21"/>
                <w:highlight w:val="none"/>
              </w:rPr>
              <w:t>≧</w:t>
            </w:r>
            <w:r>
              <w:rPr>
                <w:rFonts w:ascii="Times New Roman" w:hAnsi="Times New Roman" w:eastAsia="Times New Roman" w:cs="Times New Roman"/>
                <w:spacing w:val="-12"/>
                <w:position w:val="1"/>
                <w:sz w:val="21"/>
                <w:szCs w:val="21"/>
                <w:highlight w:val="none"/>
              </w:rPr>
              <w:t>5</w:t>
            </w:r>
          </w:p>
        </w:tc>
        <w:tc>
          <w:tcPr>
            <w:tcW w:w="722" w:type="pct"/>
            <w:vAlign w:val="center"/>
          </w:tcPr>
          <w:p w14:paraId="2C158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spacing w:val="-12"/>
                <w:position w:val="1"/>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41F2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3DF72D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铜</w:t>
            </w:r>
          </w:p>
        </w:tc>
        <w:tc>
          <w:tcPr>
            <w:tcW w:w="532" w:type="pct"/>
            <w:vAlign w:val="center"/>
          </w:tcPr>
          <w:p w14:paraId="1A4C5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439BBA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176FB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02355B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420B1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1</w:t>
            </w:r>
          </w:p>
        </w:tc>
        <w:tc>
          <w:tcPr>
            <w:tcW w:w="722" w:type="pct"/>
            <w:vAlign w:val="center"/>
          </w:tcPr>
          <w:p w14:paraId="6CC48C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7EAA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7AEDE4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锌</w:t>
            </w:r>
          </w:p>
        </w:tc>
        <w:tc>
          <w:tcPr>
            <w:tcW w:w="532" w:type="pct"/>
            <w:vAlign w:val="center"/>
          </w:tcPr>
          <w:p w14:paraId="1D6CE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7BD0F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3BB23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6819F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19C25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1</w:t>
            </w:r>
          </w:p>
        </w:tc>
        <w:tc>
          <w:tcPr>
            <w:tcW w:w="722" w:type="pct"/>
            <w:vAlign w:val="center"/>
          </w:tcPr>
          <w:p w14:paraId="029038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681C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2B2CD0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镍</w:t>
            </w:r>
          </w:p>
        </w:tc>
        <w:tc>
          <w:tcPr>
            <w:tcW w:w="532" w:type="pct"/>
            <w:vAlign w:val="center"/>
          </w:tcPr>
          <w:p w14:paraId="7D5BA2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65D137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0B324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58FBA8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55ED4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0.02</w:t>
            </w:r>
          </w:p>
        </w:tc>
        <w:tc>
          <w:tcPr>
            <w:tcW w:w="722" w:type="pct"/>
            <w:vAlign w:val="center"/>
          </w:tcPr>
          <w:p w14:paraId="04E9A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3512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6C031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铅</w:t>
            </w:r>
          </w:p>
        </w:tc>
        <w:tc>
          <w:tcPr>
            <w:tcW w:w="532" w:type="pct"/>
            <w:vAlign w:val="center"/>
          </w:tcPr>
          <w:p w14:paraId="03C7A7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4A794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22E15B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57B3F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65D15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0.05</w:t>
            </w:r>
          </w:p>
        </w:tc>
        <w:tc>
          <w:tcPr>
            <w:tcW w:w="722" w:type="pct"/>
            <w:vAlign w:val="center"/>
          </w:tcPr>
          <w:p w14:paraId="67264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65BC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01D046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镉</w:t>
            </w:r>
          </w:p>
        </w:tc>
        <w:tc>
          <w:tcPr>
            <w:tcW w:w="532" w:type="pct"/>
            <w:vAlign w:val="center"/>
          </w:tcPr>
          <w:p w14:paraId="5626E2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0B7F54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0FA275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6C801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051197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0.005</w:t>
            </w:r>
          </w:p>
        </w:tc>
        <w:tc>
          <w:tcPr>
            <w:tcW w:w="722" w:type="pct"/>
            <w:vAlign w:val="center"/>
          </w:tcPr>
          <w:p w14:paraId="15B699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4D23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3B7B88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砷</w:t>
            </w:r>
          </w:p>
        </w:tc>
        <w:tc>
          <w:tcPr>
            <w:tcW w:w="532" w:type="pct"/>
            <w:vAlign w:val="center"/>
          </w:tcPr>
          <w:p w14:paraId="58889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48AACD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20317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25EF20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052AA6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0.05</w:t>
            </w:r>
          </w:p>
        </w:tc>
        <w:tc>
          <w:tcPr>
            <w:tcW w:w="722" w:type="pct"/>
            <w:vAlign w:val="center"/>
          </w:tcPr>
          <w:p w14:paraId="12CCF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5A93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457DA2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汞</w:t>
            </w:r>
          </w:p>
        </w:tc>
        <w:tc>
          <w:tcPr>
            <w:tcW w:w="532" w:type="pct"/>
            <w:vAlign w:val="center"/>
          </w:tcPr>
          <w:p w14:paraId="24AC85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6E7D3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71E037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7C00DF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4CEB3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0.0001</w:t>
            </w:r>
          </w:p>
        </w:tc>
        <w:tc>
          <w:tcPr>
            <w:tcW w:w="722" w:type="pct"/>
            <w:vAlign w:val="center"/>
          </w:tcPr>
          <w:p w14:paraId="29311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66E2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413F58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六价铬</w:t>
            </w:r>
          </w:p>
        </w:tc>
        <w:tc>
          <w:tcPr>
            <w:tcW w:w="532" w:type="pct"/>
            <w:vAlign w:val="center"/>
          </w:tcPr>
          <w:p w14:paraId="446E0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0FAC7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5D925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040FB0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617562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0.05</w:t>
            </w:r>
          </w:p>
        </w:tc>
        <w:tc>
          <w:tcPr>
            <w:tcW w:w="722" w:type="pct"/>
            <w:vAlign w:val="center"/>
          </w:tcPr>
          <w:p w14:paraId="13A3E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0468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227A2C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石油类</w:t>
            </w:r>
          </w:p>
        </w:tc>
        <w:tc>
          <w:tcPr>
            <w:tcW w:w="532" w:type="pct"/>
            <w:vAlign w:val="center"/>
          </w:tcPr>
          <w:p w14:paraId="3D2732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mg/L</w:t>
            </w:r>
          </w:p>
        </w:tc>
        <w:tc>
          <w:tcPr>
            <w:tcW w:w="965" w:type="pct"/>
            <w:vAlign w:val="center"/>
          </w:tcPr>
          <w:p w14:paraId="6C754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07" w:type="pct"/>
            <w:vAlign w:val="center"/>
          </w:tcPr>
          <w:p w14:paraId="27E030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663" w:type="pct"/>
            <w:vAlign w:val="center"/>
          </w:tcPr>
          <w:p w14:paraId="46A1F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ND</w:t>
            </w:r>
          </w:p>
        </w:tc>
        <w:tc>
          <w:tcPr>
            <w:tcW w:w="722" w:type="pct"/>
            <w:vAlign w:val="center"/>
          </w:tcPr>
          <w:p w14:paraId="16424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ascii="Times New Roman" w:hAnsi="Times New Roman" w:eastAsia="宋体" w:cs="Times New Roman"/>
                <w:spacing w:val="3"/>
                <w:sz w:val="21"/>
                <w:szCs w:val="21"/>
                <w:highlight w:val="none"/>
                <w:lang w:val="en-US" w:eastAsia="zh-CN"/>
              </w:rPr>
              <w:t>0.05</w:t>
            </w:r>
          </w:p>
        </w:tc>
        <w:tc>
          <w:tcPr>
            <w:tcW w:w="722" w:type="pct"/>
            <w:vAlign w:val="center"/>
          </w:tcPr>
          <w:p w14:paraId="18BBB9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r w14:paraId="3B27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Align w:val="center"/>
          </w:tcPr>
          <w:p w14:paraId="3684C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粪大肠杆菌</w:t>
            </w:r>
          </w:p>
        </w:tc>
        <w:tc>
          <w:tcPr>
            <w:tcW w:w="532" w:type="pct"/>
            <w:vAlign w:val="center"/>
          </w:tcPr>
          <w:p w14:paraId="28E4C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MPN/L</w:t>
            </w:r>
          </w:p>
        </w:tc>
        <w:tc>
          <w:tcPr>
            <w:tcW w:w="965" w:type="pct"/>
            <w:vAlign w:val="center"/>
          </w:tcPr>
          <w:p w14:paraId="78AF5F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1.5×10</w:t>
            </w:r>
            <w:r>
              <w:rPr>
                <w:rFonts w:hint="eastAsia" w:ascii="Times New Roman" w:hAnsi="Times New Roman" w:eastAsia="宋体" w:cs="Times New Roman"/>
                <w:b w:val="0"/>
                <w:bCs w:val="0"/>
                <w:sz w:val="21"/>
                <w:szCs w:val="21"/>
                <w:highlight w:val="none"/>
                <w:vertAlign w:val="superscript"/>
                <w:lang w:val="en-US" w:eastAsia="zh-CN"/>
              </w:rPr>
              <w:t>3</w:t>
            </w:r>
          </w:p>
        </w:tc>
        <w:tc>
          <w:tcPr>
            <w:tcW w:w="707" w:type="pct"/>
            <w:vAlign w:val="center"/>
          </w:tcPr>
          <w:p w14:paraId="28B40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eastAsia="宋体" w:cs="Times New Roman"/>
                <w:b w:val="0"/>
                <w:bCs w:val="0"/>
                <w:sz w:val="21"/>
                <w:szCs w:val="21"/>
                <w:highlight w:val="none"/>
                <w:vertAlign w:val="baseline"/>
                <w:lang w:val="en-US" w:eastAsia="zh-CN"/>
              </w:rPr>
              <w:t>2.0</w:t>
            </w:r>
            <w:r>
              <w:rPr>
                <w:rFonts w:hint="eastAsia" w:ascii="Times New Roman" w:hAnsi="Times New Roman" w:eastAsia="宋体" w:cs="Times New Roman"/>
                <w:b w:val="0"/>
                <w:bCs w:val="0"/>
                <w:sz w:val="21"/>
                <w:szCs w:val="21"/>
                <w:highlight w:val="none"/>
                <w:vertAlign w:val="baseline"/>
                <w:lang w:val="en-US" w:eastAsia="zh-CN"/>
              </w:rPr>
              <w:t>×10</w:t>
            </w:r>
            <w:r>
              <w:rPr>
                <w:rFonts w:hint="eastAsia" w:ascii="Times New Roman" w:hAnsi="Times New Roman" w:eastAsia="宋体" w:cs="Times New Roman"/>
                <w:b w:val="0"/>
                <w:bCs w:val="0"/>
                <w:sz w:val="21"/>
                <w:szCs w:val="21"/>
                <w:highlight w:val="none"/>
                <w:vertAlign w:val="superscript"/>
                <w:lang w:val="en-US" w:eastAsia="zh-CN"/>
              </w:rPr>
              <w:t>3</w:t>
            </w:r>
          </w:p>
        </w:tc>
        <w:tc>
          <w:tcPr>
            <w:tcW w:w="663" w:type="pct"/>
            <w:vAlign w:val="center"/>
          </w:tcPr>
          <w:p w14:paraId="54485E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w:t>
            </w:r>
            <w:r>
              <w:rPr>
                <w:rFonts w:hint="eastAsia" w:eastAsia="宋体" w:cs="Times New Roman"/>
                <w:b w:val="0"/>
                <w:bCs w:val="0"/>
                <w:sz w:val="21"/>
                <w:szCs w:val="21"/>
                <w:highlight w:val="none"/>
                <w:vertAlign w:val="baseline"/>
                <w:lang w:val="en-US" w:eastAsia="zh-CN"/>
              </w:rPr>
              <w:t>7</w:t>
            </w:r>
            <w:r>
              <w:rPr>
                <w:rFonts w:hint="eastAsia" w:ascii="Times New Roman" w:hAnsi="Times New Roman" w:eastAsia="宋体" w:cs="Times New Roman"/>
                <w:b w:val="0"/>
                <w:bCs w:val="0"/>
                <w:sz w:val="21"/>
                <w:szCs w:val="21"/>
                <w:highlight w:val="none"/>
                <w:vertAlign w:val="baseline"/>
                <w:lang w:val="en-US" w:eastAsia="zh-CN"/>
              </w:rPr>
              <w:t>×10</w:t>
            </w:r>
            <w:r>
              <w:rPr>
                <w:rFonts w:hint="eastAsia" w:ascii="Times New Roman" w:hAnsi="Times New Roman" w:eastAsia="宋体" w:cs="Times New Roman"/>
                <w:b w:val="0"/>
                <w:bCs w:val="0"/>
                <w:sz w:val="21"/>
                <w:szCs w:val="21"/>
                <w:highlight w:val="none"/>
                <w:vertAlign w:val="superscript"/>
                <w:lang w:val="en-US" w:eastAsia="zh-CN"/>
              </w:rPr>
              <w:t>3</w:t>
            </w:r>
          </w:p>
        </w:tc>
        <w:tc>
          <w:tcPr>
            <w:tcW w:w="722" w:type="pct"/>
            <w:vAlign w:val="center"/>
          </w:tcPr>
          <w:p w14:paraId="0F87B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ascii="Times New Roman" w:hAnsi="Times New Roman" w:eastAsia="Times New Roman" w:cs="Times New Roman"/>
                <w:spacing w:val="3"/>
                <w:sz w:val="21"/>
                <w:szCs w:val="21"/>
                <w:highlight w:val="none"/>
              </w:rPr>
              <w:t>≤</w:t>
            </w:r>
            <w:r>
              <w:rPr>
                <w:rFonts w:hint="eastAsia" w:eastAsia="宋体" w:cs="Times New Roman"/>
                <w:b w:val="0"/>
                <w:bCs w:val="0"/>
                <w:sz w:val="21"/>
                <w:szCs w:val="21"/>
                <w:highlight w:val="none"/>
                <w:vertAlign w:val="baseline"/>
                <w:lang w:val="en-US" w:eastAsia="zh-CN"/>
              </w:rPr>
              <w:t>10000</w:t>
            </w:r>
          </w:p>
        </w:tc>
        <w:tc>
          <w:tcPr>
            <w:tcW w:w="722" w:type="pct"/>
            <w:vAlign w:val="center"/>
          </w:tcPr>
          <w:p w14:paraId="0C5BAA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Times New Roman" w:cs="Times New Roman"/>
                <w:spacing w:val="3"/>
                <w:sz w:val="21"/>
                <w:szCs w:val="21"/>
                <w:highlight w:val="none"/>
              </w:rPr>
            </w:pPr>
            <w:r>
              <w:rPr>
                <w:rFonts w:hint="eastAsia" w:ascii="Times New Roman" w:hAnsi="Times New Roman" w:eastAsia="宋体" w:cs="Times New Roman"/>
                <w:b w:val="0"/>
                <w:bCs w:val="0"/>
                <w:sz w:val="21"/>
                <w:szCs w:val="21"/>
                <w:highlight w:val="none"/>
                <w:vertAlign w:val="baseline"/>
                <w:lang w:val="en-US" w:eastAsia="zh-CN"/>
              </w:rPr>
              <w:t>是</w:t>
            </w:r>
          </w:p>
        </w:tc>
      </w:tr>
    </w:tbl>
    <w:p w14:paraId="22F238FA">
      <w:pPr>
        <w:ind w:firstLine="480" w:firstLineChars="200"/>
        <w:rPr>
          <w:rFonts w:hint="eastAsia" w:ascii="Times New Roman" w:hAnsi="Times New Roman" w:eastAsia="宋体" w:cs="Times New Roman"/>
          <w:b w:val="0"/>
          <w:bCs w:val="0"/>
          <w:kern w:val="0"/>
          <w:sz w:val="24"/>
          <w:szCs w:val="24"/>
          <w:highlight w:val="none"/>
          <w:vertAlign w:val="baseline"/>
          <w:lang w:val="zh-CN"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引用监测结果表明，新墙河岳阳县污水处理厂排口上游200 米、新墙河下游1500米，白杨水库的</w:t>
      </w:r>
      <w:r>
        <w:rPr>
          <w:rFonts w:hint="eastAsia" w:ascii="Times New Roman" w:hAnsi="Times New Roman" w:eastAsia="宋体" w:cs="Times New Roman"/>
          <w:b w:val="0"/>
          <w:bCs w:val="0"/>
          <w:kern w:val="0"/>
          <w:sz w:val="24"/>
          <w:szCs w:val="24"/>
          <w:highlight w:val="none"/>
          <w:vertAlign w:val="baseline"/>
          <w:lang w:val="zh-CN" w:eastAsia="zh-CN" w:bidi="ar-SA"/>
        </w:rPr>
        <w:t>各监测因子浓度均符合《地表水环境质量标准》（GB</w:t>
      </w:r>
      <w:r>
        <w:rPr>
          <w:rFonts w:hint="eastAsia" w:ascii="Times New Roman" w:hAnsi="Times New Roman" w:eastAsia="宋体" w:cs="Times New Roman"/>
          <w:b w:val="0"/>
          <w:bCs w:val="0"/>
          <w:kern w:val="0"/>
          <w:sz w:val="24"/>
          <w:szCs w:val="24"/>
          <w:highlight w:val="none"/>
          <w:vertAlign w:val="baseline"/>
          <w:lang w:val="en-US" w:eastAsia="zh-CN" w:bidi="ar-SA"/>
        </w:rPr>
        <w:t>3838</w:t>
      </w:r>
      <w:r>
        <w:rPr>
          <w:rFonts w:hint="eastAsia" w:ascii="Times New Roman" w:hAnsi="Times New Roman" w:eastAsia="宋体" w:cs="Times New Roman"/>
          <w:b w:val="0"/>
          <w:bCs w:val="0"/>
          <w:kern w:val="0"/>
          <w:sz w:val="24"/>
          <w:szCs w:val="24"/>
          <w:highlight w:val="none"/>
          <w:vertAlign w:val="baseline"/>
          <w:lang w:val="zh-CN" w:eastAsia="zh-CN" w:bidi="ar-SA"/>
        </w:rPr>
        <w:t>-</w:t>
      </w:r>
      <w:r>
        <w:rPr>
          <w:rFonts w:hint="eastAsia" w:ascii="Times New Roman" w:hAnsi="Times New Roman" w:eastAsia="宋体" w:cs="Times New Roman"/>
          <w:b w:val="0"/>
          <w:bCs w:val="0"/>
          <w:kern w:val="0"/>
          <w:sz w:val="24"/>
          <w:szCs w:val="24"/>
          <w:highlight w:val="none"/>
          <w:vertAlign w:val="baseline"/>
          <w:lang w:val="en-US" w:eastAsia="zh-CN" w:bidi="ar-SA"/>
        </w:rPr>
        <w:t>2002</w:t>
      </w:r>
      <w:r>
        <w:rPr>
          <w:rFonts w:hint="eastAsia" w:ascii="Times New Roman" w:hAnsi="Times New Roman" w:eastAsia="宋体" w:cs="Times New Roman"/>
          <w:b w:val="0"/>
          <w:bCs w:val="0"/>
          <w:kern w:val="0"/>
          <w:sz w:val="24"/>
          <w:szCs w:val="24"/>
          <w:highlight w:val="none"/>
          <w:vertAlign w:val="baseline"/>
          <w:lang w:val="zh-CN" w:eastAsia="zh-CN" w:bidi="ar-SA"/>
        </w:rPr>
        <w:t>）中的</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begin"/>
      </w:r>
      <w:r>
        <w:rPr>
          <w:rFonts w:hint="eastAsia" w:ascii="Times New Roman" w:hAnsi="Times New Roman" w:eastAsia="宋体" w:cs="Times New Roman"/>
          <w:b w:val="0"/>
          <w:bCs w:val="0"/>
          <w:kern w:val="0"/>
          <w:sz w:val="24"/>
          <w:szCs w:val="24"/>
          <w:highlight w:val="none"/>
          <w:vertAlign w:val="baseline"/>
          <w:lang w:val="en-US" w:eastAsia="zh-CN" w:bidi="ar-SA"/>
        </w:rPr>
        <w:instrText xml:space="preserve"> = 3 \* ROMAN \* MERGEFORMAT </w:instrText>
      </w:r>
      <w:r>
        <w:rPr>
          <w:rFonts w:hint="eastAsia" w:ascii="Times New Roman" w:hAnsi="Times New Roman" w:eastAsia="宋体" w:cs="Times New Roman"/>
          <w:b w:val="0"/>
          <w:bCs w:val="0"/>
          <w:kern w:val="0"/>
          <w:sz w:val="24"/>
          <w:szCs w:val="24"/>
          <w:highlight w:val="none"/>
          <w:vertAlign w:val="baseline"/>
          <w:lang w:val="en-US" w:eastAsia="zh-CN" w:bidi="ar-SA"/>
        </w:rPr>
        <w:fldChar w:fldCharType="separate"/>
      </w:r>
      <w:r>
        <w:rPr>
          <w:rFonts w:hint="eastAsia" w:ascii="Times New Roman" w:hAnsi="Times New Roman" w:eastAsia="宋体" w:cs="Times New Roman"/>
          <w:b w:val="0"/>
          <w:bCs w:val="0"/>
          <w:kern w:val="0"/>
          <w:sz w:val="24"/>
          <w:szCs w:val="24"/>
          <w:highlight w:val="none"/>
          <w:vertAlign w:val="baseline"/>
          <w:lang w:val="en-US" w:eastAsia="zh-CN" w:bidi="ar-SA"/>
        </w:rPr>
        <w:t>III</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end"/>
      </w:r>
      <w:r>
        <w:rPr>
          <w:rFonts w:hint="eastAsia" w:ascii="Times New Roman" w:hAnsi="Times New Roman" w:eastAsia="宋体" w:cs="Times New Roman"/>
          <w:b w:val="0"/>
          <w:bCs w:val="0"/>
          <w:kern w:val="0"/>
          <w:sz w:val="24"/>
          <w:szCs w:val="24"/>
          <w:highlight w:val="none"/>
          <w:vertAlign w:val="baseline"/>
          <w:lang w:val="en-US" w:eastAsia="zh-CN" w:bidi="ar-SA"/>
        </w:rPr>
        <w:t>类</w:t>
      </w:r>
      <w:r>
        <w:rPr>
          <w:rFonts w:hint="eastAsia" w:ascii="Times New Roman" w:hAnsi="Times New Roman" w:eastAsia="宋体" w:cs="Times New Roman"/>
          <w:b w:val="0"/>
          <w:bCs w:val="0"/>
          <w:kern w:val="0"/>
          <w:sz w:val="24"/>
          <w:szCs w:val="24"/>
          <w:highlight w:val="none"/>
          <w:vertAlign w:val="baseline"/>
          <w:lang w:val="zh-CN" w:eastAsia="zh-CN" w:bidi="ar-SA"/>
        </w:rPr>
        <w:t>标准要求。</w:t>
      </w:r>
    </w:p>
    <w:p w14:paraId="445A8BF2">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（2）补充检测结果</w:t>
      </w:r>
    </w:p>
    <w:p w14:paraId="055A9DFC">
      <w:pPr>
        <w:rPr>
          <w:rFonts w:hint="eastAsia"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本项目委托</w:t>
      </w:r>
      <w:r>
        <w:rPr>
          <w:rFonts w:hint="default" w:ascii="Times New Roman" w:hAnsi="Times New Roman" w:eastAsia="宋体" w:cs="Times New Roman"/>
          <w:b w:val="0"/>
          <w:bCs w:val="0"/>
          <w:sz w:val="24"/>
          <w:szCs w:val="24"/>
          <w:highlight w:val="none"/>
          <w:vertAlign w:val="baseline"/>
          <w:lang w:val="en-US" w:eastAsia="zh-CN"/>
        </w:rPr>
        <w:t>湖南中额环保科技有限公司</w:t>
      </w:r>
      <w:r>
        <w:rPr>
          <w:rFonts w:hint="default" w:ascii="Times New Roman" w:hAnsi="Times New Roman" w:eastAsia="宋体" w:cs="Times New Roman"/>
          <w:b w:val="0"/>
          <w:bCs w:val="0"/>
          <w:kern w:val="0"/>
          <w:sz w:val="24"/>
          <w:szCs w:val="24"/>
          <w:highlight w:val="none"/>
          <w:vertAlign w:val="baseline"/>
          <w:lang w:val="en-US" w:eastAsia="zh-CN" w:bidi="ar-SA"/>
        </w:rPr>
        <w:t>于202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w:t>
      </w:r>
      <w:r>
        <w:rPr>
          <w:rFonts w:hint="default" w:ascii="Times New Roman" w:hAnsi="Times New Roman" w:eastAsia="宋体" w:cs="Times New Roman"/>
          <w:b w:val="0"/>
          <w:bCs w:val="0"/>
          <w:kern w:val="0"/>
          <w:sz w:val="24"/>
          <w:szCs w:val="24"/>
          <w:highlight w:val="none"/>
          <w:vertAlign w:val="baseline"/>
          <w:lang w:val="en-US" w:eastAsia="zh-CN" w:bidi="ar-SA"/>
        </w:rPr>
        <w:t xml:space="preserve"> 月</w:t>
      </w:r>
      <w:r>
        <w:rPr>
          <w:rFonts w:hint="eastAsia" w:ascii="Times New Roman" w:hAnsi="Times New Roman" w:eastAsia="宋体" w:cs="Times New Roman"/>
          <w:b w:val="0"/>
          <w:bCs w:val="0"/>
          <w:kern w:val="0"/>
          <w:sz w:val="24"/>
          <w:szCs w:val="24"/>
          <w:highlight w:val="none"/>
          <w:vertAlign w:val="baseline"/>
          <w:lang w:val="en-US" w:eastAsia="zh-CN" w:bidi="ar-SA"/>
        </w:rPr>
        <w:t>25日~</w:t>
      </w:r>
      <w:r>
        <w:rPr>
          <w:rFonts w:hint="default" w:ascii="Times New Roman" w:hAnsi="Times New Roman" w:eastAsia="宋体" w:cs="Times New Roman"/>
          <w:b w:val="0"/>
          <w:bCs w:val="0"/>
          <w:kern w:val="0"/>
          <w:sz w:val="24"/>
          <w:szCs w:val="24"/>
          <w:highlight w:val="none"/>
          <w:vertAlign w:val="baseline"/>
          <w:lang w:val="en-US" w:eastAsia="zh-CN" w:bidi="ar-SA"/>
        </w:rPr>
        <w:t>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3月27</w:t>
      </w:r>
      <w:r>
        <w:rPr>
          <w:rFonts w:hint="default" w:ascii="Times New Roman" w:hAnsi="Times New Roman" w:eastAsia="宋体" w:cs="Times New Roman"/>
          <w:b w:val="0"/>
          <w:bCs w:val="0"/>
          <w:kern w:val="0"/>
          <w:sz w:val="24"/>
          <w:szCs w:val="24"/>
          <w:highlight w:val="none"/>
          <w:vertAlign w:val="baseline"/>
          <w:lang w:val="en-US" w:eastAsia="zh-CN" w:bidi="ar-SA"/>
        </w:rPr>
        <w:t>日</w:t>
      </w:r>
      <w:r>
        <w:rPr>
          <w:rFonts w:hint="eastAsia" w:ascii="Times New Roman" w:hAnsi="Times New Roman" w:eastAsia="宋体" w:cs="Times New Roman"/>
          <w:b w:val="0"/>
          <w:bCs w:val="0"/>
          <w:kern w:val="0"/>
          <w:sz w:val="24"/>
          <w:szCs w:val="24"/>
          <w:highlight w:val="none"/>
          <w:vertAlign w:val="baseline"/>
          <w:lang w:val="en-US" w:eastAsia="zh-CN" w:bidi="ar-SA"/>
        </w:rPr>
        <w:t>对岳阳高新区污水处理厂排口入新墙河</w:t>
      </w:r>
      <w:r>
        <w:rPr>
          <w:rFonts w:hint="default" w:ascii="Times New Roman" w:hAnsi="Times New Roman" w:eastAsia="宋体" w:cs="Times New Roman"/>
          <w:b w:val="0"/>
          <w:bCs w:val="0"/>
          <w:kern w:val="0"/>
          <w:sz w:val="24"/>
          <w:szCs w:val="24"/>
          <w:highlight w:val="none"/>
          <w:vertAlign w:val="baseline"/>
          <w:lang w:val="en-US" w:eastAsia="zh-CN" w:bidi="ar-SA"/>
        </w:rPr>
        <w:t>水域上游500m</w:t>
      </w:r>
      <w:r>
        <w:rPr>
          <w:rFonts w:hint="eastAsia" w:ascii="Times New Roman" w:hAnsi="Times New Roman" w:eastAsia="宋体" w:cs="Times New Roman"/>
          <w:b w:val="0"/>
          <w:bCs w:val="0"/>
          <w:kern w:val="0"/>
          <w:sz w:val="24"/>
          <w:szCs w:val="24"/>
          <w:highlight w:val="none"/>
          <w:vertAlign w:val="baseline"/>
          <w:lang w:val="en-US" w:eastAsia="zh-CN" w:bidi="ar-SA"/>
        </w:rPr>
        <w:t>和下</w:t>
      </w:r>
      <w:r>
        <w:rPr>
          <w:rFonts w:hint="default" w:ascii="Times New Roman" w:hAnsi="Times New Roman" w:eastAsia="宋体" w:cs="Times New Roman"/>
          <w:b w:val="0"/>
          <w:bCs w:val="0"/>
          <w:kern w:val="0"/>
          <w:sz w:val="24"/>
          <w:szCs w:val="24"/>
          <w:highlight w:val="none"/>
          <w:vertAlign w:val="baseline"/>
          <w:lang w:val="en-US" w:eastAsia="zh-CN" w:bidi="ar-SA"/>
        </w:rPr>
        <w:t>游</w:t>
      </w:r>
      <w:r>
        <w:rPr>
          <w:rFonts w:hint="eastAsia" w:ascii="Times New Roman" w:hAnsi="Times New Roman" w:eastAsia="宋体" w:cs="Times New Roman"/>
          <w:b w:val="0"/>
          <w:bCs w:val="0"/>
          <w:kern w:val="0"/>
          <w:sz w:val="24"/>
          <w:szCs w:val="24"/>
          <w:highlight w:val="none"/>
          <w:vertAlign w:val="baseline"/>
          <w:lang w:val="en-US" w:eastAsia="zh-CN" w:bidi="ar-SA"/>
        </w:rPr>
        <w:t>1000</w:t>
      </w:r>
      <w:r>
        <w:rPr>
          <w:rFonts w:hint="default" w:ascii="Times New Roman" w:hAnsi="Times New Roman" w:eastAsia="宋体" w:cs="Times New Roman"/>
          <w:b w:val="0"/>
          <w:bCs w:val="0"/>
          <w:kern w:val="0"/>
          <w:sz w:val="24"/>
          <w:szCs w:val="24"/>
          <w:highlight w:val="none"/>
          <w:vertAlign w:val="baseline"/>
          <w:lang w:val="en-US" w:eastAsia="zh-CN" w:bidi="ar-SA"/>
        </w:rPr>
        <w:t>m</w:t>
      </w:r>
      <w:r>
        <w:rPr>
          <w:rFonts w:hint="eastAsia" w:ascii="Times New Roman" w:hAnsi="Times New Roman" w:eastAsia="宋体" w:cs="Times New Roman"/>
          <w:b w:val="0"/>
          <w:bCs w:val="0"/>
          <w:kern w:val="0"/>
          <w:sz w:val="24"/>
          <w:szCs w:val="24"/>
          <w:highlight w:val="none"/>
          <w:vertAlign w:val="baseline"/>
          <w:lang w:val="en-US" w:eastAsia="zh-CN" w:bidi="ar-SA"/>
        </w:rPr>
        <w:t>进行了补充检测，</w:t>
      </w:r>
      <w:r>
        <w:rPr>
          <w:rFonts w:hint="eastAsia" w:eastAsia="宋体" w:cs="Times New Roman"/>
          <w:b w:val="0"/>
          <w:bCs w:val="0"/>
          <w:kern w:val="0"/>
          <w:sz w:val="24"/>
          <w:szCs w:val="24"/>
          <w:highlight w:val="none"/>
          <w:vertAlign w:val="baseline"/>
          <w:lang w:val="en-US" w:eastAsia="zh-CN" w:bidi="ar-SA"/>
        </w:rPr>
        <w:t>补充监测方案如下：</w:t>
      </w:r>
    </w:p>
    <w:p w14:paraId="7B27CD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bCs/>
          <w:sz w:val="24"/>
          <w:szCs w:val="24"/>
          <w:highlight w:val="none"/>
          <w:lang w:val="en-US" w:eastAsia="zh-CN"/>
        </w:rPr>
        <w:t>表5.2-5 地表水补充监测方案</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01"/>
        <w:gridCol w:w="1001"/>
        <w:gridCol w:w="2954"/>
        <w:gridCol w:w="3556"/>
      </w:tblGrid>
      <w:tr w14:paraId="313E8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88" w:type="pct"/>
            <w:tcBorders>
              <w:tl2br w:val="nil"/>
              <w:tr2bl w:val="nil"/>
            </w:tcBorders>
            <w:vAlign w:val="center"/>
          </w:tcPr>
          <w:p w14:paraId="66D3D9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项目</w:t>
            </w:r>
          </w:p>
        </w:tc>
        <w:tc>
          <w:tcPr>
            <w:tcW w:w="588" w:type="pct"/>
            <w:tcBorders>
              <w:tl2br w:val="nil"/>
              <w:tr2bl w:val="nil"/>
            </w:tcBorders>
            <w:vAlign w:val="center"/>
          </w:tcPr>
          <w:p w14:paraId="228A9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735" w:type="pct"/>
            <w:tcBorders>
              <w:tl2br w:val="nil"/>
              <w:tr2bl w:val="nil"/>
            </w:tcBorders>
            <w:vAlign w:val="center"/>
          </w:tcPr>
          <w:p w14:paraId="188BB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监测点</w:t>
            </w:r>
          </w:p>
        </w:tc>
        <w:tc>
          <w:tcPr>
            <w:tcW w:w="2088" w:type="pct"/>
            <w:tcBorders>
              <w:tl2br w:val="nil"/>
              <w:tr2bl w:val="nil"/>
            </w:tcBorders>
            <w:vAlign w:val="center"/>
          </w:tcPr>
          <w:p w14:paraId="646D2C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监测因子</w:t>
            </w:r>
          </w:p>
        </w:tc>
      </w:tr>
      <w:tr w14:paraId="365BDE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88" w:type="pct"/>
            <w:vMerge w:val="restart"/>
            <w:tcBorders>
              <w:tl2br w:val="nil"/>
              <w:tr2bl w:val="nil"/>
            </w:tcBorders>
            <w:vAlign w:val="center"/>
          </w:tcPr>
          <w:p w14:paraId="1AA8E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地表水</w:t>
            </w:r>
          </w:p>
        </w:tc>
        <w:tc>
          <w:tcPr>
            <w:tcW w:w="588" w:type="pct"/>
            <w:tcBorders>
              <w:tl2br w:val="nil"/>
              <w:tr2bl w:val="nil"/>
            </w:tcBorders>
            <w:vAlign w:val="center"/>
          </w:tcPr>
          <w:p w14:paraId="02E87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S1</w:t>
            </w:r>
          </w:p>
        </w:tc>
        <w:tc>
          <w:tcPr>
            <w:tcW w:w="1735" w:type="pct"/>
            <w:tcBorders>
              <w:tl2br w:val="nil"/>
              <w:tr2bl w:val="nil"/>
            </w:tcBorders>
            <w:vAlign w:val="center"/>
          </w:tcPr>
          <w:p w14:paraId="218FC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岳阳高新区污水处理厂排口入新墙河水域上游500m</w:t>
            </w:r>
          </w:p>
        </w:tc>
        <w:tc>
          <w:tcPr>
            <w:tcW w:w="2088" w:type="pct"/>
            <w:vMerge w:val="restart"/>
            <w:tcBorders>
              <w:tl2br w:val="nil"/>
              <w:tr2bl w:val="nil"/>
            </w:tcBorders>
            <w:vAlign w:val="center"/>
          </w:tcPr>
          <w:p w14:paraId="068757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bookmarkStart w:id="156" w:name="OLE_LINK5"/>
            <w:r>
              <w:rPr>
                <w:rFonts w:hint="default" w:ascii="Times New Roman" w:hAnsi="Times New Roman" w:eastAsia="宋体" w:cs="Times New Roman"/>
                <w:sz w:val="21"/>
                <w:szCs w:val="21"/>
                <w:highlight w:val="none"/>
                <w:lang w:val="en-US" w:eastAsia="zh-CN"/>
              </w:rPr>
              <w:t>连续采样3天，每天监测1次</w:t>
            </w:r>
            <w:bookmarkEnd w:id="156"/>
            <w:r>
              <w:rPr>
                <w:rFonts w:hint="default" w:ascii="Times New Roman" w:hAnsi="Times New Roman" w:eastAsia="宋体" w:cs="Times New Roman"/>
                <w:sz w:val="21"/>
                <w:szCs w:val="21"/>
                <w:highlight w:val="none"/>
                <w:lang w:val="en-US" w:eastAsia="zh-CN"/>
              </w:rPr>
              <w:t>；SS、氯化物、挥发酚、阴离子表面活性剂、硫酸盐、高锰酸盐指数、苯</w:t>
            </w:r>
          </w:p>
        </w:tc>
      </w:tr>
      <w:tr w14:paraId="04B87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88" w:type="pct"/>
            <w:vMerge w:val="continue"/>
            <w:tcBorders>
              <w:tl2br w:val="nil"/>
              <w:tr2bl w:val="nil"/>
            </w:tcBorders>
            <w:vAlign w:val="center"/>
          </w:tcPr>
          <w:p w14:paraId="4F620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p>
        </w:tc>
        <w:tc>
          <w:tcPr>
            <w:tcW w:w="588" w:type="pct"/>
            <w:tcBorders>
              <w:tl2br w:val="nil"/>
              <w:tr2bl w:val="nil"/>
            </w:tcBorders>
            <w:vAlign w:val="center"/>
          </w:tcPr>
          <w:p w14:paraId="43764A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S2</w:t>
            </w:r>
          </w:p>
        </w:tc>
        <w:tc>
          <w:tcPr>
            <w:tcW w:w="1735" w:type="pct"/>
            <w:tcBorders>
              <w:tl2br w:val="nil"/>
              <w:tr2bl w:val="nil"/>
            </w:tcBorders>
            <w:vAlign w:val="center"/>
          </w:tcPr>
          <w:p w14:paraId="617FF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污水处理厂排口入新墙河水域下游1000m</w:t>
            </w:r>
          </w:p>
        </w:tc>
        <w:tc>
          <w:tcPr>
            <w:tcW w:w="2088" w:type="pct"/>
            <w:vMerge w:val="continue"/>
            <w:tcBorders>
              <w:tl2br w:val="nil"/>
              <w:tr2bl w:val="nil"/>
            </w:tcBorders>
            <w:vAlign w:val="center"/>
          </w:tcPr>
          <w:p w14:paraId="70DA5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bl>
    <w:p w14:paraId="04F7FC26">
      <w:pPr>
        <w:rPr>
          <w:rFonts w:hint="default" w:ascii="Times New Roman" w:hAnsi="Times New Roman"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监测结果如下。</w:t>
      </w:r>
    </w:p>
    <w:p w14:paraId="24D8B37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表</w:t>
      </w:r>
      <w:r>
        <w:rPr>
          <w:rFonts w:hint="eastAsia" w:ascii="Times New Roman" w:hAnsi="Times New Roman" w:eastAsia="宋体" w:cs="Times New Roman"/>
          <w:b/>
          <w:bCs/>
          <w:sz w:val="24"/>
          <w:szCs w:val="24"/>
          <w:highlight w:val="none"/>
          <w:lang w:eastAsia="zh-CN"/>
        </w:rPr>
        <w:t>5</w:t>
      </w:r>
      <w:r>
        <w:rPr>
          <w:rFonts w:hint="eastAsia" w:ascii="Times New Roman" w:hAnsi="Times New Roman" w:eastAsia="宋体" w:cs="Times New Roman"/>
          <w:b/>
          <w:bCs/>
          <w:sz w:val="24"/>
          <w:szCs w:val="24"/>
          <w:highlight w:val="none"/>
          <w:lang w:val="en-US" w:eastAsia="zh-CN"/>
        </w:rPr>
        <w:t>.</w:t>
      </w:r>
      <w:r>
        <w:rPr>
          <w:rFonts w:hint="eastAsia" w:ascii="Times New Roman" w:hAnsi="Times New Roman" w:eastAsia="宋体" w:cs="Times New Roman"/>
          <w:b/>
          <w:bCs/>
          <w:sz w:val="24"/>
          <w:szCs w:val="24"/>
          <w:highlight w:val="none"/>
          <w:lang w:eastAsia="zh-CN"/>
        </w:rPr>
        <w:t>2</w:t>
      </w:r>
      <w:r>
        <w:rPr>
          <w:rFonts w:hint="eastAsia" w:ascii="Times New Roman" w:hAnsi="Times New Roman" w:eastAsia="宋体" w:cs="Times New Roman"/>
          <w:b/>
          <w:bCs/>
          <w:sz w:val="24"/>
          <w:szCs w:val="24"/>
          <w:highlight w:val="none"/>
          <w:lang w:val="en-US" w:eastAsia="zh-CN"/>
        </w:rPr>
        <w:t>-</w:t>
      </w:r>
      <w:r>
        <w:rPr>
          <w:rFonts w:hint="eastAsia" w:eastAsia="宋体" w:cs="Times New Roman"/>
          <w:b/>
          <w:bCs/>
          <w:sz w:val="24"/>
          <w:szCs w:val="24"/>
          <w:highlight w:val="none"/>
          <w:lang w:val="en-US" w:eastAsia="zh-CN"/>
        </w:rPr>
        <w:t>6</w:t>
      </w:r>
      <w:r>
        <w:rPr>
          <w:rFonts w:hint="eastAsia" w:ascii="Times New Roman" w:hAnsi="Times New Roman" w:eastAsia="宋体"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eastAsia="zh-CN"/>
        </w:rPr>
        <w:t>地表</w:t>
      </w:r>
      <w:r>
        <w:rPr>
          <w:rFonts w:hint="default" w:ascii="Times New Roman" w:hAnsi="Times New Roman" w:eastAsia="宋体" w:cs="Times New Roman"/>
          <w:b/>
          <w:bCs/>
          <w:sz w:val="24"/>
          <w:szCs w:val="24"/>
          <w:highlight w:val="none"/>
          <w:lang w:eastAsia="zh-CN"/>
        </w:rPr>
        <w:t>水</w:t>
      </w:r>
      <w:r>
        <w:rPr>
          <w:rFonts w:hint="eastAsia" w:ascii="Times New Roman" w:hAnsi="Times New Roman" w:eastAsia="宋体" w:cs="Times New Roman"/>
          <w:b/>
          <w:bCs/>
          <w:sz w:val="24"/>
          <w:szCs w:val="24"/>
          <w:highlight w:val="none"/>
          <w:lang w:val="en-US" w:eastAsia="zh-CN"/>
        </w:rPr>
        <w:t>补充</w:t>
      </w:r>
      <w:r>
        <w:rPr>
          <w:rFonts w:hint="default" w:ascii="Times New Roman" w:hAnsi="Times New Roman" w:eastAsia="宋体" w:cs="Times New Roman"/>
          <w:b/>
          <w:bCs/>
          <w:sz w:val="24"/>
          <w:szCs w:val="24"/>
          <w:highlight w:val="none"/>
          <w:lang w:eastAsia="zh-CN"/>
        </w:rPr>
        <w:t>检测结果</w:t>
      </w:r>
    </w:p>
    <w:tbl>
      <w:tblPr>
        <w:tblStyle w:val="23"/>
        <w:tblpPr w:leftFromText="180" w:rightFromText="180" w:vertAnchor="text" w:tblpXSpec="center" w:tblpY="1"/>
        <w:tblOverlap w:val="neve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39"/>
        <w:gridCol w:w="1749"/>
        <w:gridCol w:w="1177"/>
        <w:gridCol w:w="1177"/>
        <w:gridCol w:w="1177"/>
        <w:gridCol w:w="829"/>
        <w:gridCol w:w="667"/>
      </w:tblGrid>
      <w:tr w14:paraId="71ED2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restart"/>
            <w:tcBorders>
              <w:tl2br w:val="nil"/>
              <w:tr2bl w:val="nil"/>
            </w:tcBorders>
            <w:noWrap w:val="0"/>
            <w:vAlign w:val="center"/>
          </w:tcPr>
          <w:p w14:paraId="1127DB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w:t>
            </w:r>
          </w:p>
          <w:p w14:paraId="672DF2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w:t>
            </w:r>
          </w:p>
        </w:tc>
        <w:tc>
          <w:tcPr>
            <w:tcW w:w="1748" w:type="dxa"/>
            <w:vMerge w:val="restart"/>
            <w:tcBorders>
              <w:tl2br w:val="nil"/>
              <w:tr2bl w:val="nil"/>
            </w:tcBorders>
            <w:noWrap w:val="0"/>
            <w:vAlign w:val="center"/>
          </w:tcPr>
          <w:p w14:paraId="4E3FD2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检测因子</w:t>
            </w:r>
          </w:p>
        </w:tc>
        <w:tc>
          <w:tcPr>
            <w:tcW w:w="0" w:type="auto"/>
            <w:gridSpan w:val="3"/>
            <w:tcBorders>
              <w:tl2br w:val="nil"/>
              <w:tr2bl w:val="nil"/>
            </w:tcBorders>
            <w:noWrap w:val="0"/>
            <w:vAlign w:val="center"/>
          </w:tcPr>
          <w:p w14:paraId="2AB761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采样日期及检测结果（单位：mg/L）</w:t>
            </w:r>
          </w:p>
        </w:tc>
        <w:tc>
          <w:tcPr>
            <w:tcW w:w="0" w:type="auto"/>
            <w:vMerge w:val="restart"/>
            <w:tcBorders>
              <w:tl2br w:val="nil"/>
              <w:tr2bl w:val="nil"/>
            </w:tcBorders>
            <w:noWrap w:val="0"/>
            <w:vAlign w:val="center"/>
          </w:tcPr>
          <w:p w14:paraId="32C36C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标准限值</w:t>
            </w:r>
          </w:p>
        </w:tc>
        <w:tc>
          <w:tcPr>
            <w:tcW w:w="0" w:type="auto"/>
            <w:vMerge w:val="restart"/>
            <w:tcBorders>
              <w:tl2br w:val="nil"/>
              <w:tr2bl w:val="nil"/>
            </w:tcBorders>
            <w:noWrap w:val="0"/>
            <w:vAlign w:val="center"/>
          </w:tcPr>
          <w:p w14:paraId="5783FC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是否达标</w:t>
            </w:r>
          </w:p>
        </w:tc>
      </w:tr>
      <w:tr w14:paraId="6589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410541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vMerge w:val="continue"/>
            <w:tcBorders>
              <w:tl2br w:val="nil"/>
              <w:tr2bl w:val="nil"/>
            </w:tcBorders>
            <w:noWrap w:val="0"/>
            <w:vAlign w:val="center"/>
          </w:tcPr>
          <w:p w14:paraId="0EB373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0" w:type="auto"/>
            <w:tcBorders>
              <w:tl2br w:val="nil"/>
              <w:tr2bl w:val="nil"/>
            </w:tcBorders>
            <w:noWrap w:val="0"/>
            <w:vAlign w:val="center"/>
          </w:tcPr>
          <w:p w14:paraId="0DC253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2025.03.</w:t>
            </w:r>
            <w:r>
              <w:rPr>
                <w:rFonts w:hint="default" w:ascii="Times New Roman" w:hAnsi="Times New Roman" w:eastAsia="宋体" w:cs="Times New Roman"/>
                <w:sz w:val="21"/>
                <w:szCs w:val="21"/>
                <w:lang w:val="en-US" w:eastAsia="zh-CN"/>
              </w:rPr>
              <w:t>25</w:t>
            </w:r>
          </w:p>
        </w:tc>
        <w:tc>
          <w:tcPr>
            <w:tcW w:w="0" w:type="auto"/>
            <w:tcBorders>
              <w:tl2br w:val="nil"/>
              <w:tr2bl w:val="nil"/>
            </w:tcBorders>
            <w:noWrap w:val="0"/>
            <w:vAlign w:val="center"/>
          </w:tcPr>
          <w:p w14:paraId="1ED8C5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2025.03.</w:t>
            </w:r>
            <w:r>
              <w:rPr>
                <w:rFonts w:hint="default" w:ascii="Times New Roman" w:hAnsi="Times New Roman" w:eastAsia="宋体" w:cs="Times New Roman"/>
                <w:sz w:val="21"/>
                <w:szCs w:val="21"/>
                <w:lang w:val="en-US" w:eastAsia="zh-CN"/>
              </w:rPr>
              <w:t>26</w:t>
            </w:r>
          </w:p>
        </w:tc>
        <w:tc>
          <w:tcPr>
            <w:tcW w:w="0" w:type="auto"/>
            <w:tcBorders>
              <w:tl2br w:val="nil"/>
              <w:tr2bl w:val="nil"/>
            </w:tcBorders>
            <w:noWrap w:val="0"/>
            <w:vAlign w:val="center"/>
          </w:tcPr>
          <w:p w14:paraId="24C7B9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2025.03.2</w:t>
            </w:r>
            <w:r>
              <w:rPr>
                <w:rFonts w:hint="default" w:ascii="Times New Roman" w:hAnsi="Times New Roman" w:eastAsia="宋体" w:cs="Times New Roman"/>
                <w:sz w:val="21"/>
                <w:szCs w:val="21"/>
                <w:lang w:val="en-US" w:eastAsia="zh-CN"/>
              </w:rPr>
              <w:t>7</w:t>
            </w:r>
          </w:p>
        </w:tc>
        <w:tc>
          <w:tcPr>
            <w:tcW w:w="0" w:type="auto"/>
            <w:vMerge w:val="continue"/>
            <w:tcBorders>
              <w:tl2br w:val="nil"/>
              <w:tr2bl w:val="nil"/>
            </w:tcBorders>
            <w:noWrap w:val="0"/>
            <w:vAlign w:val="center"/>
          </w:tcPr>
          <w:p w14:paraId="131E69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0" w:type="auto"/>
            <w:vMerge w:val="continue"/>
            <w:tcBorders>
              <w:tl2br w:val="nil"/>
              <w:tr2bl w:val="nil"/>
            </w:tcBorders>
            <w:noWrap w:val="0"/>
            <w:vAlign w:val="center"/>
          </w:tcPr>
          <w:p w14:paraId="147DD9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r>
      <w:tr w14:paraId="6EA0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restart"/>
            <w:tcBorders>
              <w:tl2br w:val="nil"/>
              <w:tr2bl w:val="nil"/>
            </w:tcBorders>
            <w:noWrap w:val="0"/>
            <w:vAlign w:val="center"/>
          </w:tcPr>
          <w:p w14:paraId="7595FC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S1岳阳高新区污水处理厂排口入新墙河</w:t>
            </w:r>
            <w:r>
              <w:rPr>
                <w:rFonts w:hint="default" w:ascii="Times New Roman" w:hAnsi="Times New Roman" w:eastAsia="宋体" w:cs="Times New Roman"/>
                <w:sz w:val="21"/>
                <w:szCs w:val="21"/>
              </w:rPr>
              <w:t>水域上游500m</w:t>
            </w:r>
          </w:p>
        </w:tc>
        <w:tc>
          <w:tcPr>
            <w:tcW w:w="1748" w:type="dxa"/>
            <w:tcBorders>
              <w:tl2br w:val="nil"/>
              <w:tr2bl w:val="nil"/>
            </w:tcBorders>
            <w:noWrap w:val="0"/>
            <w:vAlign w:val="top"/>
          </w:tcPr>
          <w:p w14:paraId="3F2BDF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悬浮物</w:t>
            </w:r>
          </w:p>
        </w:tc>
        <w:tc>
          <w:tcPr>
            <w:tcW w:w="0" w:type="auto"/>
            <w:tcBorders>
              <w:tl2br w:val="nil"/>
              <w:tr2bl w:val="nil"/>
            </w:tcBorders>
            <w:noWrap w:val="0"/>
            <w:vAlign w:val="top"/>
          </w:tcPr>
          <w:p w14:paraId="6D7D85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0" w:type="auto"/>
            <w:tcBorders>
              <w:tl2br w:val="nil"/>
              <w:tr2bl w:val="nil"/>
            </w:tcBorders>
            <w:noWrap w:val="0"/>
            <w:vAlign w:val="top"/>
          </w:tcPr>
          <w:p w14:paraId="109F26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0" w:type="auto"/>
            <w:tcBorders>
              <w:tl2br w:val="nil"/>
              <w:tr2bl w:val="nil"/>
            </w:tcBorders>
            <w:noWrap w:val="0"/>
            <w:vAlign w:val="top"/>
          </w:tcPr>
          <w:p w14:paraId="6D1980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0" w:type="auto"/>
            <w:tcBorders>
              <w:tl2br w:val="nil"/>
              <w:tr2bl w:val="nil"/>
            </w:tcBorders>
            <w:noWrap w:val="0"/>
            <w:vAlign w:val="top"/>
          </w:tcPr>
          <w:p w14:paraId="0F0665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0" w:type="auto"/>
            <w:tcBorders>
              <w:tl2br w:val="nil"/>
              <w:tr2bl w:val="nil"/>
            </w:tcBorders>
            <w:noWrap w:val="0"/>
            <w:vAlign w:val="top"/>
          </w:tcPr>
          <w:p w14:paraId="795C1B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22703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698F5A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77B373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氯化物</w:t>
            </w:r>
          </w:p>
        </w:tc>
        <w:tc>
          <w:tcPr>
            <w:tcW w:w="0" w:type="auto"/>
            <w:tcBorders>
              <w:tl2br w:val="nil"/>
              <w:tr2bl w:val="nil"/>
            </w:tcBorders>
            <w:noWrap w:val="0"/>
            <w:vAlign w:val="top"/>
          </w:tcPr>
          <w:p w14:paraId="54106B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8.10</w:t>
            </w:r>
          </w:p>
        </w:tc>
        <w:tc>
          <w:tcPr>
            <w:tcW w:w="0" w:type="auto"/>
            <w:tcBorders>
              <w:tl2br w:val="nil"/>
              <w:tr2bl w:val="nil"/>
            </w:tcBorders>
            <w:noWrap w:val="0"/>
            <w:vAlign w:val="top"/>
          </w:tcPr>
          <w:p w14:paraId="527325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92</w:t>
            </w:r>
          </w:p>
        </w:tc>
        <w:tc>
          <w:tcPr>
            <w:tcW w:w="0" w:type="auto"/>
            <w:tcBorders>
              <w:tl2br w:val="nil"/>
              <w:tr2bl w:val="nil"/>
            </w:tcBorders>
            <w:noWrap w:val="0"/>
            <w:vAlign w:val="top"/>
          </w:tcPr>
          <w:p w14:paraId="334E31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33</w:t>
            </w:r>
          </w:p>
        </w:tc>
        <w:tc>
          <w:tcPr>
            <w:tcW w:w="0" w:type="auto"/>
            <w:tcBorders>
              <w:tl2br w:val="nil"/>
              <w:tr2bl w:val="nil"/>
            </w:tcBorders>
            <w:noWrap w:val="0"/>
            <w:vAlign w:val="top"/>
          </w:tcPr>
          <w:p w14:paraId="13E814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0" w:type="auto"/>
            <w:tcBorders>
              <w:tl2br w:val="nil"/>
              <w:tr2bl w:val="nil"/>
            </w:tcBorders>
            <w:noWrap w:val="0"/>
            <w:vAlign w:val="top"/>
          </w:tcPr>
          <w:p w14:paraId="121226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FF0B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03F458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304332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挥发酚</w:t>
            </w:r>
          </w:p>
        </w:tc>
        <w:tc>
          <w:tcPr>
            <w:tcW w:w="0" w:type="auto"/>
            <w:tcBorders>
              <w:tl2br w:val="nil"/>
              <w:tr2bl w:val="nil"/>
            </w:tcBorders>
            <w:noWrap w:val="0"/>
            <w:vAlign w:val="top"/>
          </w:tcPr>
          <w:p w14:paraId="3404B3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6D74C4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11DAE0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2C712A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w:t>
            </w:r>
          </w:p>
        </w:tc>
        <w:tc>
          <w:tcPr>
            <w:tcW w:w="0" w:type="auto"/>
            <w:tcBorders>
              <w:tl2br w:val="nil"/>
              <w:tr2bl w:val="nil"/>
            </w:tcBorders>
            <w:noWrap w:val="0"/>
            <w:vAlign w:val="top"/>
          </w:tcPr>
          <w:p w14:paraId="468406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43141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4CF02F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7F7E9C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阴离子表面活性剂</w:t>
            </w:r>
          </w:p>
        </w:tc>
        <w:tc>
          <w:tcPr>
            <w:tcW w:w="0" w:type="auto"/>
            <w:tcBorders>
              <w:tl2br w:val="nil"/>
              <w:tr2bl w:val="nil"/>
            </w:tcBorders>
            <w:noWrap w:val="0"/>
            <w:vAlign w:val="top"/>
          </w:tcPr>
          <w:p w14:paraId="39391C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598FC9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26935F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128AD2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0" w:type="auto"/>
            <w:tcBorders>
              <w:tl2br w:val="nil"/>
              <w:tr2bl w:val="nil"/>
            </w:tcBorders>
            <w:noWrap w:val="0"/>
            <w:vAlign w:val="top"/>
          </w:tcPr>
          <w:p w14:paraId="067C91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59A09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0D85BD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3A3D17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硫酸盐</w:t>
            </w:r>
          </w:p>
        </w:tc>
        <w:tc>
          <w:tcPr>
            <w:tcW w:w="0" w:type="auto"/>
            <w:tcBorders>
              <w:tl2br w:val="nil"/>
              <w:tr2bl w:val="nil"/>
            </w:tcBorders>
            <w:noWrap w:val="0"/>
            <w:vAlign w:val="top"/>
          </w:tcPr>
          <w:p w14:paraId="53339E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18.5</w:t>
            </w:r>
          </w:p>
        </w:tc>
        <w:tc>
          <w:tcPr>
            <w:tcW w:w="0" w:type="auto"/>
            <w:tcBorders>
              <w:tl2br w:val="nil"/>
              <w:tr2bl w:val="nil"/>
            </w:tcBorders>
            <w:noWrap w:val="0"/>
            <w:vAlign w:val="top"/>
          </w:tcPr>
          <w:p w14:paraId="6646C5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17.1</w:t>
            </w:r>
          </w:p>
        </w:tc>
        <w:tc>
          <w:tcPr>
            <w:tcW w:w="0" w:type="auto"/>
            <w:tcBorders>
              <w:tl2br w:val="nil"/>
              <w:tr2bl w:val="nil"/>
            </w:tcBorders>
            <w:noWrap w:val="0"/>
            <w:vAlign w:val="top"/>
          </w:tcPr>
          <w:p w14:paraId="3E9942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19.0</w:t>
            </w:r>
          </w:p>
        </w:tc>
        <w:tc>
          <w:tcPr>
            <w:tcW w:w="0" w:type="auto"/>
            <w:tcBorders>
              <w:tl2br w:val="nil"/>
              <w:tr2bl w:val="nil"/>
            </w:tcBorders>
            <w:noWrap w:val="0"/>
            <w:vAlign w:val="top"/>
          </w:tcPr>
          <w:p w14:paraId="0351B6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250</w:t>
            </w:r>
          </w:p>
        </w:tc>
        <w:tc>
          <w:tcPr>
            <w:tcW w:w="0" w:type="auto"/>
            <w:tcBorders>
              <w:tl2br w:val="nil"/>
              <w:tr2bl w:val="nil"/>
            </w:tcBorders>
            <w:noWrap w:val="0"/>
            <w:vAlign w:val="top"/>
          </w:tcPr>
          <w:p w14:paraId="36D920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0DC38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3C36F5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251A68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高锰酸盐指数</w:t>
            </w:r>
          </w:p>
        </w:tc>
        <w:tc>
          <w:tcPr>
            <w:tcW w:w="0" w:type="auto"/>
            <w:tcBorders>
              <w:tl2br w:val="nil"/>
              <w:tr2bl w:val="nil"/>
            </w:tcBorders>
            <w:noWrap w:val="0"/>
            <w:vAlign w:val="top"/>
          </w:tcPr>
          <w:p w14:paraId="153455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0" w:type="auto"/>
            <w:tcBorders>
              <w:tl2br w:val="nil"/>
              <w:tr2bl w:val="nil"/>
            </w:tcBorders>
            <w:noWrap w:val="0"/>
            <w:vAlign w:val="top"/>
          </w:tcPr>
          <w:p w14:paraId="251190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0" w:type="auto"/>
            <w:tcBorders>
              <w:tl2br w:val="nil"/>
              <w:tr2bl w:val="nil"/>
            </w:tcBorders>
            <w:noWrap w:val="0"/>
            <w:vAlign w:val="top"/>
          </w:tcPr>
          <w:p w14:paraId="7F5D66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0" w:type="auto"/>
            <w:tcBorders>
              <w:tl2br w:val="nil"/>
              <w:tr2bl w:val="nil"/>
            </w:tcBorders>
            <w:noWrap w:val="0"/>
            <w:vAlign w:val="top"/>
          </w:tcPr>
          <w:p w14:paraId="008020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0" w:type="auto"/>
            <w:tcBorders>
              <w:tl2br w:val="nil"/>
              <w:tr2bl w:val="nil"/>
            </w:tcBorders>
            <w:noWrap w:val="0"/>
            <w:vAlign w:val="top"/>
          </w:tcPr>
          <w:p w14:paraId="55A4A2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6FBE2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55293C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33C869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苯</w:t>
            </w:r>
          </w:p>
        </w:tc>
        <w:tc>
          <w:tcPr>
            <w:tcW w:w="0" w:type="auto"/>
            <w:tcBorders>
              <w:tl2br w:val="nil"/>
              <w:tr2bl w:val="nil"/>
            </w:tcBorders>
            <w:noWrap w:val="0"/>
            <w:vAlign w:val="top"/>
          </w:tcPr>
          <w:p w14:paraId="1F9823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3C7C94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7CCBFA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4E1EFC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c>
          <w:tcPr>
            <w:tcW w:w="0" w:type="auto"/>
            <w:tcBorders>
              <w:tl2br w:val="nil"/>
              <w:tr2bl w:val="nil"/>
            </w:tcBorders>
            <w:noWrap w:val="0"/>
            <w:vAlign w:val="top"/>
          </w:tcPr>
          <w:p w14:paraId="05ABF5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6ED18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restart"/>
            <w:tcBorders>
              <w:tl2br w:val="nil"/>
              <w:tr2bl w:val="nil"/>
            </w:tcBorders>
            <w:noWrap w:val="0"/>
            <w:vAlign w:val="center"/>
          </w:tcPr>
          <w:p w14:paraId="7D33F8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S2污水处理厂排口入新墙河</w:t>
            </w:r>
            <w:r>
              <w:rPr>
                <w:rFonts w:hint="default" w:ascii="Times New Roman" w:hAnsi="Times New Roman" w:eastAsia="宋体" w:cs="Times New Roman"/>
                <w:sz w:val="21"/>
                <w:szCs w:val="21"/>
              </w:rPr>
              <w:t>水域</w:t>
            </w:r>
            <w:r>
              <w:rPr>
                <w:rFonts w:hint="default" w:ascii="Times New Roman" w:hAnsi="Times New Roman" w:eastAsia="宋体" w:cs="Times New Roman"/>
                <w:sz w:val="21"/>
                <w:szCs w:val="21"/>
                <w:lang w:val="en-US" w:eastAsia="zh-CN"/>
              </w:rPr>
              <w:t>下</w:t>
            </w:r>
            <w:r>
              <w:rPr>
                <w:rFonts w:hint="default" w:ascii="Times New Roman" w:hAnsi="Times New Roman" w:eastAsia="宋体" w:cs="Times New Roman"/>
                <w:sz w:val="21"/>
                <w:szCs w:val="21"/>
              </w:rPr>
              <w:t>游</w:t>
            </w:r>
            <w:r>
              <w:rPr>
                <w:rFonts w:hint="default" w:ascii="Times New Roman" w:hAnsi="Times New Roman" w:eastAsia="宋体" w:cs="Times New Roman"/>
                <w:sz w:val="21"/>
                <w:szCs w:val="21"/>
                <w:lang w:val="en-US" w:eastAsia="zh-CN"/>
              </w:rPr>
              <w:t>1000</w:t>
            </w:r>
            <w:r>
              <w:rPr>
                <w:rFonts w:hint="default" w:ascii="Times New Roman" w:hAnsi="Times New Roman" w:eastAsia="宋体" w:cs="Times New Roman"/>
                <w:sz w:val="21"/>
                <w:szCs w:val="21"/>
              </w:rPr>
              <w:t>m</w:t>
            </w:r>
          </w:p>
        </w:tc>
        <w:tc>
          <w:tcPr>
            <w:tcW w:w="1748" w:type="dxa"/>
            <w:tcBorders>
              <w:tl2br w:val="nil"/>
              <w:tr2bl w:val="nil"/>
            </w:tcBorders>
            <w:noWrap w:val="0"/>
            <w:vAlign w:val="top"/>
          </w:tcPr>
          <w:p w14:paraId="2FF1E9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悬浮物</w:t>
            </w:r>
          </w:p>
        </w:tc>
        <w:tc>
          <w:tcPr>
            <w:tcW w:w="0" w:type="auto"/>
            <w:tcBorders>
              <w:tl2br w:val="nil"/>
              <w:tr2bl w:val="nil"/>
            </w:tcBorders>
            <w:noWrap w:val="0"/>
            <w:vAlign w:val="top"/>
          </w:tcPr>
          <w:p w14:paraId="4994C7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0" w:type="auto"/>
            <w:tcBorders>
              <w:tl2br w:val="nil"/>
              <w:tr2bl w:val="nil"/>
            </w:tcBorders>
            <w:noWrap w:val="0"/>
            <w:vAlign w:val="top"/>
          </w:tcPr>
          <w:p w14:paraId="165A78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0" w:type="auto"/>
            <w:tcBorders>
              <w:tl2br w:val="nil"/>
              <w:tr2bl w:val="nil"/>
            </w:tcBorders>
            <w:noWrap w:val="0"/>
            <w:vAlign w:val="top"/>
          </w:tcPr>
          <w:p w14:paraId="0FA81B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0" w:type="auto"/>
            <w:tcBorders>
              <w:tl2br w:val="nil"/>
              <w:tr2bl w:val="nil"/>
            </w:tcBorders>
            <w:noWrap w:val="0"/>
            <w:vAlign w:val="top"/>
          </w:tcPr>
          <w:p w14:paraId="081A76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0" w:type="auto"/>
            <w:tcBorders>
              <w:tl2br w:val="nil"/>
              <w:tr2bl w:val="nil"/>
            </w:tcBorders>
            <w:noWrap w:val="0"/>
            <w:vAlign w:val="top"/>
          </w:tcPr>
          <w:p w14:paraId="1D13E9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28A4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4B4D56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682BC1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氯化物</w:t>
            </w:r>
          </w:p>
        </w:tc>
        <w:tc>
          <w:tcPr>
            <w:tcW w:w="0" w:type="auto"/>
            <w:tcBorders>
              <w:tl2br w:val="nil"/>
              <w:tr2bl w:val="nil"/>
            </w:tcBorders>
            <w:noWrap w:val="0"/>
            <w:vAlign w:val="top"/>
          </w:tcPr>
          <w:p w14:paraId="067050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6.90</w:t>
            </w:r>
          </w:p>
        </w:tc>
        <w:tc>
          <w:tcPr>
            <w:tcW w:w="0" w:type="auto"/>
            <w:tcBorders>
              <w:tl2br w:val="nil"/>
              <w:tr2bl w:val="nil"/>
            </w:tcBorders>
            <w:noWrap w:val="0"/>
            <w:vAlign w:val="top"/>
          </w:tcPr>
          <w:p w14:paraId="1B1031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6.77</w:t>
            </w:r>
          </w:p>
        </w:tc>
        <w:tc>
          <w:tcPr>
            <w:tcW w:w="0" w:type="auto"/>
            <w:tcBorders>
              <w:tl2br w:val="nil"/>
              <w:tr2bl w:val="nil"/>
            </w:tcBorders>
            <w:noWrap w:val="0"/>
            <w:vAlign w:val="top"/>
          </w:tcPr>
          <w:p w14:paraId="1E3881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6.84</w:t>
            </w:r>
          </w:p>
        </w:tc>
        <w:tc>
          <w:tcPr>
            <w:tcW w:w="0" w:type="auto"/>
            <w:tcBorders>
              <w:tl2br w:val="nil"/>
              <w:tr2bl w:val="nil"/>
            </w:tcBorders>
            <w:noWrap w:val="0"/>
            <w:vAlign w:val="top"/>
          </w:tcPr>
          <w:p w14:paraId="2E2BA9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0" w:type="auto"/>
            <w:tcBorders>
              <w:tl2br w:val="nil"/>
              <w:tr2bl w:val="nil"/>
            </w:tcBorders>
            <w:noWrap w:val="0"/>
            <w:vAlign w:val="top"/>
          </w:tcPr>
          <w:p w14:paraId="2F92A6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B26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02076F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0E8C3B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挥发酚</w:t>
            </w:r>
          </w:p>
        </w:tc>
        <w:tc>
          <w:tcPr>
            <w:tcW w:w="0" w:type="auto"/>
            <w:tcBorders>
              <w:tl2br w:val="nil"/>
              <w:tr2bl w:val="nil"/>
            </w:tcBorders>
            <w:noWrap w:val="0"/>
            <w:vAlign w:val="top"/>
          </w:tcPr>
          <w:p w14:paraId="183E46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3BA040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22A0BE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418D20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0.005</w:t>
            </w:r>
          </w:p>
        </w:tc>
        <w:tc>
          <w:tcPr>
            <w:tcW w:w="0" w:type="auto"/>
            <w:tcBorders>
              <w:tl2br w:val="nil"/>
              <w:tr2bl w:val="nil"/>
            </w:tcBorders>
            <w:noWrap w:val="0"/>
            <w:vAlign w:val="top"/>
          </w:tcPr>
          <w:p w14:paraId="46F88C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25A58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7C1DD8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09FC31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阴离子表面活性剂</w:t>
            </w:r>
          </w:p>
        </w:tc>
        <w:tc>
          <w:tcPr>
            <w:tcW w:w="0" w:type="auto"/>
            <w:tcBorders>
              <w:tl2br w:val="nil"/>
              <w:tr2bl w:val="nil"/>
            </w:tcBorders>
            <w:noWrap w:val="0"/>
            <w:vAlign w:val="top"/>
          </w:tcPr>
          <w:p w14:paraId="51EDE9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4B2006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4E7AA6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041676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0.2</w:t>
            </w:r>
          </w:p>
        </w:tc>
        <w:tc>
          <w:tcPr>
            <w:tcW w:w="0" w:type="auto"/>
            <w:tcBorders>
              <w:tl2br w:val="nil"/>
              <w:tr2bl w:val="nil"/>
            </w:tcBorders>
            <w:noWrap w:val="0"/>
            <w:vAlign w:val="top"/>
          </w:tcPr>
          <w:p w14:paraId="4883A0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71C3C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7D5CF6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20B3C0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硫酸盐</w:t>
            </w:r>
          </w:p>
        </w:tc>
        <w:tc>
          <w:tcPr>
            <w:tcW w:w="0" w:type="auto"/>
            <w:tcBorders>
              <w:tl2br w:val="nil"/>
              <w:tr2bl w:val="nil"/>
            </w:tcBorders>
            <w:noWrap w:val="0"/>
            <w:vAlign w:val="top"/>
          </w:tcPr>
          <w:p w14:paraId="315802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8.40</w:t>
            </w:r>
          </w:p>
        </w:tc>
        <w:tc>
          <w:tcPr>
            <w:tcW w:w="0" w:type="auto"/>
            <w:tcBorders>
              <w:tl2br w:val="nil"/>
              <w:tr2bl w:val="nil"/>
            </w:tcBorders>
            <w:noWrap w:val="0"/>
            <w:vAlign w:val="top"/>
          </w:tcPr>
          <w:p w14:paraId="49ED6A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8.11</w:t>
            </w:r>
          </w:p>
        </w:tc>
        <w:tc>
          <w:tcPr>
            <w:tcW w:w="0" w:type="auto"/>
            <w:tcBorders>
              <w:tl2br w:val="nil"/>
              <w:tr2bl w:val="nil"/>
            </w:tcBorders>
            <w:noWrap w:val="0"/>
            <w:vAlign w:val="top"/>
          </w:tcPr>
          <w:p w14:paraId="70E1BE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8.72</w:t>
            </w:r>
          </w:p>
        </w:tc>
        <w:tc>
          <w:tcPr>
            <w:tcW w:w="0" w:type="auto"/>
            <w:tcBorders>
              <w:tl2br w:val="nil"/>
              <w:tr2bl w:val="nil"/>
            </w:tcBorders>
            <w:noWrap w:val="0"/>
            <w:vAlign w:val="top"/>
          </w:tcPr>
          <w:p w14:paraId="5CFC72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250</w:t>
            </w:r>
          </w:p>
        </w:tc>
        <w:tc>
          <w:tcPr>
            <w:tcW w:w="0" w:type="auto"/>
            <w:tcBorders>
              <w:tl2br w:val="nil"/>
              <w:tr2bl w:val="nil"/>
            </w:tcBorders>
            <w:noWrap w:val="0"/>
            <w:vAlign w:val="top"/>
          </w:tcPr>
          <w:p w14:paraId="460552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09658C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1906EB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0C3D37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高锰酸盐指数</w:t>
            </w:r>
          </w:p>
        </w:tc>
        <w:tc>
          <w:tcPr>
            <w:tcW w:w="0" w:type="auto"/>
            <w:tcBorders>
              <w:tl2br w:val="nil"/>
              <w:tr2bl w:val="nil"/>
            </w:tcBorders>
            <w:noWrap w:val="0"/>
            <w:vAlign w:val="top"/>
          </w:tcPr>
          <w:p w14:paraId="037A65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0" w:type="auto"/>
            <w:tcBorders>
              <w:tl2br w:val="nil"/>
              <w:tr2bl w:val="nil"/>
            </w:tcBorders>
            <w:noWrap w:val="0"/>
            <w:vAlign w:val="top"/>
          </w:tcPr>
          <w:p w14:paraId="43592A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0" w:type="auto"/>
            <w:tcBorders>
              <w:tl2br w:val="nil"/>
              <w:tr2bl w:val="nil"/>
            </w:tcBorders>
            <w:noWrap w:val="0"/>
            <w:vAlign w:val="top"/>
          </w:tcPr>
          <w:p w14:paraId="578BC3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0" w:type="auto"/>
            <w:tcBorders>
              <w:tl2br w:val="nil"/>
              <w:tr2bl w:val="nil"/>
            </w:tcBorders>
            <w:noWrap w:val="0"/>
            <w:vAlign w:val="top"/>
          </w:tcPr>
          <w:p w14:paraId="0CEDD4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6</w:t>
            </w:r>
          </w:p>
        </w:tc>
        <w:tc>
          <w:tcPr>
            <w:tcW w:w="0" w:type="auto"/>
            <w:tcBorders>
              <w:tl2br w:val="nil"/>
              <w:tr2bl w:val="nil"/>
            </w:tcBorders>
            <w:noWrap w:val="0"/>
            <w:vAlign w:val="top"/>
          </w:tcPr>
          <w:p w14:paraId="27A440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170CE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vMerge w:val="continue"/>
            <w:tcBorders>
              <w:tl2br w:val="nil"/>
              <w:tr2bl w:val="nil"/>
            </w:tcBorders>
            <w:noWrap w:val="0"/>
            <w:vAlign w:val="center"/>
          </w:tcPr>
          <w:p w14:paraId="6DB268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c>
          <w:tcPr>
            <w:tcW w:w="1748" w:type="dxa"/>
            <w:tcBorders>
              <w:tl2br w:val="nil"/>
              <w:tr2bl w:val="nil"/>
            </w:tcBorders>
            <w:noWrap w:val="0"/>
            <w:vAlign w:val="top"/>
          </w:tcPr>
          <w:p w14:paraId="5F5466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苯</w:t>
            </w:r>
          </w:p>
        </w:tc>
        <w:tc>
          <w:tcPr>
            <w:tcW w:w="0" w:type="auto"/>
            <w:tcBorders>
              <w:tl2br w:val="nil"/>
              <w:tr2bl w:val="nil"/>
            </w:tcBorders>
            <w:noWrap w:val="0"/>
            <w:vAlign w:val="top"/>
          </w:tcPr>
          <w:p w14:paraId="0E54ED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33DD7D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0DB5CA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0" w:type="auto"/>
            <w:tcBorders>
              <w:tl2br w:val="nil"/>
              <w:tr2bl w:val="nil"/>
            </w:tcBorders>
            <w:noWrap w:val="0"/>
            <w:vAlign w:val="top"/>
          </w:tcPr>
          <w:p w14:paraId="1EA344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0.01</w:t>
            </w:r>
          </w:p>
        </w:tc>
        <w:tc>
          <w:tcPr>
            <w:tcW w:w="0" w:type="auto"/>
            <w:tcBorders>
              <w:tl2br w:val="nil"/>
              <w:tr2bl w:val="nil"/>
            </w:tcBorders>
            <w:noWrap w:val="0"/>
            <w:vAlign w:val="top"/>
          </w:tcPr>
          <w:p w14:paraId="24891D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10D4B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39" w:type="dxa"/>
            <w:tcBorders>
              <w:tl2br w:val="nil"/>
              <w:tr2bl w:val="nil"/>
            </w:tcBorders>
            <w:noWrap w:val="0"/>
            <w:vAlign w:val="center"/>
          </w:tcPr>
          <w:p w14:paraId="5775B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c>
          <w:tcPr>
            <w:tcW w:w="6109" w:type="dxa"/>
            <w:gridSpan w:val="5"/>
            <w:tcBorders>
              <w:tl2br w:val="nil"/>
              <w:tr2bl w:val="nil"/>
            </w:tcBorders>
            <w:noWrap w:val="0"/>
            <w:vAlign w:val="top"/>
          </w:tcPr>
          <w:p w14:paraId="628711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执行《地表水环境质量标准》（GB 3838-2002）表1 中Ⅲ类标准值</w:t>
            </w:r>
          </w:p>
        </w:tc>
        <w:tc>
          <w:tcPr>
            <w:tcW w:w="0" w:type="auto"/>
            <w:tcBorders>
              <w:tl2br w:val="nil"/>
              <w:tr2bl w:val="nil"/>
            </w:tcBorders>
            <w:noWrap w:val="0"/>
            <w:vAlign w:val="top"/>
          </w:tcPr>
          <w:p w14:paraId="08556C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lang w:eastAsia="zh-CN"/>
              </w:rPr>
            </w:pPr>
          </w:p>
        </w:tc>
      </w:tr>
    </w:tbl>
    <w:p w14:paraId="273F4898">
      <w:pPr>
        <w:ind w:firstLine="480" w:firstLineChars="200"/>
        <w:rPr>
          <w:rFonts w:hint="default" w:ascii="Times New Roman" w:hAnsi="Times New Roman"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检测结果表明，岳阳高新区污水处理厂排口入新墙河</w:t>
      </w:r>
      <w:r>
        <w:rPr>
          <w:rFonts w:hint="default" w:ascii="Times New Roman" w:hAnsi="Times New Roman" w:eastAsia="宋体" w:cs="Times New Roman"/>
          <w:b w:val="0"/>
          <w:bCs w:val="0"/>
          <w:kern w:val="0"/>
          <w:sz w:val="24"/>
          <w:szCs w:val="24"/>
          <w:highlight w:val="none"/>
          <w:vertAlign w:val="baseline"/>
          <w:lang w:val="en-US" w:eastAsia="zh-CN" w:bidi="ar-SA"/>
        </w:rPr>
        <w:t>水域上游500m</w:t>
      </w:r>
      <w:r>
        <w:rPr>
          <w:rFonts w:hint="eastAsia" w:ascii="Times New Roman" w:hAnsi="Times New Roman" w:eastAsia="宋体" w:cs="Times New Roman"/>
          <w:b w:val="0"/>
          <w:bCs w:val="0"/>
          <w:kern w:val="0"/>
          <w:sz w:val="24"/>
          <w:szCs w:val="24"/>
          <w:highlight w:val="none"/>
          <w:vertAlign w:val="baseline"/>
          <w:lang w:val="en-US" w:eastAsia="zh-CN" w:bidi="ar-SA"/>
        </w:rPr>
        <w:t>和下</w:t>
      </w:r>
      <w:r>
        <w:rPr>
          <w:rFonts w:hint="default" w:ascii="Times New Roman" w:hAnsi="Times New Roman" w:eastAsia="宋体" w:cs="Times New Roman"/>
          <w:b w:val="0"/>
          <w:bCs w:val="0"/>
          <w:kern w:val="0"/>
          <w:sz w:val="24"/>
          <w:szCs w:val="24"/>
          <w:highlight w:val="none"/>
          <w:vertAlign w:val="baseline"/>
          <w:lang w:val="en-US" w:eastAsia="zh-CN" w:bidi="ar-SA"/>
        </w:rPr>
        <w:t>游</w:t>
      </w:r>
      <w:r>
        <w:rPr>
          <w:rFonts w:hint="eastAsia" w:ascii="Times New Roman" w:hAnsi="Times New Roman" w:eastAsia="宋体" w:cs="Times New Roman"/>
          <w:b w:val="0"/>
          <w:bCs w:val="0"/>
          <w:kern w:val="0"/>
          <w:sz w:val="24"/>
          <w:szCs w:val="24"/>
          <w:highlight w:val="none"/>
          <w:vertAlign w:val="baseline"/>
          <w:lang w:val="en-US" w:eastAsia="zh-CN" w:bidi="ar-SA"/>
        </w:rPr>
        <w:t>1000</w:t>
      </w:r>
      <w:r>
        <w:rPr>
          <w:rFonts w:hint="default" w:ascii="Times New Roman" w:hAnsi="Times New Roman" w:eastAsia="宋体" w:cs="Times New Roman"/>
          <w:b w:val="0"/>
          <w:bCs w:val="0"/>
          <w:kern w:val="0"/>
          <w:sz w:val="24"/>
          <w:szCs w:val="24"/>
          <w:highlight w:val="none"/>
          <w:vertAlign w:val="baseline"/>
          <w:lang w:val="en-US" w:eastAsia="zh-CN" w:bidi="ar-SA"/>
        </w:rPr>
        <w:t>m</w:t>
      </w:r>
      <w:r>
        <w:rPr>
          <w:rFonts w:hint="eastAsia" w:ascii="Times New Roman" w:hAnsi="Times New Roman" w:eastAsia="宋体" w:cs="Times New Roman"/>
          <w:b w:val="0"/>
          <w:bCs w:val="0"/>
          <w:kern w:val="0"/>
          <w:sz w:val="24"/>
          <w:szCs w:val="24"/>
          <w:highlight w:val="none"/>
          <w:vertAlign w:val="baseline"/>
          <w:lang w:val="en-US" w:eastAsia="zh-CN" w:bidi="ar-SA"/>
        </w:rPr>
        <w:t>地表水</w:t>
      </w:r>
      <w:r>
        <w:rPr>
          <w:rFonts w:hint="eastAsia" w:eastAsia="宋体" w:cs="Times New Roman"/>
          <w:b w:val="0"/>
          <w:bCs w:val="0"/>
          <w:kern w:val="0"/>
          <w:sz w:val="24"/>
          <w:szCs w:val="24"/>
          <w:highlight w:val="none"/>
          <w:vertAlign w:val="baseline"/>
          <w:lang w:val="en-US" w:eastAsia="zh-CN" w:bidi="ar-SA"/>
        </w:rPr>
        <w:t>各因子</w:t>
      </w:r>
      <w:r>
        <w:rPr>
          <w:rFonts w:hint="eastAsia" w:ascii="Times New Roman" w:hAnsi="Times New Roman" w:eastAsia="宋体" w:cs="Times New Roman"/>
          <w:b w:val="0"/>
          <w:bCs w:val="0"/>
          <w:kern w:val="0"/>
          <w:sz w:val="24"/>
          <w:szCs w:val="24"/>
          <w:highlight w:val="none"/>
          <w:vertAlign w:val="baseline"/>
          <w:lang w:val="en-US" w:eastAsia="zh-CN" w:bidi="ar-SA"/>
        </w:rPr>
        <w:t>浓度符合</w:t>
      </w:r>
      <w:r>
        <w:rPr>
          <w:rFonts w:hint="eastAsia" w:ascii="Times New Roman" w:hAnsi="Times New Roman" w:eastAsia="宋体" w:cs="Times New Roman"/>
          <w:b w:val="0"/>
          <w:bCs w:val="0"/>
          <w:kern w:val="0"/>
          <w:sz w:val="24"/>
          <w:szCs w:val="24"/>
          <w:highlight w:val="none"/>
          <w:vertAlign w:val="baseline"/>
          <w:lang w:val="zh-CN" w:eastAsia="zh-CN" w:bidi="ar-SA"/>
        </w:rPr>
        <w:t>《地表水环境质量标准》（GB</w:t>
      </w:r>
      <w:r>
        <w:rPr>
          <w:rFonts w:hint="eastAsia" w:ascii="Times New Roman" w:hAnsi="Times New Roman" w:eastAsia="宋体" w:cs="Times New Roman"/>
          <w:b w:val="0"/>
          <w:bCs w:val="0"/>
          <w:kern w:val="0"/>
          <w:sz w:val="24"/>
          <w:szCs w:val="24"/>
          <w:highlight w:val="none"/>
          <w:vertAlign w:val="baseline"/>
          <w:lang w:val="en-US" w:eastAsia="zh-CN" w:bidi="ar-SA"/>
        </w:rPr>
        <w:t>3838</w:t>
      </w:r>
      <w:r>
        <w:rPr>
          <w:rFonts w:hint="eastAsia" w:ascii="Times New Roman" w:hAnsi="Times New Roman" w:eastAsia="宋体" w:cs="Times New Roman"/>
          <w:b w:val="0"/>
          <w:bCs w:val="0"/>
          <w:kern w:val="0"/>
          <w:sz w:val="24"/>
          <w:szCs w:val="24"/>
          <w:highlight w:val="none"/>
          <w:vertAlign w:val="baseline"/>
          <w:lang w:val="zh-CN" w:eastAsia="zh-CN" w:bidi="ar-SA"/>
        </w:rPr>
        <w:t>-</w:t>
      </w:r>
      <w:r>
        <w:rPr>
          <w:rFonts w:hint="eastAsia" w:ascii="Times New Roman" w:hAnsi="Times New Roman" w:eastAsia="宋体" w:cs="Times New Roman"/>
          <w:b w:val="0"/>
          <w:bCs w:val="0"/>
          <w:kern w:val="0"/>
          <w:sz w:val="24"/>
          <w:szCs w:val="24"/>
          <w:highlight w:val="none"/>
          <w:vertAlign w:val="baseline"/>
          <w:lang w:val="en-US" w:eastAsia="zh-CN" w:bidi="ar-SA"/>
        </w:rPr>
        <w:t>2002</w:t>
      </w:r>
      <w:r>
        <w:rPr>
          <w:rFonts w:hint="eastAsia" w:ascii="Times New Roman" w:hAnsi="Times New Roman" w:eastAsia="宋体" w:cs="Times New Roman"/>
          <w:b w:val="0"/>
          <w:bCs w:val="0"/>
          <w:kern w:val="0"/>
          <w:sz w:val="24"/>
          <w:szCs w:val="24"/>
          <w:highlight w:val="none"/>
          <w:vertAlign w:val="baseline"/>
          <w:lang w:val="zh-CN" w:eastAsia="zh-CN" w:bidi="ar-SA"/>
        </w:rPr>
        <w:t>）中的</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begin"/>
      </w:r>
      <w:r>
        <w:rPr>
          <w:rFonts w:hint="eastAsia" w:ascii="Times New Roman" w:hAnsi="Times New Roman" w:eastAsia="宋体" w:cs="Times New Roman"/>
          <w:b w:val="0"/>
          <w:bCs w:val="0"/>
          <w:kern w:val="0"/>
          <w:sz w:val="24"/>
          <w:szCs w:val="24"/>
          <w:highlight w:val="none"/>
          <w:vertAlign w:val="baseline"/>
          <w:lang w:val="en-US" w:eastAsia="zh-CN" w:bidi="ar-SA"/>
        </w:rPr>
        <w:instrText xml:space="preserve"> = 3 \* ROMAN \* MERGEFORMAT </w:instrText>
      </w:r>
      <w:r>
        <w:rPr>
          <w:rFonts w:hint="eastAsia" w:ascii="Times New Roman" w:hAnsi="Times New Roman" w:eastAsia="宋体" w:cs="Times New Roman"/>
          <w:b w:val="0"/>
          <w:bCs w:val="0"/>
          <w:kern w:val="0"/>
          <w:sz w:val="24"/>
          <w:szCs w:val="24"/>
          <w:highlight w:val="none"/>
          <w:vertAlign w:val="baseline"/>
          <w:lang w:val="en-US" w:eastAsia="zh-CN" w:bidi="ar-SA"/>
        </w:rPr>
        <w:fldChar w:fldCharType="separate"/>
      </w:r>
      <w:r>
        <w:rPr>
          <w:rFonts w:hint="eastAsia" w:ascii="Times New Roman" w:hAnsi="Times New Roman" w:eastAsia="宋体" w:cs="Times New Roman"/>
          <w:b w:val="0"/>
          <w:bCs w:val="0"/>
          <w:kern w:val="0"/>
          <w:sz w:val="24"/>
          <w:szCs w:val="24"/>
          <w:highlight w:val="none"/>
          <w:vertAlign w:val="baseline"/>
          <w:lang w:val="en-US" w:eastAsia="zh-CN" w:bidi="ar-SA"/>
        </w:rPr>
        <w:t>III</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end"/>
      </w:r>
      <w:r>
        <w:rPr>
          <w:rFonts w:hint="eastAsia" w:ascii="Times New Roman" w:hAnsi="Times New Roman" w:eastAsia="宋体" w:cs="Times New Roman"/>
          <w:b w:val="0"/>
          <w:bCs w:val="0"/>
          <w:kern w:val="0"/>
          <w:sz w:val="24"/>
          <w:szCs w:val="24"/>
          <w:highlight w:val="none"/>
          <w:vertAlign w:val="baseline"/>
          <w:lang w:val="en-US" w:eastAsia="zh-CN" w:bidi="ar-SA"/>
        </w:rPr>
        <w:t>类</w:t>
      </w:r>
      <w:r>
        <w:rPr>
          <w:rFonts w:hint="eastAsia" w:ascii="Times New Roman" w:hAnsi="Times New Roman" w:eastAsia="宋体" w:cs="Times New Roman"/>
          <w:b w:val="0"/>
          <w:bCs w:val="0"/>
          <w:kern w:val="0"/>
          <w:sz w:val="24"/>
          <w:szCs w:val="24"/>
          <w:highlight w:val="none"/>
          <w:vertAlign w:val="baseline"/>
          <w:lang w:val="zh-CN" w:eastAsia="zh-CN" w:bidi="ar-SA"/>
        </w:rPr>
        <w:t>标准要求。</w:t>
      </w:r>
    </w:p>
    <w:p w14:paraId="75950473">
      <w:pPr>
        <w:pStyle w:val="7"/>
        <w:bidi w:val="0"/>
        <w:rPr>
          <w:rFonts w:hint="eastAsia"/>
          <w:highlight w:val="none"/>
          <w:lang w:val="en-US" w:eastAsia="zh-CN"/>
        </w:rPr>
      </w:pPr>
      <w:bookmarkStart w:id="157" w:name="_Toc11369"/>
      <w:r>
        <w:rPr>
          <w:rFonts w:hint="eastAsia"/>
          <w:highlight w:val="none"/>
          <w:lang w:val="en-US" w:eastAsia="zh-CN"/>
        </w:rPr>
        <w:t>5.2.3 地下水质量现状监测和评价</w:t>
      </w:r>
      <w:bookmarkEnd w:id="157"/>
    </w:p>
    <w:p w14:paraId="33A16C96">
      <w:pPr>
        <w:rPr>
          <w:rFonts w:hint="eastAsia" w:ascii="宋体" w:hAnsi="宋体" w:eastAsia="宋体" w:cs="宋体"/>
          <w:spacing w:val="-2"/>
          <w:sz w:val="24"/>
          <w:szCs w:val="24"/>
          <w:highlight w:val="none"/>
          <w:lang w:val="en-US" w:eastAsia="zh-CN"/>
        </w:rPr>
      </w:pPr>
      <w:r>
        <w:rPr>
          <w:rFonts w:hint="default" w:ascii="Times New Roman" w:hAnsi="Times New Roman" w:eastAsia="宋体" w:cs="Times New Roman"/>
          <w:sz w:val="24"/>
          <w:szCs w:val="24"/>
          <w:highlight w:val="none"/>
          <w:lang w:val="en-US" w:eastAsia="zh-CN"/>
        </w:rPr>
        <w:t>本项目地下水环境影响评价工作等级属于二级</w:t>
      </w:r>
      <w:r>
        <w:rPr>
          <w:rFonts w:hint="eastAsia" w:eastAsia="宋体"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需要</w:t>
      </w:r>
      <w:r>
        <w:rPr>
          <w:rFonts w:hint="default" w:ascii="Times New Roman" w:hAnsi="Times New Roman" w:eastAsia="宋体" w:cs="Times New Roman"/>
          <w:color w:val="000000"/>
          <w:kern w:val="0"/>
          <w:sz w:val="24"/>
          <w:szCs w:val="24"/>
          <w:highlight w:val="none"/>
          <w:lang w:val="en-US" w:eastAsia="zh-CN" w:bidi="ar"/>
        </w:rPr>
        <w:t>开展地下水环境现状监测</w:t>
      </w:r>
      <w:r>
        <w:rPr>
          <w:rFonts w:hint="eastAsia" w:eastAsia="宋体" w:cs="Times New Roman"/>
          <w:color w:val="000000"/>
          <w:kern w:val="0"/>
          <w:sz w:val="24"/>
          <w:szCs w:val="24"/>
          <w:highlight w:val="none"/>
          <w:lang w:val="en-US" w:eastAsia="zh-CN" w:bidi="ar"/>
        </w:rPr>
        <w:t>，根据《环境影响评价技术导则地下水环境》（HJ 610—2016）要求二级评价项目潜水含水层的水质监测点应不少于 5 个，原则上建设项目场地上游和两侧的地下水水质监测点均不得少于 1 个，建设项目场地及其下游影响区的地下水水质监测点不得少于 2 个，地下水水位监测点数以不小于相应评价级别地下水水质监测点数的 2倍为宜</w:t>
      </w:r>
      <w:r>
        <w:rPr>
          <w:rFonts w:hint="eastAsia" w:ascii="Times New Roman" w:hAnsi="Times New Roman" w:eastAsia="宋体" w:cs="Times New Roman"/>
          <w:color w:val="000000"/>
          <w:kern w:val="0"/>
          <w:sz w:val="24"/>
          <w:szCs w:val="24"/>
          <w:highlight w:val="none"/>
          <w:lang w:val="en-US" w:eastAsia="zh-CN" w:bidi="ar"/>
        </w:rPr>
        <w:t>。</w:t>
      </w:r>
      <w:r>
        <w:rPr>
          <w:rFonts w:hint="eastAsia" w:ascii="Times New Roman" w:hAnsi="Times New Roman" w:eastAsia="宋体" w:cs="Times New Roman"/>
          <w:b w:val="0"/>
          <w:bCs w:val="0"/>
          <w:kern w:val="0"/>
          <w:sz w:val="24"/>
          <w:szCs w:val="24"/>
          <w:highlight w:val="none"/>
          <w:vertAlign w:val="baseline"/>
          <w:lang w:val="en-US" w:eastAsia="zh-CN" w:bidi="ar-SA"/>
        </w:rPr>
        <w:t>本项目委托</w:t>
      </w:r>
      <w:r>
        <w:rPr>
          <w:rFonts w:hint="default" w:ascii="Times New Roman" w:hAnsi="Times New Roman" w:eastAsia="宋体" w:cs="Times New Roman"/>
          <w:b w:val="0"/>
          <w:bCs w:val="0"/>
          <w:sz w:val="24"/>
          <w:szCs w:val="24"/>
          <w:highlight w:val="none"/>
          <w:vertAlign w:val="baseline"/>
          <w:lang w:val="en-US" w:eastAsia="zh-CN"/>
        </w:rPr>
        <w:t>湖南中额环保科技有限公司</w:t>
      </w:r>
      <w:r>
        <w:rPr>
          <w:rFonts w:hint="default" w:ascii="Times New Roman" w:hAnsi="Times New Roman" w:eastAsia="宋体" w:cs="Times New Roman"/>
          <w:b w:val="0"/>
          <w:bCs w:val="0"/>
          <w:kern w:val="0"/>
          <w:sz w:val="24"/>
          <w:szCs w:val="24"/>
          <w:highlight w:val="none"/>
          <w:vertAlign w:val="baseline"/>
          <w:lang w:val="en-US" w:eastAsia="zh-CN" w:bidi="ar-SA"/>
        </w:rPr>
        <w:t>于202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w:t>
      </w:r>
      <w:r>
        <w:rPr>
          <w:rFonts w:hint="default" w:ascii="Times New Roman" w:hAnsi="Times New Roman" w:eastAsia="宋体" w:cs="Times New Roman"/>
          <w:b w:val="0"/>
          <w:bCs w:val="0"/>
          <w:kern w:val="0"/>
          <w:sz w:val="24"/>
          <w:szCs w:val="24"/>
          <w:highlight w:val="none"/>
          <w:vertAlign w:val="baseline"/>
          <w:lang w:val="en-US" w:eastAsia="zh-CN" w:bidi="ar-SA"/>
        </w:rPr>
        <w:t xml:space="preserve"> 月</w:t>
      </w:r>
      <w:r>
        <w:rPr>
          <w:rFonts w:hint="eastAsia" w:ascii="Times New Roman" w:hAnsi="Times New Roman" w:eastAsia="宋体" w:cs="Times New Roman"/>
          <w:b w:val="0"/>
          <w:bCs w:val="0"/>
          <w:kern w:val="0"/>
          <w:sz w:val="24"/>
          <w:szCs w:val="24"/>
          <w:highlight w:val="none"/>
          <w:vertAlign w:val="baseline"/>
          <w:lang w:val="en-US" w:eastAsia="zh-CN" w:bidi="ar-SA"/>
        </w:rPr>
        <w:t>25日~</w:t>
      </w:r>
      <w:r>
        <w:rPr>
          <w:rFonts w:hint="default" w:ascii="Times New Roman" w:hAnsi="Times New Roman" w:eastAsia="宋体" w:cs="Times New Roman"/>
          <w:b w:val="0"/>
          <w:bCs w:val="0"/>
          <w:kern w:val="0"/>
          <w:sz w:val="24"/>
          <w:szCs w:val="24"/>
          <w:highlight w:val="none"/>
          <w:vertAlign w:val="baseline"/>
          <w:lang w:val="en-US" w:eastAsia="zh-CN" w:bidi="ar-SA"/>
        </w:rPr>
        <w:t>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3月27</w:t>
      </w:r>
      <w:r>
        <w:rPr>
          <w:rFonts w:hint="default" w:ascii="Times New Roman" w:hAnsi="Times New Roman" w:eastAsia="宋体" w:cs="Times New Roman"/>
          <w:b w:val="0"/>
          <w:bCs w:val="0"/>
          <w:kern w:val="0"/>
          <w:sz w:val="24"/>
          <w:szCs w:val="24"/>
          <w:highlight w:val="none"/>
          <w:vertAlign w:val="baseline"/>
          <w:lang w:val="en-US" w:eastAsia="zh-CN" w:bidi="ar-SA"/>
        </w:rPr>
        <w:t>日</w:t>
      </w:r>
      <w:r>
        <w:rPr>
          <w:rFonts w:hint="eastAsia" w:ascii="Times New Roman" w:hAnsi="Times New Roman" w:eastAsia="宋体" w:cs="Times New Roman"/>
          <w:b w:val="0"/>
          <w:bCs w:val="0"/>
          <w:kern w:val="0"/>
          <w:sz w:val="24"/>
          <w:szCs w:val="24"/>
          <w:highlight w:val="none"/>
          <w:vertAlign w:val="baseline"/>
          <w:lang w:val="en-US" w:eastAsia="zh-CN" w:bidi="ar-SA"/>
        </w:rPr>
        <w:t>对项目地开展了</w:t>
      </w:r>
      <w:r>
        <w:rPr>
          <w:rFonts w:ascii="宋体" w:hAnsi="宋体" w:eastAsia="宋体" w:cs="宋体"/>
          <w:spacing w:val="-2"/>
          <w:sz w:val="24"/>
          <w:szCs w:val="24"/>
          <w:highlight w:val="none"/>
        </w:rPr>
        <w:t>地下水环境现状</w:t>
      </w:r>
      <w:r>
        <w:rPr>
          <w:rFonts w:hint="eastAsia" w:ascii="宋体" w:hAnsi="宋体" w:eastAsia="宋体" w:cs="宋体"/>
          <w:spacing w:val="-2"/>
          <w:sz w:val="24"/>
          <w:szCs w:val="24"/>
          <w:highlight w:val="none"/>
          <w:lang w:val="en-US" w:eastAsia="zh-CN"/>
        </w:rPr>
        <w:t>监测。</w:t>
      </w:r>
    </w:p>
    <w:p w14:paraId="4FC5A40C">
      <w:pPr>
        <w:rPr>
          <w:rFonts w:hint="eastAsia" w:ascii="Times New Roman" w:hAnsi="Times New Roman" w:eastAsia="宋体" w:cs="Times New Roman"/>
          <w:b/>
          <w:bCs/>
          <w:sz w:val="24"/>
          <w:szCs w:val="24"/>
          <w:highlight w:val="none"/>
          <w:vertAlign w:val="baseline"/>
          <w:lang w:val="en-US" w:eastAsia="zh-CN"/>
        </w:rPr>
      </w:pPr>
      <w:r>
        <w:rPr>
          <w:rFonts w:hint="eastAsia" w:ascii="Times New Roman" w:hAnsi="Times New Roman" w:eastAsia="宋体" w:cs="Times New Roman"/>
          <w:b/>
          <w:bCs/>
          <w:sz w:val="24"/>
          <w:szCs w:val="24"/>
          <w:highlight w:val="none"/>
          <w:vertAlign w:val="baseline"/>
          <w:lang w:val="en-US" w:eastAsia="zh-CN"/>
        </w:rPr>
        <w:t>1、</w:t>
      </w:r>
      <w:r>
        <w:rPr>
          <w:rFonts w:hint="default" w:ascii="Times New Roman" w:hAnsi="Times New Roman" w:eastAsia="宋体" w:cs="Times New Roman"/>
          <w:b/>
          <w:bCs/>
          <w:sz w:val="24"/>
          <w:szCs w:val="24"/>
          <w:highlight w:val="none"/>
          <w:lang w:eastAsia="zh-CN"/>
        </w:rPr>
        <w:t>地下水</w:t>
      </w:r>
      <w:r>
        <w:rPr>
          <w:rFonts w:hint="eastAsia" w:ascii="Times New Roman" w:hAnsi="Times New Roman" w:eastAsia="宋体" w:cs="Times New Roman"/>
          <w:b/>
          <w:bCs/>
          <w:sz w:val="24"/>
          <w:szCs w:val="24"/>
          <w:highlight w:val="none"/>
          <w:vertAlign w:val="baseline"/>
          <w:lang w:val="en-US" w:eastAsia="zh-CN"/>
        </w:rPr>
        <w:t>监测方案</w:t>
      </w:r>
    </w:p>
    <w:p w14:paraId="286D7A46">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ascii="Times New Roman" w:hAnsi="Times New Roman" w:eastAsia="Times New Roman" w:cs="Times New Roman"/>
          <w:spacing w:val="-1"/>
          <w:sz w:val="24"/>
          <w:szCs w:val="24"/>
          <w:highlight w:val="none"/>
        </w:rPr>
      </w:pPr>
      <w:r>
        <w:rPr>
          <w:rFonts w:ascii="Times New Roman" w:hAnsi="Times New Roman" w:eastAsia="Times New Roman" w:cs="Times New Roman"/>
          <w:spacing w:val="-1"/>
          <w:sz w:val="24"/>
          <w:szCs w:val="24"/>
          <w:highlight w:val="none"/>
        </w:rPr>
        <w:t xml:space="preserve"> </w:t>
      </w:r>
    </w:p>
    <w:p w14:paraId="07D03EB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ascii="Times New Roman" w:hAnsi="Times New Roman" w:eastAsia="Times New Roman" w:cs="Times New Roman"/>
          <w:spacing w:val="-1"/>
          <w:sz w:val="24"/>
          <w:szCs w:val="24"/>
          <w:highlight w:val="none"/>
        </w:rPr>
      </w:pPr>
    </w:p>
    <w:p w14:paraId="7E87F09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黑体" w:cs="宋体"/>
          <w:spacing w:val="-2"/>
          <w:sz w:val="24"/>
          <w:szCs w:val="24"/>
          <w:highlight w:val="none"/>
          <w:lang w:val="en-US" w:eastAsia="zh-CN"/>
        </w:rPr>
      </w:pPr>
      <w:r>
        <w:rPr>
          <w:rFonts w:hint="default" w:ascii="Times New Roman" w:hAnsi="Times New Roman" w:eastAsia="宋体" w:cs="Times New Roman"/>
          <w:b/>
          <w:bCs/>
          <w:sz w:val="24"/>
          <w:szCs w:val="24"/>
          <w:highlight w:val="none"/>
          <w:lang w:eastAsia="zh-CN"/>
        </w:rPr>
        <w:t xml:space="preserve"> 表</w:t>
      </w:r>
      <w:r>
        <w:rPr>
          <w:rFonts w:hint="eastAsia" w:ascii="Times New Roman" w:hAnsi="Times New Roman" w:eastAsia="宋体" w:cs="Times New Roman"/>
          <w:b/>
          <w:bCs/>
          <w:sz w:val="24"/>
          <w:szCs w:val="24"/>
          <w:highlight w:val="none"/>
          <w:lang w:eastAsia="zh-CN"/>
        </w:rPr>
        <w:t>5</w:t>
      </w:r>
      <w:r>
        <w:rPr>
          <w:rFonts w:hint="eastAsia" w:ascii="Times New Roman" w:hAnsi="Times New Roman" w:eastAsia="宋体" w:cs="Times New Roman"/>
          <w:b/>
          <w:bCs/>
          <w:sz w:val="24"/>
          <w:szCs w:val="24"/>
          <w:highlight w:val="none"/>
          <w:lang w:val="en-US" w:eastAsia="zh-CN"/>
        </w:rPr>
        <w:t>.</w:t>
      </w:r>
      <w:r>
        <w:rPr>
          <w:rFonts w:hint="eastAsia" w:ascii="Times New Roman" w:hAnsi="Times New Roman" w:eastAsia="宋体" w:cs="Times New Roman"/>
          <w:b/>
          <w:bCs/>
          <w:sz w:val="24"/>
          <w:szCs w:val="24"/>
          <w:highlight w:val="none"/>
          <w:lang w:eastAsia="zh-CN"/>
        </w:rPr>
        <w:t>2</w:t>
      </w:r>
      <w:r>
        <w:rPr>
          <w:rFonts w:hint="eastAsia" w:ascii="Times New Roman" w:hAnsi="Times New Roman" w:eastAsia="宋体" w:cs="Times New Roman"/>
          <w:b/>
          <w:bCs/>
          <w:sz w:val="24"/>
          <w:szCs w:val="24"/>
          <w:highlight w:val="none"/>
          <w:lang w:val="en-US" w:eastAsia="zh-CN"/>
        </w:rPr>
        <w:t>-</w:t>
      </w:r>
      <w:r>
        <w:rPr>
          <w:rFonts w:hint="eastAsia" w:eastAsia="宋体" w:cs="Times New Roman"/>
          <w:b/>
          <w:bCs/>
          <w:sz w:val="24"/>
          <w:szCs w:val="24"/>
          <w:highlight w:val="none"/>
          <w:lang w:val="en-US" w:eastAsia="zh-CN"/>
        </w:rPr>
        <w:t>7</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eastAsia="zh-CN"/>
        </w:rPr>
        <w:t>地下水环境质量监测</w:t>
      </w:r>
      <w:r>
        <w:rPr>
          <w:rFonts w:hint="eastAsia" w:ascii="Times New Roman" w:hAnsi="Times New Roman" w:eastAsia="宋体" w:cs="Times New Roman"/>
          <w:b/>
          <w:bCs/>
          <w:sz w:val="24"/>
          <w:szCs w:val="24"/>
          <w:highlight w:val="none"/>
          <w:lang w:val="en-US" w:eastAsia="zh-CN"/>
        </w:rPr>
        <w:t>信息</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1163"/>
        <w:gridCol w:w="3560"/>
        <w:gridCol w:w="3009"/>
      </w:tblGrid>
      <w:tr w14:paraId="1D065B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3AF164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序号</w:t>
            </w:r>
          </w:p>
        </w:tc>
        <w:tc>
          <w:tcPr>
            <w:tcW w:w="683" w:type="pct"/>
            <w:tcBorders>
              <w:tl2br w:val="nil"/>
              <w:tr2bl w:val="nil"/>
            </w:tcBorders>
            <w:vAlign w:val="center"/>
          </w:tcPr>
          <w:p w14:paraId="6FB96F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监测点</w:t>
            </w:r>
          </w:p>
        </w:tc>
        <w:tc>
          <w:tcPr>
            <w:tcW w:w="2090" w:type="pct"/>
            <w:tcBorders>
              <w:tl2br w:val="nil"/>
              <w:tr2bl w:val="nil"/>
            </w:tcBorders>
            <w:vAlign w:val="center"/>
          </w:tcPr>
          <w:p w14:paraId="0DFD04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与项目的方位、距离（m）</w:t>
            </w:r>
          </w:p>
        </w:tc>
        <w:tc>
          <w:tcPr>
            <w:tcW w:w="1766" w:type="pct"/>
            <w:tcBorders>
              <w:tl2br w:val="nil"/>
              <w:tr2bl w:val="nil"/>
            </w:tcBorders>
            <w:vAlign w:val="center"/>
          </w:tcPr>
          <w:p w14:paraId="4E5E6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sz w:val="21"/>
                <w:szCs w:val="21"/>
                <w:highlight w:val="none"/>
              </w:rPr>
              <w:t>监测因子</w:t>
            </w:r>
            <w:r>
              <w:rPr>
                <w:rFonts w:hint="default" w:ascii="Times New Roman" w:hAnsi="Times New Roman" w:eastAsia="宋体" w:cs="Times New Roman"/>
                <w:b/>
                <w:sz w:val="21"/>
                <w:szCs w:val="21"/>
                <w:highlight w:val="none"/>
                <w:lang w:val="en-US" w:eastAsia="zh-CN"/>
              </w:rPr>
              <w:t>及监测频次</w:t>
            </w:r>
          </w:p>
        </w:tc>
      </w:tr>
      <w:tr w14:paraId="4075D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47D9E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w:t>
            </w:r>
            <w:r>
              <w:rPr>
                <w:rFonts w:hint="eastAsia" w:eastAsia="宋体" w:cs="Times New Roman"/>
                <w:b w:val="0"/>
                <w:bCs/>
                <w:sz w:val="21"/>
                <w:szCs w:val="21"/>
                <w:highlight w:val="none"/>
                <w:lang w:val="en-US" w:eastAsia="zh-CN"/>
              </w:rPr>
              <w:t>1</w:t>
            </w:r>
          </w:p>
        </w:tc>
        <w:tc>
          <w:tcPr>
            <w:tcW w:w="683" w:type="pct"/>
            <w:tcBorders>
              <w:tl2br w:val="nil"/>
              <w:tr2bl w:val="nil"/>
            </w:tcBorders>
            <w:vAlign w:val="center"/>
          </w:tcPr>
          <w:p w14:paraId="15583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场地上游</w:t>
            </w:r>
          </w:p>
        </w:tc>
        <w:tc>
          <w:tcPr>
            <w:tcW w:w="2090" w:type="pct"/>
            <w:tcBorders>
              <w:tl2br w:val="nil"/>
              <w:tr2bl w:val="nil"/>
            </w:tcBorders>
            <w:vAlign w:val="center"/>
          </w:tcPr>
          <w:p w14:paraId="59457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东南侧650米处</w:t>
            </w:r>
            <w:r>
              <w:rPr>
                <w:rFonts w:hint="default" w:ascii="Times New Roman" w:hAnsi="Times New Roman" w:eastAsia="宋体" w:cs="Times New Roman"/>
                <w:b w:val="0"/>
                <w:bCs/>
                <w:sz w:val="21"/>
                <w:szCs w:val="21"/>
                <w:highlight w:val="none"/>
              </w:rPr>
              <w:t>刘介章水井</w:t>
            </w:r>
          </w:p>
        </w:tc>
        <w:tc>
          <w:tcPr>
            <w:tcW w:w="1766" w:type="pct"/>
            <w:vMerge w:val="restart"/>
            <w:tcBorders>
              <w:tl2br w:val="nil"/>
              <w:tr2bl w:val="nil"/>
            </w:tcBorders>
            <w:vAlign w:val="center"/>
          </w:tcPr>
          <w:p w14:paraId="3B7DCC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连续采样3天，每天监测1次；</w:t>
            </w:r>
          </w:p>
          <w:p w14:paraId="6CD8C8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eastAsia="zh-CN"/>
              </w:rPr>
            </w:pPr>
            <w:r>
              <w:rPr>
                <w:rFonts w:hint="eastAsia" w:ascii="Times New Roman" w:hAnsi="Times New Roman" w:eastAsia="宋体" w:cs="Times New Roman"/>
                <w:sz w:val="21"/>
                <w:szCs w:val="21"/>
                <w:highlight w:val="none"/>
                <w:lang w:val="en-US" w:eastAsia="zh-CN"/>
              </w:rPr>
              <w:t>水位、</w:t>
            </w:r>
            <w:r>
              <w:rPr>
                <w:rFonts w:hint="default" w:ascii="Times New Roman" w:hAnsi="Times New Roman" w:eastAsia="宋体" w:cs="Times New Roman"/>
                <w:sz w:val="21"/>
                <w:szCs w:val="21"/>
                <w:highlight w:val="none"/>
              </w:rPr>
              <w:t>K</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、Na</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、Ca</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、CO</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vertAlign w:val="superscript"/>
              </w:rPr>
              <w:t>2-</w:t>
            </w:r>
            <w:r>
              <w:rPr>
                <w:rFonts w:hint="default" w:ascii="Times New Roman" w:hAnsi="Times New Roman" w:eastAsia="宋体" w:cs="Times New Roman"/>
                <w:sz w:val="21"/>
                <w:szCs w:val="21"/>
                <w:highlight w:val="none"/>
              </w:rPr>
              <w:t>、HCO</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、Cl</w:t>
            </w:r>
            <w:r>
              <w:rPr>
                <w:rFonts w:hint="default" w:ascii="Times New Roman" w:hAnsi="Times New Roman" w:eastAsia="宋体" w:cs="Times New Roman"/>
                <w:sz w:val="21"/>
                <w:szCs w:val="21"/>
                <w:highlight w:val="none"/>
                <w:vertAlign w:val="superscript"/>
              </w:rPr>
              <w:t>-</w:t>
            </w:r>
            <w:r>
              <w:rPr>
                <w:rFonts w:hint="default" w:ascii="Times New Roman" w:hAnsi="Times New Roman" w:eastAsia="宋体" w:cs="Times New Roman"/>
                <w:sz w:val="21"/>
                <w:szCs w:val="21"/>
                <w:highlight w:val="none"/>
              </w:rPr>
              <w:t>、SO</w:t>
            </w:r>
            <w:r>
              <w:rPr>
                <w:rFonts w:hint="default" w:ascii="Times New Roman" w:hAnsi="Times New Roman" w:eastAsia="宋体" w:cs="Times New Roman"/>
                <w:sz w:val="21"/>
                <w:szCs w:val="21"/>
                <w:highlight w:val="none"/>
                <w:vertAlign w:val="subscript"/>
              </w:rPr>
              <w:t>4</w:t>
            </w:r>
            <w:r>
              <w:rPr>
                <w:rFonts w:hint="default" w:ascii="Times New Roman" w:hAnsi="Times New Roman" w:eastAsia="宋体" w:cs="Times New Roman"/>
                <w:sz w:val="21"/>
                <w:szCs w:val="21"/>
                <w:highlight w:val="none"/>
                <w:vertAlign w:val="superscript"/>
              </w:rPr>
              <w:t>2-</w:t>
            </w:r>
            <w:r>
              <w:rPr>
                <w:rFonts w:hint="eastAsia" w:ascii="Times New Roman" w:hAnsi="Times New Roman" w:eastAsia="宋体" w:cs="Times New Roman"/>
                <w:sz w:val="21"/>
                <w:szCs w:val="21"/>
                <w:highlight w:val="none"/>
                <w:vertAlign w:val="superscript"/>
                <w:lang w:eastAsia="zh-CN"/>
              </w:rPr>
              <w:t>；</w:t>
            </w:r>
            <w:r>
              <w:rPr>
                <w:rFonts w:hint="eastAsia" w:ascii="Times New Roman" w:hAnsi="Times New Roman" w:eastAsia="宋体" w:cs="Times New Roman"/>
                <w:sz w:val="21"/>
                <w:szCs w:val="21"/>
                <w:highlight w:val="none"/>
                <w:vertAlign w:val="baseline"/>
                <w:lang w:eastAsia="zh-CN"/>
              </w:rPr>
              <w:t>；</w:t>
            </w:r>
          </w:p>
          <w:p w14:paraId="3598D4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highlight w:val="none"/>
              </w:rPr>
            </w:pPr>
            <w:r>
              <w:rPr>
                <w:rFonts w:hint="default" w:ascii="Times New Roman" w:hAnsi="Times New Roman" w:eastAsia="宋体" w:cs="Times New Roman"/>
                <w:sz w:val="21"/>
                <w:szCs w:val="21"/>
                <w:highlight w:val="none"/>
                <w:lang w:val="en-US" w:eastAsia="zh-CN"/>
              </w:rPr>
              <w:t>基本水质因子：</w:t>
            </w:r>
            <w:r>
              <w:rPr>
                <w:rFonts w:hint="default" w:ascii="Times New Roman" w:hAnsi="Times New Roman" w:eastAsia="宋体" w:cs="Times New Roman"/>
                <w:sz w:val="21"/>
                <w:szCs w:val="21"/>
                <w:highlight w:val="none"/>
              </w:rPr>
              <w:t>pH、氨氮、硝酸盐、亚硝酸盐、挥发性酚类、氰化物、砷、汞、铬(六价)、总硬度、铅、氟、镉、铁、锰、溶解性总固体、高锰酸盐指数、硫酸盐、氯化物、总大肠菌群、细菌总数</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特征因子：石油类</w:t>
            </w:r>
            <w:r>
              <w:rPr>
                <w:rFonts w:hint="eastAsia" w:eastAsia="宋体" w:cs="Times New Roman"/>
                <w:sz w:val="21"/>
                <w:szCs w:val="21"/>
                <w:highlight w:val="none"/>
                <w:lang w:val="en-US" w:eastAsia="zh-CN"/>
              </w:rPr>
              <w:t>、阴离子表面活性剂；</w:t>
            </w:r>
          </w:p>
        </w:tc>
      </w:tr>
      <w:tr w14:paraId="3DDBB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768C47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D2</w:t>
            </w:r>
          </w:p>
        </w:tc>
        <w:tc>
          <w:tcPr>
            <w:tcW w:w="683" w:type="pct"/>
            <w:vMerge w:val="restart"/>
            <w:tcBorders>
              <w:tl2br w:val="nil"/>
              <w:tr2bl w:val="nil"/>
            </w:tcBorders>
            <w:vAlign w:val="center"/>
          </w:tcPr>
          <w:p w14:paraId="22335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场地两侧</w:t>
            </w:r>
          </w:p>
        </w:tc>
        <w:tc>
          <w:tcPr>
            <w:tcW w:w="2090" w:type="pct"/>
            <w:tcBorders>
              <w:tl2br w:val="nil"/>
              <w:tr2bl w:val="nil"/>
            </w:tcBorders>
            <w:vAlign w:val="center"/>
          </w:tcPr>
          <w:p w14:paraId="5EEAB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eastAsia" w:eastAsia="宋体" w:cs="Times New Roman"/>
                <w:b w:val="0"/>
                <w:bCs/>
                <w:sz w:val="21"/>
                <w:szCs w:val="21"/>
                <w:highlight w:val="none"/>
                <w:lang w:val="en-US" w:eastAsia="zh-CN"/>
              </w:rPr>
              <w:t>东北侧205米处雷家屋水井</w:t>
            </w:r>
          </w:p>
        </w:tc>
        <w:tc>
          <w:tcPr>
            <w:tcW w:w="1766" w:type="pct"/>
            <w:vMerge w:val="continue"/>
            <w:tcBorders>
              <w:tl2br w:val="nil"/>
              <w:tr2bl w:val="nil"/>
            </w:tcBorders>
            <w:vAlign w:val="center"/>
          </w:tcPr>
          <w:p w14:paraId="6413E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r w14:paraId="4C446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4E9E17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D3</w:t>
            </w:r>
          </w:p>
        </w:tc>
        <w:tc>
          <w:tcPr>
            <w:tcW w:w="683" w:type="pct"/>
            <w:vMerge w:val="continue"/>
            <w:tcBorders>
              <w:tl2br w:val="nil"/>
              <w:tr2bl w:val="nil"/>
            </w:tcBorders>
            <w:vAlign w:val="center"/>
          </w:tcPr>
          <w:p w14:paraId="717672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c>
          <w:tcPr>
            <w:tcW w:w="2090" w:type="pct"/>
            <w:tcBorders>
              <w:tl2br w:val="nil"/>
              <w:tr2bl w:val="nil"/>
            </w:tcBorders>
            <w:vAlign w:val="center"/>
          </w:tcPr>
          <w:p w14:paraId="0BEA9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东侧380米处新邹家水井</w:t>
            </w:r>
          </w:p>
        </w:tc>
        <w:tc>
          <w:tcPr>
            <w:tcW w:w="1766" w:type="pct"/>
            <w:vMerge w:val="continue"/>
            <w:tcBorders>
              <w:tl2br w:val="nil"/>
              <w:tr2bl w:val="nil"/>
            </w:tcBorders>
            <w:vAlign w:val="center"/>
          </w:tcPr>
          <w:p w14:paraId="1C874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r w14:paraId="24054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3C1CE8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D4</w:t>
            </w:r>
          </w:p>
        </w:tc>
        <w:tc>
          <w:tcPr>
            <w:tcW w:w="683" w:type="pct"/>
            <w:tcBorders>
              <w:tl2br w:val="nil"/>
              <w:tr2bl w:val="nil"/>
            </w:tcBorders>
            <w:vAlign w:val="center"/>
          </w:tcPr>
          <w:p w14:paraId="389F5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w:t>
            </w:r>
          </w:p>
        </w:tc>
        <w:tc>
          <w:tcPr>
            <w:tcW w:w="2090" w:type="pct"/>
            <w:tcBorders>
              <w:tl2br w:val="nil"/>
              <w:tr2bl w:val="nil"/>
            </w:tcBorders>
            <w:vAlign w:val="center"/>
          </w:tcPr>
          <w:p w14:paraId="3D3D4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项目地厂内</w:t>
            </w:r>
          </w:p>
        </w:tc>
        <w:tc>
          <w:tcPr>
            <w:tcW w:w="1766" w:type="pct"/>
            <w:vMerge w:val="continue"/>
            <w:tcBorders>
              <w:tl2br w:val="nil"/>
              <w:tr2bl w:val="nil"/>
            </w:tcBorders>
            <w:vAlign w:val="center"/>
          </w:tcPr>
          <w:p w14:paraId="742F5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r w14:paraId="2BD74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22CA4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w:t>
            </w:r>
            <w:r>
              <w:rPr>
                <w:rFonts w:hint="eastAsia" w:eastAsia="宋体" w:cs="Times New Roman"/>
                <w:b w:val="0"/>
                <w:bCs/>
                <w:sz w:val="21"/>
                <w:szCs w:val="21"/>
                <w:highlight w:val="none"/>
                <w:lang w:val="en-US" w:eastAsia="zh-CN"/>
              </w:rPr>
              <w:t>5</w:t>
            </w:r>
          </w:p>
        </w:tc>
        <w:tc>
          <w:tcPr>
            <w:tcW w:w="683" w:type="pct"/>
            <w:tcBorders>
              <w:tl2br w:val="nil"/>
              <w:tr2bl w:val="nil"/>
            </w:tcBorders>
            <w:vAlign w:val="center"/>
          </w:tcPr>
          <w:p w14:paraId="15552D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场地下游</w:t>
            </w:r>
          </w:p>
        </w:tc>
        <w:tc>
          <w:tcPr>
            <w:tcW w:w="2090" w:type="pct"/>
            <w:tcBorders>
              <w:tl2br w:val="nil"/>
              <w:tr2bl w:val="nil"/>
            </w:tcBorders>
            <w:vAlign w:val="center"/>
          </w:tcPr>
          <w:p w14:paraId="19FD11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z w:val="21"/>
                <w:szCs w:val="21"/>
                <w:highlight w:val="none"/>
                <w:lang w:eastAsia="zh-CN"/>
              </w:rPr>
            </w:pPr>
            <w:r>
              <w:rPr>
                <w:rFonts w:hint="eastAsia" w:eastAsia="宋体" w:cs="Times New Roman"/>
                <w:b w:val="0"/>
                <w:bCs/>
                <w:sz w:val="21"/>
                <w:szCs w:val="21"/>
                <w:highlight w:val="none"/>
                <w:lang w:val="en-US" w:eastAsia="zh-CN"/>
              </w:rPr>
              <w:t>东北侧365米处李家屋居民水井</w:t>
            </w:r>
          </w:p>
        </w:tc>
        <w:tc>
          <w:tcPr>
            <w:tcW w:w="1766" w:type="pct"/>
            <w:vMerge w:val="continue"/>
            <w:tcBorders>
              <w:tl2br w:val="nil"/>
              <w:tr2bl w:val="nil"/>
            </w:tcBorders>
            <w:vAlign w:val="center"/>
          </w:tcPr>
          <w:p w14:paraId="307D78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r w14:paraId="3AEE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0A329D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D6</w:t>
            </w:r>
          </w:p>
        </w:tc>
        <w:tc>
          <w:tcPr>
            <w:tcW w:w="683" w:type="pct"/>
            <w:tcBorders>
              <w:tl2br w:val="nil"/>
              <w:tr2bl w:val="nil"/>
            </w:tcBorders>
            <w:vAlign w:val="center"/>
          </w:tcPr>
          <w:p w14:paraId="30804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场地上游</w:t>
            </w:r>
          </w:p>
        </w:tc>
        <w:tc>
          <w:tcPr>
            <w:tcW w:w="2090" w:type="pct"/>
            <w:tcBorders>
              <w:tl2br w:val="nil"/>
              <w:tr2bl w:val="nil"/>
            </w:tcBorders>
            <w:vAlign w:val="center"/>
          </w:tcPr>
          <w:p w14:paraId="270F8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东南侧830米处</w:t>
            </w:r>
            <w:r>
              <w:rPr>
                <w:rFonts w:hint="default" w:ascii="Times New Roman" w:hAnsi="Times New Roman" w:eastAsia="宋体" w:cs="Times New Roman"/>
                <w:b w:val="0"/>
                <w:bCs/>
                <w:sz w:val="21"/>
                <w:szCs w:val="21"/>
                <w:highlight w:val="none"/>
              </w:rPr>
              <w:t>跃进村水井</w:t>
            </w:r>
          </w:p>
        </w:tc>
        <w:tc>
          <w:tcPr>
            <w:tcW w:w="1766" w:type="pct"/>
            <w:vMerge w:val="restart"/>
            <w:tcBorders>
              <w:tl2br w:val="nil"/>
              <w:tr2bl w:val="nil"/>
            </w:tcBorders>
            <w:vAlign w:val="center"/>
          </w:tcPr>
          <w:p w14:paraId="00B6A8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r>
              <w:rPr>
                <w:rFonts w:hint="default" w:ascii="Times New Roman" w:hAnsi="Times New Roman" w:eastAsia="宋体" w:cs="Times New Roman"/>
                <w:b w:val="0"/>
                <w:bCs/>
                <w:sz w:val="21"/>
                <w:szCs w:val="21"/>
                <w:highlight w:val="none"/>
                <w:lang w:val="en-US" w:eastAsia="zh-CN"/>
              </w:rPr>
              <w:t>水位</w:t>
            </w:r>
          </w:p>
        </w:tc>
      </w:tr>
      <w:tr w14:paraId="79712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55863B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D7</w:t>
            </w:r>
          </w:p>
        </w:tc>
        <w:tc>
          <w:tcPr>
            <w:tcW w:w="683" w:type="pct"/>
            <w:tcBorders>
              <w:tl2br w:val="nil"/>
              <w:tr2bl w:val="nil"/>
            </w:tcBorders>
            <w:vAlign w:val="center"/>
          </w:tcPr>
          <w:p w14:paraId="080508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场地下游</w:t>
            </w:r>
          </w:p>
        </w:tc>
        <w:tc>
          <w:tcPr>
            <w:tcW w:w="2090" w:type="pct"/>
            <w:tcBorders>
              <w:tl2br w:val="nil"/>
              <w:tr2bl w:val="nil"/>
            </w:tcBorders>
            <w:vAlign w:val="center"/>
          </w:tcPr>
          <w:p w14:paraId="17704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北侧1000米处</w:t>
            </w:r>
            <w:r>
              <w:rPr>
                <w:rFonts w:hint="default" w:ascii="Times New Roman" w:hAnsi="Times New Roman" w:eastAsia="宋体" w:cs="Times New Roman"/>
                <w:b w:val="0"/>
                <w:bCs/>
                <w:sz w:val="21"/>
                <w:szCs w:val="21"/>
                <w:highlight w:val="none"/>
                <w:lang w:val="en-US" w:eastAsia="zh-CN"/>
              </w:rPr>
              <w:t>童家里居民水井</w:t>
            </w:r>
          </w:p>
        </w:tc>
        <w:tc>
          <w:tcPr>
            <w:tcW w:w="1766" w:type="pct"/>
            <w:vMerge w:val="continue"/>
            <w:tcBorders>
              <w:tl2br w:val="nil"/>
              <w:tr2bl w:val="nil"/>
            </w:tcBorders>
            <w:vAlign w:val="center"/>
          </w:tcPr>
          <w:p w14:paraId="1BD01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r w14:paraId="08AFC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2B5BE4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D8</w:t>
            </w:r>
          </w:p>
        </w:tc>
        <w:tc>
          <w:tcPr>
            <w:tcW w:w="683" w:type="pct"/>
            <w:tcBorders>
              <w:tl2br w:val="nil"/>
              <w:tr2bl w:val="nil"/>
            </w:tcBorders>
            <w:vAlign w:val="center"/>
          </w:tcPr>
          <w:p w14:paraId="6D5296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场地下游</w:t>
            </w:r>
          </w:p>
        </w:tc>
        <w:tc>
          <w:tcPr>
            <w:tcW w:w="2090" w:type="pct"/>
            <w:tcBorders>
              <w:tl2br w:val="nil"/>
              <w:tr2bl w:val="nil"/>
            </w:tcBorders>
            <w:vAlign w:val="center"/>
          </w:tcPr>
          <w:p w14:paraId="7A5381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东北侧450米处</w:t>
            </w:r>
            <w:r>
              <w:rPr>
                <w:rFonts w:hint="default" w:ascii="Times New Roman" w:hAnsi="Times New Roman" w:eastAsia="宋体" w:cs="Times New Roman"/>
                <w:b w:val="0"/>
                <w:bCs/>
                <w:sz w:val="21"/>
                <w:szCs w:val="21"/>
                <w:highlight w:val="none"/>
              </w:rPr>
              <w:t>兰塘四组居民水井</w:t>
            </w:r>
          </w:p>
        </w:tc>
        <w:tc>
          <w:tcPr>
            <w:tcW w:w="1766" w:type="pct"/>
            <w:vMerge w:val="continue"/>
            <w:tcBorders>
              <w:tl2br w:val="nil"/>
              <w:tr2bl w:val="nil"/>
            </w:tcBorders>
            <w:vAlign w:val="center"/>
          </w:tcPr>
          <w:p w14:paraId="7DDC84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r w14:paraId="132AF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3C20F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D9</w:t>
            </w:r>
          </w:p>
        </w:tc>
        <w:tc>
          <w:tcPr>
            <w:tcW w:w="683" w:type="pct"/>
            <w:tcBorders>
              <w:tl2br w:val="nil"/>
              <w:tr2bl w:val="nil"/>
            </w:tcBorders>
            <w:vAlign w:val="center"/>
          </w:tcPr>
          <w:p w14:paraId="5A1C3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场地东侧</w:t>
            </w:r>
          </w:p>
        </w:tc>
        <w:tc>
          <w:tcPr>
            <w:tcW w:w="2090" w:type="pct"/>
            <w:tcBorders>
              <w:tl2br w:val="nil"/>
              <w:tr2bl w:val="nil"/>
            </w:tcBorders>
            <w:vAlign w:val="center"/>
          </w:tcPr>
          <w:p w14:paraId="52566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东侧990米处兰塘村居民水井</w:t>
            </w:r>
          </w:p>
        </w:tc>
        <w:tc>
          <w:tcPr>
            <w:tcW w:w="1766" w:type="pct"/>
            <w:vMerge w:val="continue"/>
            <w:tcBorders>
              <w:tl2br w:val="nil"/>
              <w:tr2bl w:val="nil"/>
            </w:tcBorders>
            <w:vAlign w:val="center"/>
          </w:tcPr>
          <w:p w14:paraId="10E0EA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r w14:paraId="4DE4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8" w:type="pct"/>
            <w:tcBorders>
              <w:tl2br w:val="nil"/>
              <w:tr2bl w:val="nil"/>
            </w:tcBorders>
            <w:vAlign w:val="center"/>
          </w:tcPr>
          <w:p w14:paraId="049C19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D10</w:t>
            </w:r>
          </w:p>
        </w:tc>
        <w:tc>
          <w:tcPr>
            <w:tcW w:w="683" w:type="pct"/>
            <w:tcBorders>
              <w:tl2br w:val="nil"/>
              <w:tr2bl w:val="nil"/>
            </w:tcBorders>
            <w:vAlign w:val="center"/>
          </w:tcPr>
          <w:p w14:paraId="3BD5F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场地上游</w:t>
            </w:r>
          </w:p>
        </w:tc>
        <w:tc>
          <w:tcPr>
            <w:tcW w:w="2090" w:type="pct"/>
            <w:tcBorders>
              <w:tl2br w:val="nil"/>
              <w:tr2bl w:val="nil"/>
            </w:tcBorders>
            <w:vAlign w:val="center"/>
          </w:tcPr>
          <w:p w14:paraId="1FE2D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南侧620米处</w:t>
            </w:r>
            <w:r>
              <w:rPr>
                <w:rFonts w:hint="default" w:ascii="Times New Roman" w:hAnsi="Times New Roman" w:eastAsia="宋体" w:cs="Times New Roman"/>
                <w:b w:val="0"/>
                <w:bCs/>
                <w:sz w:val="21"/>
                <w:szCs w:val="21"/>
                <w:highlight w:val="none"/>
              </w:rPr>
              <w:t>跃进十一组居民水井</w:t>
            </w:r>
          </w:p>
        </w:tc>
        <w:tc>
          <w:tcPr>
            <w:tcW w:w="1766" w:type="pct"/>
            <w:vMerge w:val="continue"/>
            <w:tcBorders>
              <w:tl2br w:val="nil"/>
              <w:tr2bl w:val="nil"/>
            </w:tcBorders>
            <w:vAlign w:val="center"/>
          </w:tcPr>
          <w:p w14:paraId="10BE9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z w:val="21"/>
                <w:szCs w:val="21"/>
                <w:highlight w:val="none"/>
              </w:rPr>
            </w:pPr>
          </w:p>
        </w:tc>
      </w:tr>
    </w:tbl>
    <w:p w14:paraId="4CC70C65">
      <w:pPr>
        <w:rPr>
          <w:rFonts w:hint="default" w:ascii="Times New Roman" w:hAnsi="Times New Roman" w:eastAsia="宋体" w:cs="Times New Roman"/>
          <w:b/>
          <w:bCs/>
          <w:sz w:val="24"/>
          <w:szCs w:val="24"/>
          <w:highlight w:val="none"/>
          <w:lang w:eastAsia="zh-CN"/>
        </w:rPr>
      </w:pPr>
      <w:r>
        <w:rPr>
          <w:rFonts w:hint="eastAsia" w:ascii="Times New Roman" w:hAnsi="Times New Roman" w:eastAsia="宋体" w:cs="Times New Roman"/>
          <w:b/>
          <w:bCs/>
          <w:sz w:val="24"/>
          <w:szCs w:val="24"/>
          <w:highlight w:val="none"/>
          <w:vertAlign w:val="baseline"/>
          <w:lang w:val="en-US" w:eastAsia="zh-CN"/>
        </w:rPr>
        <w:t>2、监测结果</w:t>
      </w:r>
    </w:p>
    <w:p w14:paraId="7C0FA54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4"/>
          <w:szCs w:val="24"/>
          <w:highlight w:val="none"/>
          <w:lang w:eastAsia="zh-CN"/>
        </w:rPr>
      </w:pPr>
      <w:r>
        <w:rPr>
          <w:rFonts w:hint="default" w:ascii="Times New Roman" w:hAnsi="Times New Roman" w:eastAsia="宋体" w:cs="Times New Roman"/>
          <w:b/>
          <w:bCs/>
          <w:sz w:val="24"/>
          <w:szCs w:val="24"/>
          <w:highlight w:val="none"/>
          <w:lang w:eastAsia="zh-CN"/>
        </w:rPr>
        <w:t>表</w:t>
      </w:r>
      <w:r>
        <w:rPr>
          <w:rFonts w:hint="eastAsia" w:ascii="Times New Roman" w:hAnsi="Times New Roman"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lang w:eastAsia="zh-CN"/>
        </w:rPr>
        <w:t>.2-</w:t>
      </w:r>
      <w:r>
        <w:rPr>
          <w:rFonts w:hint="eastAsia" w:eastAsia="宋体" w:cs="Times New Roman"/>
          <w:b/>
          <w:bCs/>
          <w:sz w:val="24"/>
          <w:szCs w:val="24"/>
          <w:highlight w:val="none"/>
          <w:lang w:val="en-US" w:eastAsia="zh-CN"/>
        </w:rPr>
        <w:t>8</w:t>
      </w:r>
      <w:r>
        <w:rPr>
          <w:rFonts w:hint="default" w:ascii="Times New Roman" w:hAnsi="Times New Roman" w:eastAsia="宋体" w:cs="Times New Roman"/>
          <w:b/>
          <w:bCs/>
          <w:sz w:val="24"/>
          <w:szCs w:val="24"/>
          <w:highlight w:val="none"/>
          <w:lang w:eastAsia="zh-CN"/>
        </w:rPr>
        <w:t xml:space="preserve">   区域地下水水质监测结果一览表</w:t>
      </w:r>
    </w:p>
    <w:tbl>
      <w:tblPr>
        <w:tblStyle w:val="23"/>
        <w:tblpPr w:leftFromText="180" w:rightFromText="180" w:vertAnchor="text" w:tblpXSpec="center" w:tblpY="1"/>
        <w:tblOverlap w:val="never"/>
        <w:tblW w:w="51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66"/>
        <w:gridCol w:w="1244"/>
        <w:gridCol w:w="1601"/>
        <w:gridCol w:w="1601"/>
        <w:gridCol w:w="1601"/>
        <w:gridCol w:w="1009"/>
        <w:gridCol w:w="811"/>
      </w:tblGrid>
      <w:tr w14:paraId="5C1CC3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546" w:type="pct"/>
            <w:vMerge w:val="restart"/>
            <w:tcBorders>
              <w:tl2br w:val="nil"/>
              <w:tr2bl w:val="nil"/>
            </w:tcBorders>
            <w:noWrap w:val="0"/>
            <w:vAlign w:val="center"/>
          </w:tcPr>
          <w:p w14:paraId="332E253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w:t>
            </w:r>
          </w:p>
          <w:p w14:paraId="033062F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点位</w:t>
            </w:r>
          </w:p>
        </w:tc>
        <w:tc>
          <w:tcPr>
            <w:tcW w:w="704" w:type="pct"/>
            <w:vMerge w:val="restart"/>
            <w:tcBorders>
              <w:tl2br w:val="nil"/>
              <w:tr2bl w:val="nil"/>
            </w:tcBorders>
            <w:noWrap w:val="0"/>
            <w:vAlign w:val="center"/>
          </w:tcPr>
          <w:p w14:paraId="0BEED54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检测因子</w:t>
            </w:r>
          </w:p>
        </w:tc>
        <w:tc>
          <w:tcPr>
            <w:tcW w:w="2718" w:type="pct"/>
            <w:gridSpan w:val="3"/>
            <w:tcBorders>
              <w:tl2br w:val="nil"/>
              <w:tr2bl w:val="nil"/>
            </w:tcBorders>
            <w:noWrap w:val="0"/>
            <w:vAlign w:val="center"/>
          </w:tcPr>
          <w:p w14:paraId="53526AB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采样日期及检测结果（单位：mg/L，pH无量纲）</w:t>
            </w:r>
          </w:p>
        </w:tc>
        <w:tc>
          <w:tcPr>
            <w:tcW w:w="571" w:type="pct"/>
            <w:vMerge w:val="restart"/>
            <w:tcBorders>
              <w:tl2br w:val="nil"/>
              <w:tr2bl w:val="nil"/>
            </w:tcBorders>
            <w:noWrap w:val="0"/>
            <w:vAlign w:val="center"/>
          </w:tcPr>
          <w:p w14:paraId="5594AA2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标准限值</w:t>
            </w:r>
          </w:p>
        </w:tc>
        <w:tc>
          <w:tcPr>
            <w:tcW w:w="459" w:type="pct"/>
            <w:vMerge w:val="restart"/>
            <w:tcBorders>
              <w:tl2br w:val="nil"/>
              <w:tr2bl w:val="nil"/>
            </w:tcBorders>
            <w:noWrap w:val="0"/>
            <w:vAlign w:val="center"/>
          </w:tcPr>
          <w:p w14:paraId="5AAD95A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是否达标</w:t>
            </w:r>
          </w:p>
        </w:tc>
      </w:tr>
      <w:tr w14:paraId="4CC2B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A6B35A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vMerge w:val="continue"/>
            <w:tcBorders>
              <w:tl2br w:val="nil"/>
              <w:tr2bl w:val="nil"/>
            </w:tcBorders>
            <w:noWrap w:val="0"/>
            <w:vAlign w:val="center"/>
          </w:tcPr>
          <w:p w14:paraId="0ECFE7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906" w:type="pct"/>
            <w:tcBorders>
              <w:tl2br w:val="nil"/>
              <w:tr2bl w:val="nil"/>
            </w:tcBorders>
            <w:noWrap w:val="0"/>
            <w:vAlign w:val="center"/>
          </w:tcPr>
          <w:p w14:paraId="18D73B8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2025.03.</w:t>
            </w:r>
            <w:r>
              <w:rPr>
                <w:rFonts w:hint="default" w:ascii="Times New Roman" w:hAnsi="Times New Roman" w:eastAsia="宋体" w:cs="Times New Roman"/>
                <w:sz w:val="21"/>
                <w:szCs w:val="21"/>
                <w:lang w:val="en-US" w:eastAsia="zh-CN"/>
              </w:rPr>
              <w:t>25</w:t>
            </w:r>
          </w:p>
        </w:tc>
        <w:tc>
          <w:tcPr>
            <w:tcW w:w="906" w:type="pct"/>
            <w:tcBorders>
              <w:tl2br w:val="nil"/>
              <w:tr2bl w:val="nil"/>
            </w:tcBorders>
            <w:noWrap w:val="0"/>
            <w:vAlign w:val="center"/>
          </w:tcPr>
          <w:p w14:paraId="6D1FAD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2025.03.</w:t>
            </w:r>
            <w:r>
              <w:rPr>
                <w:rFonts w:hint="default" w:ascii="Times New Roman" w:hAnsi="Times New Roman" w:eastAsia="宋体" w:cs="Times New Roman"/>
                <w:sz w:val="21"/>
                <w:szCs w:val="21"/>
                <w:lang w:val="en-US" w:eastAsia="zh-CN"/>
              </w:rPr>
              <w:t>26</w:t>
            </w:r>
          </w:p>
        </w:tc>
        <w:tc>
          <w:tcPr>
            <w:tcW w:w="906" w:type="pct"/>
            <w:tcBorders>
              <w:tl2br w:val="nil"/>
              <w:tr2bl w:val="nil"/>
            </w:tcBorders>
            <w:noWrap w:val="0"/>
            <w:vAlign w:val="center"/>
          </w:tcPr>
          <w:p w14:paraId="6E24F2D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2025.03.2</w:t>
            </w:r>
            <w:r>
              <w:rPr>
                <w:rFonts w:hint="default" w:ascii="Times New Roman" w:hAnsi="Times New Roman" w:eastAsia="宋体" w:cs="Times New Roman"/>
                <w:sz w:val="21"/>
                <w:szCs w:val="21"/>
                <w:lang w:val="en-US" w:eastAsia="zh-CN"/>
              </w:rPr>
              <w:t>7</w:t>
            </w:r>
          </w:p>
        </w:tc>
        <w:tc>
          <w:tcPr>
            <w:tcW w:w="571" w:type="pct"/>
            <w:vMerge w:val="continue"/>
            <w:tcBorders>
              <w:tl2br w:val="nil"/>
              <w:tr2bl w:val="nil"/>
            </w:tcBorders>
            <w:noWrap w:val="0"/>
            <w:vAlign w:val="center"/>
          </w:tcPr>
          <w:p w14:paraId="24A466B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459" w:type="pct"/>
            <w:vMerge w:val="continue"/>
            <w:tcBorders>
              <w:tl2br w:val="nil"/>
              <w:tr2bl w:val="nil"/>
            </w:tcBorders>
            <w:noWrap w:val="0"/>
            <w:vAlign w:val="center"/>
          </w:tcPr>
          <w:p w14:paraId="7FB4EF7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r>
      <w:tr w14:paraId="2A69D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restart"/>
            <w:tcBorders>
              <w:tl2br w:val="nil"/>
              <w:tr2bl w:val="nil"/>
            </w:tcBorders>
            <w:noWrap w:val="0"/>
            <w:vAlign w:val="center"/>
          </w:tcPr>
          <w:p w14:paraId="07ED64E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D1东南侧650米处</w:t>
            </w:r>
            <w:r>
              <w:rPr>
                <w:rFonts w:hint="default" w:ascii="Times New Roman" w:hAnsi="Times New Roman" w:eastAsia="宋体" w:cs="Times New Roman"/>
                <w:b w:val="0"/>
                <w:bCs/>
                <w:sz w:val="21"/>
                <w:szCs w:val="21"/>
              </w:rPr>
              <w:t>刘介章水井</w:t>
            </w:r>
          </w:p>
        </w:tc>
        <w:tc>
          <w:tcPr>
            <w:tcW w:w="704" w:type="pct"/>
            <w:tcBorders>
              <w:tl2br w:val="nil"/>
              <w:tr2bl w:val="nil"/>
            </w:tcBorders>
            <w:noWrap w:val="0"/>
            <w:vAlign w:val="center"/>
          </w:tcPr>
          <w:p w14:paraId="53570B6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pH 值</w:t>
            </w:r>
          </w:p>
        </w:tc>
        <w:tc>
          <w:tcPr>
            <w:tcW w:w="906" w:type="pct"/>
            <w:tcBorders>
              <w:tl2br w:val="nil"/>
              <w:tr2bl w:val="nil"/>
            </w:tcBorders>
            <w:noWrap w:val="0"/>
            <w:vAlign w:val="center"/>
          </w:tcPr>
          <w:p w14:paraId="7A658E6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906" w:type="pct"/>
            <w:tcBorders>
              <w:tl2br w:val="nil"/>
              <w:tr2bl w:val="nil"/>
            </w:tcBorders>
            <w:noWrap w:val="0"/>
            <w:vAlign w:val="center"/>
          </w:tcPr>
          <w:p w14:paraId="659B251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906" w:type="pct"/>
            <w:tcBorders>
              <w:tl2br w:val="nil"/>
              <w:tr2bl w:val="nil"/>
            </w:tcBorders>
            <w:noWrap w:val="0"/>
            <w:vAlign w:val="center"/>
          </w:tcPr>
          <w:p w14:paraId="13AF94E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571" w:type="pct"/>
            <w:tcBorders>
              <w:tl2br w:val="nil"/>
              <w:tr2bl w:val="nil"/>
            </w:tcBorders>
            <w:noWrap w:val="0"/>
            <w:vAlign w:val="center"/>
          </w:tcPr>
          <w:p w14:paraId="5A9FE02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6.5-8.5</w:t>
            </w:r>
          </w:p>
        </w:tc>
        <w:tc>
          <w:tcPr>
            <w:tcW w:w="459" w:type="pct"/>
            <w:tcBorders>
              <w:tl2br w:val="nil"/>
              <w:tr2bl w:val="nil"/>
            </w:tcBorders>
            <w:noWrap w:val="0"/>
            <w:vAlign w:val="center"/>
          </w:tcPr>
          <w:p w14:paraId="42EF0EA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09657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BD5E59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sz w:val="21"/>
                <w:szCs w:val="21"/>
                <w:lang w:val="en-US" w:eastAsia="zh-CN"/>
              </w:rPr>
            </w:pPr>
          </w:p>
        </w:tc>
        <w:tc>
          <w:tcPr>
            <w:tcW w:w="704" w:type="pct"/>
            <w:tcBorders>
              <w:tl2br w:val="nil"/>
              <w:tr2bl w:val="nil"/>
            </w:tcBorders>
            <w:noWrap w:val="0"/>
            <w:vAlign w:val="center"/>
          </w:tcPr>
          <w:p w14:paraId="3318D5F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石油类</w:t>
            </w:r>
          </w:p>
        </w:tc>
        <w:tc>
          <w:tcPr>
            <w:tcW w:w="906" w:type="pct"/>
            <w:tcBorders>
              <w:tl2br w:val="nil"/>
              <w:tr2bl w:val="nil"/>
            </w:tcBorders>
            <w:noWrap w:val="0"/>
            <w:vAlign w:val="center"/>
          </w:tcPr>
          <w:p w14:paraId="230E5A3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2D4F6DB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4ABAE59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571" w:type="pct"/>
            <w:tcBorders>
              <w:tl2br w:val="nil"/>
              <w:tr2bl w:val="nil"/>
            </w:tcBorders>
            <w:noWrap w:val="0"/>
            <w:vAlign w:val="center"/>
          </w:tcPr>
          <w:p w14:paraId="2479600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459" w:type="pct"/>
            <w:tcBorders>
              <w:tl2br w:val="nil"/>
              <w:tr2bl w:val="nil"/>
            </w:tcBorders>
            <w:noWrap w:val="0"/>
            <w:vAlign w:val="center"/>
          </w:tcPr>
          <w:p w14:paraId="5F8581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50C9F5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7413B4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F28DD4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氨氮</w:t>
            </w:r>
          </w:p>
        </w:tc>
        <w:tc>
          <w:tcPr>
            <w:tcW w:w="906" w:type="pct"/>
            <w:tcBorders>
              <w:tl2br w:val="nil"/>
              <w:tr2bl w:val="nil"/>
            </w:tcBorders>
            <w:noWrap w:val="0"/>
            <w:vAlign w:val="center"/>
          </w:tcPr>
          <w:p w14:paraId="2AAD1AF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0.064</w:t>
            </w:r>
          </w:p>
        </w:tc>
        <w:tc>
          <w:tcPr>
            <w:tcW w:w="906" w:type="pct"/>
            <w:tcBorders>
              <w:tl2br w:val="nil"/>
              <w:tr2bl w:val="nil"/>
            </w:tcBorders>
            <w:noWrap w:val="0"/>
            <w:vAlign w:val="center"/>
          </w:tcPr>
          <w:p w14:paraId="69429A3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0.058</w:t>
            </w:r>
          </w:p>
        </w:tc>
        <w:tc>
          <w:tcPr>
            <w:tcW w:w="906" w:type="pct"/>
            <w:tcBorders>
              <w:tl2br w:val="nil"/>
              <w:tr2bl w:val="nil"/>
            </w:tcBorders>
            <w:noWrap w:val="0"/>
            <w:vAlign w:val="center"/>
          </w:tcPr>
          <w:p w14:paraId="67B2778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0.061</w:t>
            </w:r>
          </w:p>
        </w:tc>
        <w:tc>
          <w:tcPr>
            <w:tcW w:w="571" w:type="pct"/>
            <w:tcBorders>
              <w:tl2br w:val="nil"/>
              <w:tr2bl w:val="nil"/>
            </w:tcBorders>
            <w:noWrap w:val="0"/>
            <w:vAlign w:val="center"/>
          </w:tcPr>
          <w:p w14:paraId="6DE3186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0.50</w:t>
            </w:r>
          </w:p>
        </w:tc>
        <w:tc>
          <w:tcPr>
            <w:tcW w:w="459" w:type="pct"/>
            <w:tcBorders>
              <w:tl2br w:val="nil"/>
              <w:tr2bl w:val="nil"/>
            </w:tcBorders>
            <w:noWrap w:val="0"/>
            <w:vAlign w:val="center"/>
          </w:tcPr>
          <w:p w14:paraId="6CD4CB2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7D5C5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560674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38F45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硝酸盐</w:t>
            </w:r>
          </w:p>
        </w:tc>
        <w:tc>
          <w:tcPr>
            <w:tcW w:w="906" w:type="pct"/>
            <w:tcBorders>
              <w:tl2br w:val="nil"/>
              <w:tr2bl w:val="nil"/>
            </w:tcBorders>
            <w:noWrap w:val="0"/>
            <w:vAlign w:val="center"/>
          </w:tcPr>
          <w:p w14:paraId="39D085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2.86</w:t>
            </w:r>
          </w:p>
        </w:tc>
        <w:tc>
          <w:tcPr>
            <w:tcW w:w="906" w:type="pct"/>
            <w:tcBorders>
              <w:tl2br w:val="nil"/>
              <w:tr2bl w:val="nil"/>
            </w:tcBorders>
            <w:noWrap w:val="0"/>
            <w:vAlign w:val="center"/>
          </w:tcPr>
          <w:p w14:paraId="0B5E8A6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w:t>
            </w:r>
          </w:p>
        </w:tc>
        <w:tc>
          <w:tcPr>
            <w:tcW w:w="906" w:type="pct"/>
            <w:tcBorders>
              <w:tl2br w:val="nil"/>
              <w:tr2bl w:val="nil"/>
            </w:tcBorders>
            <w:noWrap w:val="0"/>
            <w:vAlign w:val="center"/>
          </w:tcPr>
          <w:p w14:paraId="1384970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2.90</w:t>
            </w:r>
          </w:p>
        </w:tc>
        <w:tc>
          <w:tcPr>
            <w:tcW w:w="571" w:type="pct"/>
            <w:tcBorders>
              <w:tl2br w:val="nil"/>
              <w:tr2bl w:val="nil"/>
            </w:tcBorders>
            <w:noWrap w:val="0"/>
            <w:vAlign w:val="center"/>
          </w:tcPr>
          <w:p w14:paraId="57AD835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17E8D90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929D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1ADFDA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D3925B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亚硝酸盐</w:t>
            </w:r>
          </w:p>
        </w:tc>
        <w:tc>
          <w:tcPr>
            <w:tcW w:w="906" w:type="pct"/>
            <w:tcBorders>
              <w:tl2br w:val="nil"/>
              <w:tr2bl w:val="nil"/>
            </w:tcBorders>
            <w:noWrap w:val="0"/>
            <w:vAlign w:val="center"/>
          </w:tcPr>
          <w:p w14:paraId="5B23B24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97B827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96A943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00168A0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6FF4D44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0271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28767B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DFD55A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挥发性酚类</w:t>
            </w:r>
          </w:p>
        </w:tc>
        <w:tc>
          <w:tcPr>
            <w:tcW w:w="906" w:type="pct"/>
            <w:tcBorders>
              <w:tl2br w:val="nil"/>
              <w:tr2bl w:val="nil"/>
            </w:tcBorders>
            <w:noWrap w:val="0"/>
            <w:vAlign w:val="center"/>
          </w:tcPr>
          <w:p w14:paraId="1065CE6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5DFD28E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3D17E2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6798BE0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0.002</w:t>
            </w:r>
          </w:p>
        </w:tc>
        <w:tc>
          <w:tcPr>
            <w:tcW w:w="459" w:type="pct"/>
            <w:tcBorders>
              <w:tl2br w:val="nil"/>
              <w:tr2bl w:val="nil"/>
            </w:tcBorders>
            <w:noWrap w:val="0"/>
            <w:vAlign w:val="center"/>
          </w:tcPr>
          <w:p w14:paraId="4629132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FDCC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0DC5AE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8BACE1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氰化物</w:t>
            </w:r>
          </w:p>
        </w:tc>
        <w:tc>
          <w:tcPr>
            <w:tcW w:w="906" w:type="pct"/>
            <w:tcBorders>
              <w:tl2br w:val="nil"/>
              <w:tr2bl w:val="nil"/>
            </w:tcBorders>
            <w:noWrap w:val="0"/>
            <w:vAlign w:val="center"/>
          </w:tcPr>
          <w:p w14:paraId="736D1C5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E3478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5761A44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6A99E0E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7CC4D2C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D1C7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B0D01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A1C7B2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阴离子表面活性剂</w:t>
            </w:r>
          </w:p>
        </w:tc>
        <w:tc>
          <w:tcPr>
            <w:tcW w:w="906" w:type="pct"/>
            <w:tcBorders>
              <w:tl2br w:val="nil"/>
              <w:tr2bl w:val="nil"/>
            </w:tcBorders>
            <w:noWrap w:val="0"/>
            <w:vAlign w:val="center"/>
          </w:tcPr>
          <w:p w14:paraId="3C8177B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D35FF1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4E5E902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02D5B81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w:t>
            </w:r>
          </w:p>
        </w:tc>
        <w:tc>
          <w:tcPr>
            <w:tcW w:w="459" w:type="pct"/>
            <w:tcBorders>
              <w:tl2br w:val="nil"/>
              <w:tr2bl w:val="nil"/>
            </w:tcBorders>
            <w:noWrap w:val="0"/>
            <w:vAlign w:val="center"/>
          </w:tcPr>
          <w:p w14:paraId="0F721EE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7F7F5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111973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B7C65F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eastAsia="zh-CN"/>
              </w:rPr>
              <w:t>砷</w:t>
            </w:r>
          </w:p>
        </w:tc>
        <w:tc>
          <w:tcPr>
            <w:tcW w:w="906" w:type="pct"/>
            <w:tcBorders>
              <w:tl2br w:val="nil"/>
              <w:tr2bl w:val="nil"/>
            </w:tcBorders>
            <w:noWrap w:val="0"/>
            <w:vAlign w:val="center"/>
          </w:tcPr>
          <w:p w14:paraId="653764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CF1220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4A5B879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1FD1E38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73AE640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CF35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686CD1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DBA4AA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汞</w:t>
            </w:r>
          </w:p>
        </w:tc>
        <w:tc>
          <w:tcPr>
            <w:tcW w:w="906" w:type="pct"/>
            <w:tcBorders>
              <w:tl2br w:val="nil"/>
              <w:tr2bl w:val="nil"/>
            </w:tcBorders>
            <w:noWrap w:val="0"/>
            <w:vAlign w:val="center"/>
          </w:tcPr>
          <w:p w14:paraId="2F6576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1CC67A8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5AC2810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4A34C17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0.001</w:t>
            </w:r>
          </w:p>
        </w:tc>
        <w:tc>
          <w:tcPr>
            <w:tcW w:w="459" w:type="pct"/>
            <w:tcBorders>
              <w:tl2br w:val="nil"/>
              <w:tr2bl w:val="nil"/>
            </w:tcBorders>
            <w:noWrap w:val="0"/>
            <w:vAlign w:val="center"/>
          </w:tcPr>
          <w:p w14:paraId="465D10C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4EE3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D8B473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B72436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六价铬</w:t>
            </w:r>
          </w:p>
        </w:tc>
        <w:tc>
          <w:tcPr>
            <w:tcW w:w="906" w:type="pct"/>
            <w:tcBorders>
              <w:tl2br w:val="nil"/>
              <w:tr2bl w:val="nil"/>
            </w:tcBorders>
            <w:noWrap w:val="0"/>
            <w:vAlign w:val="center"/>
          </w:tcPr>
          <w:p w14:paraId="59D0675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081410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09AA8A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44718B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60AE78A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B81B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99012E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0E4E6C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总硬度</w:t>
            </w:r>
          </w:p>
        </w:tc>
        <w:tc>
          <w:tcPr>
            <w:tcW w:w="906" w:type="pct"/>
            <w:tcBorders>
              <w:tl2br w:val="nil"/>
              <w:tr2bl w:val="nil"/>
            </w:tcBorders>
            <w:noWrap w:val="0"/>
            <w:vAlign w:val="center"/>
          </w:tcPr>
          <w:p w14:paraId="25F4B91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129</w:t>
            </w:r>
          </w:p>
        </w:tc>
        <w:tc>
          <w:tcPr>
            <w:tcW w:w="906" w:type="pct"/>
            <w:tcBorders>
              <w:tl2br w:val="nil"/>
              <w:tr2bl w:val="nil"/>
            </w:tcBorders>
            <w:noWrap w:val="0"/>
            <w:vAlign w:val="center"/>
          </w:tcPr>
          <w:p w14:paraId="706EC79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w:t>
            </w:r>
          </w:p>
        </w:tc>
        <w:tc>
          <w:tcPr>
            <w:tcW w:w="906" w:type="pct"/>
            <w:tcBorders>
              <w:tl2br w:val="nil"/>
              <w:tr2bl w:val="nil"/>
            </w:tcBorders>
            <w:noWrap w:val="0"/>
            <w:vAlign w:val="center"/>
          </w:tcPr>
          <w:p w14:paraId="2C327A8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128</w:t>
            </w:r>
          </w:p>
        </w:tc>
        <w:tc>
          <w:tcPr>
            <w:tcW w:w="571" w:type="pct"/>
            <w:tcBorders>
              <w:tl2br w:val="nil"/>
              <w:tr2bl w:val="nil"/>
            </w:tcBorders>
            <w:noWrap w:val="0"/>
            <w:vAlign w:val="center"/>
          </w:tcPr>
          <w:p w14:paraId="1900CF7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450</w:t>
            </w:r>
          </w:p>
        </w:tc>
        <w:tc>
          <w:tcPr>
            <w:tcW w:w="459" w:type="pct"/>
            <w:tcBorders>
              <w:tl2br w:val="nil"/>
              <w:tr2bl w:val="nil"/>
            </w:tcBorders>
            <w:noWrap w:val="0"/>
            <w:vAlign w:val="center"/>
          </w:tcPr>
          <w:p w14:paraId="3D9C2F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907F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DBB5B9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1DC464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铅</w:t>
            </w:r>
          </w:p>
        </w:tc>
        <w:tc>
          <w:tcPr>
            <w:tcW w:w="906" w:type="pct"/>
            <w:tcBorders>
              <w:tl2br w:val="nil"/>
              <w:tr2bl w:val="nil"/>
            </w:tcBorders>
            <w:noWrap w:val="0"/>
            <w:vAlign w:val="center"/>
          </w:tcPr>
          <w:p w14:paraId="3CEFB48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0500DF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CD2AA3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43F4FC6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1ED4E82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3AC0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DA970F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4A26B4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氟化物</w:t>
            </w:r>
          </w:p>
        </w:tc>
        <w:tc>
          <w:tcPr>
            <w:tcW w:w="906" w:type="pct"/>
            <w:tcBorders>
              <w:tl2br w:val="nil"/>
              <w:tr2bl w:val="nil"/>
            </w:tcBorders>
            <w:noWrap w:val="0"/>
            <w:vAlign w:val="center"/>
          </w:tcPr>
          <w:p w14:paraId="09F3985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0.135</w:t>
            </w:r>
          </w:p>
        </w:tc>
        <w:tc>
          <w:tcPr>
            <w:tcW w:w="906" w:type="pct"/>
            <w:tcBorders>
              <w:tl2br w:val="nil"/>
              <w:tr2bl w:val="nil"/>
            </w:tcBorders>
            <w:noWrap w:val="0"/>
            <w:vAlign w:val="center"/>
          </w:tcPr>
          <w:p w14:paraId="4BA7D36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0.131</w:t>
            </w:r>
          </w:p>
        </w:tc>
        <w:tc>
          <w:tcPr>
            <w:tcW w:w="906" w:type="pct"/>
            <w:tcBorders>
              <w:tl2br w:val="nil"/>
              <w:tr2bl w:val="nil"/>
            </w:tcBorders>
            <w:noWrap w:val="0"/>
            <w:vAlign w:val="center"/>
          </w:tcPr>
          <w:p w14:paraId="1AA910A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0.144</w:t>
            </w:r>
          </w:p>
        </w:tc>
        <w:tc>
          <w:tcPr>
            <w:tcW w:w="571" w:type="pct"/>
            <w:tcBorders>
              <w:tl2br w:val="nil"/>
              <w:tr2bl w:val="nil"/>
            </w:tcBorders>
            <w:noWrap w:val="0"/>
            <w:vAlign w:val="center"/>
          </w:tcPr>
          <w:p w14:paraId="3C8DFC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w:t>
            </w:r>
          </w:p>
        </w:tc>
        <w:tc>
          <w:tcPr>
            <w:tcW w:w="459" w:type="pct"/>
            <w:tcBorders>
              <w:tl2br w:val="nil"/>
              <w:tr2bl w:val="nil"/>
            </w:tcBorders>
            <w:noWrap w:val="0"/>
            <w:vAlign w:val="center"/>
          </w:tcPr>
          <w:p w14:paraId="0998DD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F82B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C9F2F5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C5E13B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镉</w:t>
            </w:r>
          </w:p>
        </w:tc>
        <w:tc>
          <w:tcPr>
            <w:tcW w:w="906" w:type="pct"/>
            <w:tcBorders>
              <w:tl2br w:val="nil"/>
              <w:tr2bl w:val="nil"/>
            </w:tcBorders>
            <w:noWrap w:val="0"/>
            <w:vAlign w:val="center"/>
          </w:tcPr>
          <w:p w14:paraId="252D43E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7B3AA6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11CDEAF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02E54B8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0.005</w:t>
            </w:r>
          </w:p>
        </w:tc>
        <w:tc>
          <w:tcPr>
            <w:tcW w:w="459" w:type="pct"/>
            <w:tcBorders>
              <w:tl2br w:val="nil"/>
              <w:tr2bl w:val="nil"/>
            </w:tcBorders>
            <w:noWrap w:val="0"/>
            <w:vAlign w:val="center"/>
          </w:tcPr>
          <w:p w14:paraId="6A9D4AC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B624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818877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ADE1C1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铁</w:t>
            </w:r>
          </w:p>
        </w:tc>
        <w:tc>
          <w:tcPr>
            <w:tcW w:w="906" w:type="pct"/>
            <w:tcBorders>
              <w:tl2br w:val="nil"/>
              <w:tr2bl w:val="nil"/>
            </w:tcBorders>
            <w:noWrap w:val="0"/>
            <w:vAlign w:val="center"/>
          </w:tcPr>
          <w:p w14:paraId="63FAC1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1D2615A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0F158C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0316125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0.3</w:t>
            </w:r>
          </w:p>
        </w:tc>
        <w:tc>
          <w:tcPr>
            <w:tcW w:w="459" w:type="pct"/>
            <w:tcBorders>
              <w:tl2br w:val="nil"/>
              <w:tr2bl w:val="nil"/>
            </w:tcBorders>
            <w:noWrap w:val="0"/>
            <w:vAlign w:val="center"/>
          </w:tcPr>
          <w:p w14:paraId="1C5CDAD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FFCD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3E4C4F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EBAB77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锰</w:t>
            </w:r>
          </w:p>
        </w:tc>
        <w:tc>
          <w:tcPr>
            <w:tcW w:w="906" w:type="pct"/>
            <w:tcBorders>
              <w:tl2br w:val="nil"/>
              <w:tr2bl w:val="nil"/>
            </w:tcBorders>
            <w:noWrap w:val="0"/>
            <w:vAlign w:val="center"/>
          </w:tcPr>
          <w:p w14:paraId="4958F3B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E4C2E2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BD405F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160599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0.10</w:t>
            </w:r>
          </w:p>
        </w:tc>
        <w:tc>
          <w:tcPr>
            <w:tcW w:w="459" w:type="pct"/>
            <w:tcBorders>
              <w:tl2br w:val="nil"/>
              <w:tr2bl w:val="nil"/>
            </w:tcBorders>
            <w:noWrap w:val="0"/>
            <w:vAlign w:val="center"/>
          </w:tcPr>
          <w:p w14:paraId="1302404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862F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8BC67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5D213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溶解性总固体</w:t>
            </w:r>
          </w:p>
        </w:tc>
        <w:tc>
          <w:tcPr>
            <w:tcW w:w="906" w:type="pct"/>
            <w:tcBorders>
              <w:tl2br w:val="nil"/>
              <w:tr2bl w:val="nil"/>
            </w:tcBorders>
            <w:noWrap w:val="0"/>
            <w:vAlign w:val="center"/>
          </w:tcPr>
          <w:p w14:paraId="191D6C3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257</w:t>
            </w:r>
          </w:p>
        </w:tc>
        <w:tc>
          <w:tcPr>
            <w:tcW w:w="906" w:type="pct"/>
            <w:tcBorders>
              <w:tl2br w:val="nil"/>
              <w:tr2bl w:val="nil"/>
            </w:tcBorders>
            <w:noWrap w:val="0"/>
            <w:vAlign w:val="center"/>
          </w:tcPr>
          <w:p w14:paraId="4BA7A56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249</w:t>
            </w:r>
          </w:p>
        </w:tc>
        <w:tc>
          <w:tcPr>
            <w:tcW w:w="906" w:type="pct"/>
            <w:tcBorders>
              <w:tl2br w:val="nil"/>
              <w:tr2bl w:val="nil"/>
            </w:tcBorders>
            <w:noWrap w:val="0"/>
            <w:vAlign w:val="center"/>
          </w:tcPr>
          <w:p w14:paraId="64B3B1F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252</w:t>
            </w:r>
          </w:p>
        </w:tc>
        <w:tc>
          <w:tcPr>
            <w:tcW w:w="571" w:type="pct"/>
            <w:tcBorders>
              <w:tl2br w:val="nil"/>
              <w:tr2bl w:val="nil"/>
            </w:tcBorders>
            <w:noWrap w:val="0"/>
            <w:vAlign w:val="center"/>
          </w:tcPr>
          <w:p w14:paraId="7D3B229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1000</w:t>
            </w:r>
          </w:p>
        </w:tc>
        <w:tc>
          <w:tcPr>
            <w:tcW w:w="459" w:type="pct"/>
            <w:tcBorders>
              <w:tl2br w:val="nil"/>
              <w:tr2bl w:val="nil"/>
            </w:tcBorders>
            <w:noWrap w:val="0"/>
            <w:vAlign w:val="center"/>
          </w:tcPr>
          <w:p w14:paraId="7A04A73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1883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0BF052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C049A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耗氧量</w:t>
            </w:r>
          </w:p>
        </w:tc>
        <w:tc>
          <w:tcPr>
            <w:tcW w:w="906" w:type="pct"/>
            <w:tcBorders>
              <w:tl2br w:val="nil"/>
              <w:tr2bl w:val="nil"/>
            </w:tcBorders>
            <w:noWrap w:val="0"/>
            <w:vAlign w:val="center"/>
          </w:tcPr>
          <w:p w14:paraId="0E48700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906" w:type="pct"/>
            <w:tcBorders>
              <w:tl2br w:val="nil"/>
              <w:tr2bl w:val="nil"/>
            </w:tcBorders>
            <w:noWrap w:val="0"/>
            <w:vAlign w:val="center"/>
          </w:tcPr>
          <w:p w14:paraId="3A7BCD6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906" w:type="pct"/>
            <w:tcBorders>
              <w:tl2br w:val="nil"/>
              <w:tr2bl w:val="nil"/>
            </w:tcBorders>
            <w:noWrap w:val="0"/>
            <w:vAlign w:val="center"/>
          </w:tcPr>
          <w:p w14:paraId="475597E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571" w:type="pct"/>
            <w:tcBorders>
              <w:tl2br w:val="nil"/>
              <w:tr2bl w:val="nil"/>
            </w:tcBorders>
            <w:noWrap w:val="0"/>
            <w:vAlign w:val="center"/>
          </w:tcPr>
          <w:p w14:paraId="727619B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39B240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38DD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C6F6F0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D1EF02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硫酸盐（SO4</w:t>
            </w:r>
            <w:r>
              <w:rPr>
                <w:rFonts w:hint="default" w:ascii="Times New Roman" w:hAnsi="Times New Roman" w:eastAsia="宋体" w:cs="Times New Roman"/>
                <w:sz w:val="21"/>
                <w:szCs w:val="21"/>
                <w:vertAlign w:val="superscript"/>
                <w:lang w:eastAsia="zh-CN"/>
              </w:rPr>
              <w:t>2-</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4DFB059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24.5</w:t>
            </w:r>
          </w:p>
        </w:tc>
        <w:tc>
          <w:tcPr>
            <w:tcW w:w="906" w:type="pct"/>
            <w:tcBorders>
              <w:tl2br w:val="nil"/>
              <w:tr2bl w:val="nil"/>
            </w:tcBorders>
            <w:noWrap w:val="0"/>
            <w:vAlign w:val="center"/>
          </w:tcPr>
          <w:p w14:paraId="3DDD0C6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24.1</w:t>
            </w:r>
          </w:p>
        </w:tc>
        <w:tc>
          <w:tcPr>
            <w:tcW w:w="906" w:type="pct"/>
            <w:tcBorders>
              <w:tl2br w:val="nil"/>
              <w:tr2bl w:val="nil"/>
            </w:tcBorders>
            <w:noWrap w:val="0"/>
            <w:vAlign w:val="center"/>
          </w:tcPr>
          <w:p w14:paraId="73E699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26.8</w:t>
            </w:r>
          </w:p>
        </w:tc>
        <w:tc>
          <w:tcPr>
            <w:tcW w:w="571" w:type="pct"/>
            <w:tcBorders>
              <w:tl2br w:val="nil"/>
              <w:tr2bl w:val="nil"/>
            </w:tcBorders>
            <w:noWrap w:val="0"/>
            <w:vAlign w:val="center"/>
          </w:tcPr>
          <w:p w14:paraId="5FC3D46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128D93A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2124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AFC7AE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73A6C5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氯化物（CL</w:t>
            </w:r>
            <w:r>
              <w:rPr>
                <w:rFonts w:hint="default" w:ascii="Times New Roman" w:hAnsi="Times New Roman" w:eastAsia="宋体" w:cs="Times New Roman"/>
                <w:sz w:val="21"/>
                <w:szCs w:val="21"/>
                <w:vertAlign w:val="superscript"/>
                <w:lang w:eastAsia="zh-CN"/>
              </w:rPr>
              <w:t>-</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704DACA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14.8</w:t>
            </w:r>
          </w:p>
        </w:tc>
        <w:tc>
          <w:tcPr>
            <w:tcW w:w="906" w:type="pct"/>
            <w:tcBorders>
              <w:tl2br w:val="nil"/>
              <w:tr2bl w:val="nil"/>
            </w:tcBorders>
            <w:noWrap w:val="0"/>
            <w:vAlign w:val="center"/>
          </w:tcPr>
          <w:p w14:paraId="40E0138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14.1</w:t>
            </w:r>
          </w:p>
        </w:tc>
        <w:tc>
          <w:tcPr>
            <w:tcW w:w="906" w:type="pct"/>
            <w:tcBorders>
              <w:tl2br w:val="nil"/>
              <w:tr2bl w:val="nil"/>
            </w:tcBorders>
            <w:noWrap w:val="0"/>
            <w:vAlign w:val="center"/>
          </w:tcPr>
          <w:p w14:paraId="62DCE51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15.9</w:t>
            </w:r>
          </w:p>
        </w:tc>
        <w:tc>
          <w:tcPr>
            <w:tcW w:w="571" w:type="pct"/>
            <w:tcBorders>
              <w:tl2br w:val="nil"/>
              <w:tr2bl w:val="nil"/>
            </w:tcBorders>
            <w:noWrap w:val="0"/>
            <w:vAlign w:val="center"/>
          </w:tcPr>
          <w:p w14:paraId="5DC405F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5B9C0F5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335D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DCCF53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2522CC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总大肠菌群</w:t>
            </w:r>
          </w:p>
        </w:tc>
        <w:tc>
          <w:tcPr>
            <w:tcW w:w="906" w:type="pct"/>
            <w:tcBorders>
              <w:tl2br w:val="nil"/>
              <w:tr2bl w:val="nil"/>
            </w:tcBorders>
            <w:noWrap w:val="0"/>
            <w:vAlign w:val="center"/>
          </w:tcPr>
          <w:p w14:paraId="21771F1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未检出</w:t>
            </w:r>
          </w:p>
        </w:tc>
        <w:tc>
          <w:tcPr>
            <w:tcW w:w="906" w:type="pct"/>
            <w:tcBorders>
              <w:tl2br w:val="nil"/>
              <w:tr2bl w:val="nil"/>
            </w:tcBorders>
            <w:noWrap w:val="0"/>
            <w:vAlign w:val="center"/>
          </w:tcPr>
          <w:p w14:paraId="460D8A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未检出</w:t>
            </w:r>
          </w:p>
        </w:tc>
        <w:tc>
          <w:tcPr>
            <w:tcW w:w="906" w:type="pct"/>
            <w:tcBorders>
              <w:tl2br w:val="nil"/>
              <w:tr2bl w:val="nil"/>
            </w:tcBorders>
            <w:noWrap w:val="0"/>
            <w:vAlign w:val="center"/>
          </w:tcPr>
          <w:p w14:paraId="105AAFA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未检出</w:t>
            </w:r>
          </w:p>
        </w:tc>
        <w:tc>
          <w:tcPr>
            <w:tcW w:w="571" w:type="pct"/>
            <w:tcBorders>
              <w:tl2br w:val="nil"/>
              <w:tr2bl w:val="nil"/>
            </w:tcBorders>
            <w:noWrap w:val="0"/>
            <w:vAlign w:val="center"/>
          </w:tcPr>
          <w:p w14:paraId="6DCD99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2E8E86A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E827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A20B41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2D8BD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菌落总数</w:t>
            </w:r>
          </w:p>
        </w:tc>
        <w:tc>
          <w:tcPr>
            <w:tcW w:w="906" w:type="pct"/>
            <w:tcBorders>
              <w:tl2br w:val="nil"/>
              <w:tr2bl w:val="nil"/>
            </w:tcBorders>
            <w:noWrap w:val="0"/>
            <w:vAlign w:val="center"/>
          </w:tcPr>
          <w:p w14:paraId="22E7090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906" w:type="pct"/>
            <w:tcBorders>
              <w:tl2br w:val="nil"/>
              <w:tr2bl w:val="nil"/>
            </w:tcBorders>
            <w:noWrap w:val="0"/>
            <w:vAlign w:val="center"/>
          </w:tcPr>
          <w:p w14:paraId="04136A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906" w:type="pct"/>
            <w:tcBorders>
              <w:tl2br w:val="nil"/>
              <w:tr2bl w:val="nil"/>
            </w:tcBorders>
            <w:noWrap w:val="0"/>
            <w:vAlign w:val="center"/>
          </w:tcPr>
          <w:p w14:paraId="454D1BB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571" w:type="pct"/>
            <w:tcBorders>
              <w:tl2br w:val="nil"/>
              <w:tr2bl w:val="nil"/>
            </w:tcBorders>
            <w:noWrap w:val="0"/>
            <w:vAlign w:val="center"/>
          </w:tcPr>
          <w:p w14:paraId="2AD8F8A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7B4526F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ABB0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207FA3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135925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K</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19CC810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c>
          <w:tcPr>
            <w:tcW w:w="906" w:type="pct"/>
            <w:tcBorders>
              <w:tl2br w:val="nil"/>
              <w:tr2bl w:val="nil"/>
            </w:tcBorders>
            <w:noWrap w:val="0"/>
            <w:vAlign w:val="center"/>
          </w:tcPr>
          <w:p w14:paraId="2B0730A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w:t>
            </w:r>
          </w:p>
        </w:tc>
        <w:tc>
          <w:tcPr>
            <w:tcW w:w="906" w:type="pct"/>
            <w:tcBorders>
              <w:tl2br w:val="nil"/>
              <w:tr2bl w:val="nil"/>
            </w:tcBorders>
            <w:noWrap w:val="0"/>
            <w:vAlign w:val="center"/>
          </w:tcPr>
          <w:p w14:paraId="79E5FC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w:t>
            </w:r>
          </w:p>
        </w:tc>
        <w:tc>
          <w:tcPr>
            <w:tcW w:w="571" w:type="pct"/>
            <w:tcBorders>
              <w:tl2br w:val="nil"/>
              <w:tr2bl w:val="nil"/>
            </w:tcBorders>
            <w:noWrap w:val="0"/>
            <w:vAlign w:val="center"/>
          </w:tcPr>
          <w:p w14:paraId="517BE6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63A2EE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2717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532D54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636CDF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Na</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781ADDE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w:t>
            </w:r>
          </w:p>
        </w:tc>
        <w:tc>
          <w:tcPr>
            <w:tcW w:w="906" w:type="pct"/>
            <w:tcBorders>
              <w:tl2br w:val="nil"/>
              <w:tr2bl w:val="nil"/>
            </w:tcBorders>
            <w:noWrap w:val="0"/>
            <w:vAlign w:val="center"/>
          </w:tcPr>
          <w:p w14:paraId="5A675DF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1.47</w:t>
            </w:r>
          </w:p>
        </w:tc>
        <w:tc>
          <w:tcPr>
            <w:tcW w:w="906" w:type="pct"/>
            <w:tcBorders>
              <w:tl2br w:val="nil"/>
              <w:tr2bl w:val="nil"/>
            </w:tcBorders>
            <w:noWrap w:val="0"/>
            <w:vAlign w:val="center"/>
          </w:tcPr>
          <w:p w14:paraId="362250B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1.56</w:t>
            </w:r>
          </w:p>
        </w:tc>
        <w:tc>
          <w:tcPr>
            <w:tcW w:w="571" w:type="pct"/>
            <w:tcBorders>
              <w:tl2br w:val="nil"/>
              <w:tr2bl w:val="nil"/>
            </w:tcBorders>
            <w:noWrap w:val="0"/>
            <w:vAlign w:val="center"/>
          </w:tcPr>
          <w:p w14:paraId="6B91ECB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58805EF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8A96A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39F2A4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13C182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Ca</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4362DDC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906" w:type="pct"/>
            <w:tcBorders>
              <w:tl2br w:val="nil"/>
              <w:tr2bl w:val="nil"/>
            </w:tcBorders>
            <w:noWrap w:val="0"/>
            <w:vAlign w:val="center"/>
          </w:tcPr>
          <w:p w14:paraId="5C8ECE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906" w:type="pct"/>
            <w:tcBorders>
              <w:tl2br w:val="nil"/>
              <w:tr2bl w:val="nil"/>
            </w:tcBorders>
            <w:noWrap w:val="0"/>
            <w:vAlign w:val="center"/>
          </w:tcPr>
          <w:p w14:paraId="724C7A8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571" w:type="pct"/>
            <w:tcBorders>
              <w:tl2br w:val="nil"/>
              <w:tr2bl w:val="nil"/>
            </w:tcBorders>
            <w:noWrap w:val="0"/>
            <w:vAlign w:val="center"/>
          </w:tcPr>
          <w:p w14:paraId="7B82A2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70D1244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8C60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E247F3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EBA052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Mg</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320D176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2282BF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380043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44FF81D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70C1337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352E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9ABF70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7BD83F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67568C3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F92E16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D464B1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5AFD634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18F9B53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6BD15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7E2E0F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BF067D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HCO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21C2347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906" w:type="pct"/>
            <w:tcBorders>
              <w:tl2br w:val="nil"/>
              <w:tr2bl w:val="nil"/>
            </w:tcBorders>
            <w:noWrap w:val="0"/>
            <w:vAlign w:val="center"/>
          </w:tcPr>
          <w:p w14:paraId="05B9967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906" w:type="pct"/>
            <w:tcBorders>
              <w:tl2br w:val="nil"/>
              <w:tr2bl w:val="nil"/>
            </w:tcBorders>
            <w:noWrap w:val="0"/>
            <w:vAlign w:val="center"/>
          </w:tcPr>
          <w:p w14:paraId="629D99D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571" w:type="pct"/>
            <w:tcBorders>
              <w:tl2br w:val="nil"/>
              <w:tr2bl w:val="nil"/>
            </w:tcBorders>
            <w:noWrap w:val="0"/>
            <w:vAlign w:val="center"/>
          </w:tcPr>
          <w:p w14:paraId="317D07B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1AC00FB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4B87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restart"/>
            <w:tcBorders>
              <w:tl2br w:val="nil"/>
              <w:tr2bl w:val="nil"/>
            </w:tcBorders>
            <w:noWrap w:val="0"/>
            <w:vAlign w:val="center"/>
          </w:tcPr>
          <w:p w14:paraId="23B79A1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D2东北侧205米处雷家屋水井</w:t>
            </w:r>
          </w:p>
        </w:tc>
        <w:tc>
          <w:tcPr>
            <w:tcW w:w="704" w:type="pct"/>
            <w:tcBorders>
              <w:tl2br w:val="nil"/>
              <w:tr2bl w:val="nil"/>
            </w:tcBorders>
            <w:noWrap w:val="0"/>
            <w:vAlign w:val="center"/>
          </w:tcPr>
          <w:p w14:paraId="505B65A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pH 值</w:t>
            </w:r>
          </w:p>
        </w:tc>
        <w:tc>
          <w:tcPr>
            <w:tcW w:w="906" w:type="pct"/>
            <w:tcBorders>
              <w:tl2br w:val="nil"/>
              <w:tr2bl w:val="nil"/>
            </w:tcBorders>
            <w:noWrap w:val="0"/>
            <w:vAlign w:val="center"/>
          </w:tcPr>
          <w:p w14:paraId="254344C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7.3</w:t>
            </w:r>
          </w:p>
        </w:tc>
        <w:tc>
          <w:tcPr>
            <w:tcW w:w="906" w:type="pct"/>
            <w:tcBorders>
              <w:tl2br w:val="nil"/>
              <w:tr2bl w:val="nil"/>
            </w:tcBorders>
            <w:noWrap w:val="0"/>
            <w:vAlign w:val="center"/>
          </w:tcPr>
          <w:p w14:paraId="4A33980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7.3</w:t>
            </w:r>
          </w:p>
        </w:tc>
        <w:tc>
          <w:tcPr>
            <w:tcW w:w="906" w:type="pct"/>
            <w:tcBorders>
              <w:tl2br w:val="nil"/>
              <w:tr2bl w:val="nil"/>
            </w:tcBorders>
            <w:noWrap w:val="0"/>
            <w:vAlign w:val="center"/>
          </w:tcPr>
          <w:p w14:paraId="1BCC074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7.1</w:t>
            </w:r>
          </w:p>
        </w:tc>
        <w:tc>
          <w:tcPr>
            <w:tcW w:w="571" w:type="pct"/>
            <w:tcBorders>
              <w:tl2br w:val="nil"/>
              <w:tr2bl w:val="nil"/>
            </w:tcBorders>
            <w:noWrap w:val="0"/>
            <w:vAlign w:val="center"/>
          </w:tcPr>
          <w:p w14:paraId="7CDDF8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6.5-8.5</w:t>
            </w:r>
          </w:p>
        </w:tc>
        <w:tc>
          <w:tcPr>
            <w:tcW w:w="459" w:type="pct"/>
            <w:tcBorders>
              <w:tl2br w:val="nil"/>
              <w:tr2bl w:val="nil"/>
            </w:tcBorders>
            <w:noWrap w:val="0"/>
            <w:vAlign w:val="center"/>
          </w:tcPr>
          <w:p w14:paraId="7165B1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4407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A91AF4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sz w:val="21"/>
                <w:szCs w:val="21"/>
                <w:lang w:val="en-US" w:eastAsia="zh-CN"/>
              </w:rPr>
            </w:pPr>
          </w:p>
        </w:tc>
        <w:tc>
          <w:tcPr>
            <w:tcW w:w="704" w:type="pct"/>
            <w:tcBorders>
              <w:tl2br w:val="nil"/>
              <w:tr2bl w:val="nil"/>
            </w:tcBorders>
            <w:noWrap w:val="0"/>
            <w:vAlign w:val="center"/>
          </w:tcPr>
          <w:p w14:paraId="38EB0D5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石油类</w:t>
            </w:r>
          </w:p>
        </w:tc>
        <w:tc>
          <w:tcPr>
            <w:tcW w:w="906" w:type="pct"/>
            <w:tcBorders>
              <w:tl2br w:val="nil"/>
              <w:tr2bl w:val="nil"/>
            </w:tcBorders>
            <w:noWrap w:val="0"/>
            <w:vAlign w:val="center"/>
          </w:tcPr>
          <w:p w14:paraId="4835018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275DF2B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1019A4B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571" w:type="pct"/>
            <w:tcBorders>
              <w:tl2br w:val="nil"/>
              <w:tr2bl w:val="nil"/>
            </w:tcBorders>
            <w:noWrap w:val="0"/>
            <w:vAlign w:val="center"/>
          </w:tcPr>
          <w:p w14:paraId="11F0437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w:t>
            </w:r>
          </w:p>
        </w:tc>
        <w:tc>
          <w:tcPr>
            <w:tcW w:w="459" w:type="pct"/>
            <w:tcBorders>
              <w:tl2br w:val="nil"/>
              <w:tr2bl w:val="nil"/>
            </w:tcBorders>
            <w:noWrap w:val="0"/>
            <w:vAlign w:val="center"/>
          </w:tcPr>
          <w:p w14:paraId="55D45ED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74FDB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283DED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B5CF5E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氨氮</w:t>
            </w:r>
          </w:p>
        </w:tc>
        <w:tc>
          <w:tcPr>
            <w:tcW w:w="906" w:type="pct"/>
            <w:tcBorders>
              <w:tl2br w:val="nil"/>
              <w:tr2bl w:val="nil"/>
            </w:tcBorders>
            <w:noWrap w:val="0"/>
            <w:vAlign w:val="center"/>
          </w:tcPr>
          <w:p w14:paraId="34FBF00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0.066</w:t>
            </w:r>
          </w:p>
        </w:tc>
        <w:tc>
          <w:tcPr>
            <w:tcW w:w="906" w:type="pct"/>
            <w:tcBorders>
              <w:tl2br w:val="nil"/>
              <w:tr2bl w:val="nil"/>
            </w:tcBorders>
            <w:noWrap w:val="0"/>
            <w:vAlign w:val="center"/>
          </w:tcPr>
          <w:p w14:paraId="0790E04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0.082</w:t>
            </w:r>
          </w:p>
        </w:tc>
        <w:tc>
          <w:tcPr>
            <w:tcW w:w="906" w:type="pct"/>
            <w:tcBorders>
              <w:tl2br w:val="nil"/>
              <w:tr2bl w:val="nil"/>
            </w:tcBorders>
            <w:noWrap w:val="0"/>
            <w:vAlign w:val="center"/>
          </w:tcPr>
          <w:p w14:paraId="10503E5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0.075</w:t>
            </w:r>
          </w:p>
        </w:tc>
        <w:tc>
          <w:tcPr>
            <w:tcW w:w="571" w:type="pct"/>
            <w:tcBorders>
              <w:tl2br w:val="nil"/>
              <w:tr2bl w:val="nil"/>
            </w:tcBorders>
            <w:noWrap w:val="0"/>
            <w:vAlign w:val="center"/>
          </w:tcPr>
          <w:p w14:paraId="35CA88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0.50</w:t>
            </w:r>
          </w:p>
        </w:tc>
        <w:tc>
          <w:tcPr>
            <w:tcW w:w="459" w:type="pct"/>
            <w:tcBorders>
              <w:tl2br w:val="nil"/>
              <w:tr2bl w:val="nil"/>
            </w:tcBorders>
            <w:noWrap w:val="0"/>
            <w:vAlign w:val="center"/>
          </w:tcPr>
          <w:p w14:paraId="7A72FFF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261F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F11A03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0C1364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硝酸盐</w:t>
            </w:r>
          </w:p>
        </w:tc>
        <w:tc>
          <w:tcPr>
            <w:tcW w:w="906" w:type="pct"/>
            <w:tcBorders>
              <w:tl2br w:val="nil"/>
              <w:tr2bl w:val="nil"/>
            </w:tcBorders>
            <w:noWrap w:val="0"/>
            <w:vAlign w:val="center"/>
          </w:tcPr>
          <w:p w14:paraId="669B570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2.26</w:t>
            </w:r>
          </w:p>
        </w:tc>
        <w:tc>
          <w:tcPr>
            <w:tcW w:w="906" w:type="pct"/>
            <w:tcBorders>
              <w:tl2br w:val="nil"/>
              <w:tr2bl w:val="nil"/>
            </w:tcBorders>
            <w:noWrap w:val="0"/>
            <w:vAlign w:val="center"/>
          </w:tcPr>
          <w:p w14:paraId="1DD5308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2.10</w:t>
            </w:r>
          </w:p>
        </w:tc>
        <w:tc>
          <w:tcPr>
            <w:tcW w:w="906" w:type="pct"/>
            <w:tcBorders>
              <w:tl2br w:val="nil"/>
              <w:tr2bl w:val="nil"/>
            </w:tcBorders>
            <w:noWrap w:val="0"/>
            <w:vAlign w:val="center"/>
          </w:tcPr>
          <w:p w14:paraId="3A30ABB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2.23</w:t>
            </w:r>
          </w:p>
        </w:tc>
        <w:tc>
          <w:tcPr>
            <w:tcW w:w="571" w:type="pct"/>
            <w:tcBorders>
              <w:tl2br w:val="nil"/>
              <w:tr2bl w:val="nil"/>
            </w:tcBorders>
            <w:noWrap w:val="0"/>
            <w:vAlign w:val="center"/>
          </w:tcPr>
          <w:p w14:paraId="09DD557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2E5243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189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546" w:type="pct"/>
            <w:vMerge w:val="continue"/>
            <w:tcBorders>
              <w:tl2br w:val="nil"/>
              <w:tr2bl w:val="nil"/>
            </w:tcBorders>
            <w:noWrap w:val="0"/>
            <w:vAlign w:val="center"/>
          </w:tcPr>
          <w:p w14:paraId="3EDEE9B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266F51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亚硝酸盐</w:t>
            </w:r>
          </w:p>
        </w:tc>
        <w:tc>
          <w:tcPr>
            <w:tcW w:w="906" w:type="pct"/>
            <w:tcBorders>
              <w:tl2br w:val="nil"/>
              <w:tr2bl w:val="nil"/>
            </w:tcBorders>
            <w:noWrap w:val="0"/>
            <w:vAlign w:val="center"/>
          </w:tcPr>
          <w:p w14:paraId="4310671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EE43C0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150B4D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75B8650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5306EFD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A66F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A533AB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2C7C46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挥发性酚类</w:t>
            </w:r>
          </w:p>
        </w:tc>
        <w:tc>
          <w:tcPr>
            <w:tcW w:w="906" w:type="pct"/>
            <w:tcBorders>
              <w:tl2br w:val="nil"/>
              <w:tr2bl w:val="nil"/>
            </w:tcBorders>
            <w:noWrap w:val="0"/>
            <w:vAlign w:val="center"/>
          </w:tcPr>
          <w:p w14:paraId="2FD7521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3C2035C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1852F9F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6FAAED4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0.002</w:t>
            </w:r>
          </w:p>
        </w:tc>
        <w:tc>
          <w:tcPr>
            <w:tcW w:w="459" w:type="pct"/>
            <w:tcBorders>
              <w:tl2br w:val="nil"/>
              <w:tr2bl w:val="nil"/>
            </w:tcBorders>
            <w:noWrap w:val="0"/>
            <w:vAlign w:val="center"/>
          </w:tcPr>
          <w:p w14:paraId="7C29958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419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0F802E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C314A9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氰化物</w:t>
            </w:r>
          </w:p>
        </w:tc>
        <w:tc>
          <w:tcPr>
            <w:tcW w:w="906" w:type="pct"/>
            <w:tcBorders>
              <w:tl2br w:val="nil"/>
              <w:tr2bl w:val="nil"/>
            </w:tcBorders>
            <w:noWrap w:val="0"/>
            <w:vAlign w:val="center"/>
          </w:tcPr>
          <w:p w14:paraId="0A0A435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3C0B9C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4D158B8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1493BE7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61F2CFD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56D2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F13D96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BEA15E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阴离子表面活性剂</w:t>
            </w:r>
          </w:p>
        </w:tc>
        <w:tc>
          <w:tcPr>
            <w:tcW w:w="906" w:type="pct"/>
            <w:tcBorders>
              <w:tl2br w:val="nil"/>
              <w:tr2bl w:val="nil"/>
            </w:tcBorders>
            <w:noWrap w:val="0"/>
            <w:vAlign w:val="center"/>
          </w:tcPr>
          <w:p w14:paraId="39CD8F6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1521BD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DE208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0DD1EC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0.3</w:t>
            </w:r>
          </w:p>
        </w:tc>
        <w:tc>
          <w:tcPr>
            <w:tcW w:w="459" w:type="pct"/>
            <w:tcBorders>
              <w:tl2br w:val="nil"/>
              <w:tr2bl w:val="nil"/>
            </w:tcBorders>
            <w:noWrap w:val="0"/>
            <w:vAlign w:val="center"/>
          </w:tcPr>
          <w:p w14:paraId="55E892C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4CF79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CD79BD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1DF793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砷</w:t>
            </w:r>
          </w:p>
        </w:tc>
        <w:tc>
          <w:tcPr>
            <w:tcW w:w="906" w:type="pct"/>
            <w:tcBorders>
              <w:tl2br w:val="nil"/>
              <w:tr2bl w:val="nil"/>
            </w:tcBorders>
            <w:noWrap w:val="0"/>
            <w:vAlign w:val="center"/>
          </w:tcPr>
          <w:p w14:paraId="5B1294B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8252F5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58C293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5AB7598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3033C17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7B75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E3441E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BD249B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汞</w:t>
            </w:r>
          </w:p>
        </w:tc>
        <w:tc>
          <w:tcPr>
            <w:tcW w:w="906" w:type="pct"/>
            <w:tcBorders>
              <w:tl2br w:val="nil"/>
              <w:tr2bl w:val="nil"/>
            </w:tcBorders>
            <w:noWrap w:val="0"/>
            <w:vAlign w:val="center"/>
          </w:tcPr>
          <w:p w14:paraId="4D0FEA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5A8CD0D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4D5335B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0FCF5EB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0.001</w:t>
            </w:r>
          </w:p>
        </w:tc>
        <w:tc>
          <w:tcPr>
            <w:tcW w:w="459" w:type="pct"/>
            <w:tcBorders>
              <w:tl2br w:val="nil"/>
              <w:tr2bl w:val="nil"/>
            </w:tcBorders>
            <w:noWrap w:val="0"/>
            <w:vAlign w:val="center"/>
          </w:tcPr>
          <w:p w14:paraId="18D2251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93BCE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5E85DE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43F1F9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六价铬</w:t>
            </w:r>
          </w:p>
        </w:tc>
        <w:tc>
          <w:tcPr>
            <w:tcW w:w="906" w:type="pct"/>
            <w:tcBorders>
              <w:tl2br w:val="nil"/>
              <w:tr2bl w:val="nil"/>
            </w:tcBorders>
            <w:noWrap w:val="0"/>
            <w:vAlign w:val="center"/>
          </w:tcPr>
          <w:p w14:paraId="345C0CD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4ADF8D2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47D4DBC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69E2591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5A362F2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640D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B5273E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B29878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总硬度</w:t>
            </w:r>
          </w:p>
        </w:tc>
        <w:tc>
          <w:tcPr>
            <w:tcW w:w="906" w:type="pct"/>
            <w:tcBorders>
              <w:tl2br w:val="nil"/>
              <w:tr2bl w:val="nil"/>
            </w:tcBorders>
            <w:noWrap w:val="0"/>
            <w:vAlign w:val="center"/>
          </w:tcPr>
          <w:p w14:paraId="0EB311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176</w:t>
            </w:r>
          </w:p>
        </w:tc>
        <w:tc>
          <w:tcPr>
            <w:tcW w:w="906" w:type="pct"/>
            <w:tcBorders>
              <w:tl2br w:val="nil"/>
              <w:tr2bl w:val="nil"/>
            </w:tcBorders>
            <w:noWrap w:val="0"/>
            <w:vAlign w:val="center"/>
          </w:tcPr>
          <w:p w14:paraId="4E274D7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168</w:t>
            </w:r>
          </w:p>
        </w:tc>
        <w:tc>
          <w:tcPr>
            <w:tcW w:w="906" w:type="pct"/>
            <w:tcBorders>
              <w:tl2br w:val="nil"/>
              <w:tr2bl w:val="nil"/>
            </w:tcBorders>
            <w:noWrap w:val="0"/>
            <w:vAlign w:val="center"/>
          </w:tcPr>
          <w:p w14:paraId="0DC86A4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171</w:t>
            </w:r>
          </w:p>
        </w:tc>
        <w:tc>
          <w:tcPr>
            <w:tcW w:w="571" w:type="pct"/>
            <w:tcBorders>
              <w:tl2br w:val="nil"/>
              <w:tr2bl w:val="nil"/>
            </w:tcBorders>
            <w:noWrap w:val="0"/>
            <w:vAlign w:val="center"/>
          </w:tcPr>
          <w:p w14:paraId="611FE4F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450</w:t>
            </w:r>
          </w:p>
        </w:tc>
        <w:tc>
          <w:tcPr>
            <w:tcW w:w="459" w:type="pct"/>
            <w:tcBorders>
              <w:tl2br w:val="nil"/>
              <w:tr2bl w:val="nil"/>
            </w:tcBorders>
            <w:noWrap w:val="0"/>
            <w:vAlign w:val="center"/>
          </w:tcPr>
          <w:p w14:paraId="2925797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639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7A0116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6C8B46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铅</w:t>
            </w:r>
          </w:p>
        </w:tc>
        <w:tc>
          <w:tcPr>
            <w:tcW w:w="906" w:type="pct"/>
            <w:tcBorders>
              <w:tl2br w:val="nil"/>
              <w:tr2bl w:val="nil"/>
            </w:tcBorders>
            <w:noWrap w:val="0"/>
            <w:vAlign w:val="center"/>
          </w:tcPr>
          <w:p w14:paraId="7C3CC21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336F531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4909201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668CE6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574E33A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331A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6DB252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280790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氟化物</w:t>
            </w:r>
          </w:p>
        </w:tc>
        <w:tc>
          <w:tcPr>
            <w:tcW w:w="906" w:type="pct"/>
            <w:tcBorders>
              <w:tl2br w:val="nil"/>
              <w:tr2bl w:val="nil"/>
            </w:tcBorders>
            <w:noWrap w:val="0"/>
            <w:vAlign w:val="center"/>
          </w:tcPr>
          <w:p w14:paraId="492AFBF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0.110</w:t>
            </w:r>
          </w:p>
        </w:tc>
        <w:tc>
          <w:tcPr>
            <w:tcW w:w="906" w:type="pct"/>
            <w:tcBorders>
              <w:tl2br w:val="nil"/>
              <w:tr2bl w:val="nil"/>
            </w:tcBorders>
            <w:noWrap w:val="0"/>
            <w:vAlign w:val="center"/>
          </w:tcPr>
          <w:p w14:paraId="6301E98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0.102</w:t>
            </w:r>
          </w:p>
        </w:tc>
        <w:tc>
          <w:tcPr>
            <w:tcW w:w="906" w:type="pct"/>
            <w:tcBorders>
              <w:tl2br w:val="nil"/>
              <w:tr2bl w:val="nil"/>
            </w:tcBorders>
            <w:noWrap w:val="0"/>
            <w:vAlign w:val="center"/>
          </w:tcPr>
          <w:p w14:paraId="2B794DE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0.129</w:t>
            </w:r>
          </w:p>
        </w:tc>
        <w:tc>
          <w:tcPr>
            <w:tcW w:w="571" w:type="pct"/>
            <w:tcBorders>
              <w:tl2br w:val="nil"/>
              <w:tr2bl w:val="nil"/>
            </w:tcBorders>
            <w:noWrap w:val="0"/>
            <w:vAlign w:val="center"/>
          </w:tcPr>
          <w:p w14:paraId="5D0CD2D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w:t>
            </w:r>
          </w:p>
        </w:tc>
        <w:tc>
          <w:tcPr>
            <w:tcW w:w="459" w:type="pct"/>
            <w:tcBorders>
              <w:tl2br w:val="nil"/>
              <w:tr2bl w:val="nil"/>
            </w:tcBorders>
            <w:noWrap w:val="0"/>
            <w:vAlign w:val="center"/>
          </w:tcPr>
          <w:p w14:paraId="242F9A4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5715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95D5D8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A36E59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镉</w:t>
            </w:r>
          </w:p>
        </w:tc>
        <w:tc>
          <w:tcPr>
            <w:tcW w:w="906" w:type="pct"/>
            <w:tcBorders>
              <w:tl2br w:val="nil"/>
              <w:tr2bl w:val="nil"/>
            </w:tcBorders>
            <w:noWrap w:val="0"/>
            <w:vAlign w:val="center"/>
          </w:tcPr>
          <w:p w14:paraId="2A725B8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219FC2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4E7F5FC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70C0CAA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0.005</w:t>
            </w:r>
          </w:p>
        </w:tc>
        <w:tc>
          <w:tcPr>
            <w:tcW w:w="459" w:type="pct"/>
            <w:tcBorders>
              <w:tl2br w:val="nil"/>
              <w:tr2bl w:val="nil"/>
            </w:tcBorders>
            <w:noWrap w:val="0"/>
            <w:vAlign w:val="center"/>
          </w:tcPr>
          <w:p w14:paraId="23DA79D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7062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2F87A5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0A7890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铁</w:t>
            </w:r>
          </w:p>
        </w:tc>
        <w:tc>
          <w:tcPr>
            <w:tcW w:w="906" w:type="pct"/>
            <w:tcBorders>
              <w:tl2br w:val="nil"/>
              <w:tr2bl w:val="nil"/>
            </w:tcBorders>
            <w:noWrap w:val="0"/>
            <w:vAlign w:val="center"/>
          </w:tcPr>
          <w:p w14:paraId="5635F89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789570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05103E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22C7967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0.3</w:t>
            </w:r>
          </w:p>
        </w:tc>
        <w:tc>
          <w:tcPr>
            <w:tcW w:w="459" w:type="pct"/>
            <w:tcBorders>
              <w:tl2br w:val="nil"/>
              <w:tr2bl w:val="nil"/>
            </w:tcBorders>
            <w:noWrap w:val="0"/>
            <w:vAlign w:val="center"/>
          </w:tcPr>
          <w:p w14:paraId="635F47C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3298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073A0A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421740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锰</w:t>
            </w:r>
          </w:p>
        </w:tc>
        <w:tc>
          <w:tcPr>
            <w:tcW w:w="906" w:type="pct"/>
            <w:tcBorders>
              <w:tl2br w:val="nil"/>
              <w:tr2bl w:val="nil"/>
            </w:tcBorders>
            <w:noWrap w:val="0"/>
            <w:vAlign w:val="center"/>
          </w:tcPr>
          <w:p w14:paraId="7A86F18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F37FE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09A5008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4353225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0.10</w:t>
            </w:r>
          </w:p>
        </w:tc>
        <w:tc>
          <w:tcPr>
            <w:tcW w:w="459" w:type="pct"/>
            <w:tcBorders>
              <w:tl2br w:val="nil"/>
              <w:tr2bl w:val="nil"/>
            </w:tcBorders>
            <w:noWrap w:val="0"/>
            <w:vAlign w:val="center"/>
          </w:tcPr>
          <w:p w14:paraId="4C92580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0B2C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149F69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90B9C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溶解性总固体</w:t>
            </w:r>
          </w:p>
        </w:tc>
        <w:tc>
          <w:tcPr>
            <w:tcW w:w="906" w:type="pct"/>
            <w:tcBorders>
              <w:tl2br w:val="nil"/>
              <w:tr2bl w:val="nil"/>
            </w:tcBorders>
            <w:noWrap w:val="0"/>
            <w:vAlign w:val="center"/>
          </w:tcPr>
          <w:p w14:paraId="242D2C1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260</w:t>
            </w:r>
          </w:p>
        </w:tc>
        <w:tc>
          <w:tcPr>
            <w:tcW w:w="906" w:type="pct"/>
            <w:tcBorders>
              <w:tl2br w:val="nil"/>
              <w:tr2bl w:val="nil"/>
            </w:tcBorders>
            <w:noWrap w:val="0"/>
            <w:vAlign w:val="center"/>
          </w:tcPr>
          <w:p w14:paraId="58FF993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242</w:t>
            </w:r>
          </w:p>
        </w:tc>
        <w:tc>
          <w:tcPr>
            <w:tcW w:w="906" w:type="pct"/>
            <w:tcBorders>
              <w:tl2br w:val="nil"/>
              <w:tr2bl w:val="nil"/>
            </w:tcBorders>
            <w:noWrap w:val="0"/>
            <w:vAlign w:val="center"/>
          </w:tcPr>
          <w:p w14:paraId="26AC2A9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253</w:t>
            </w:r>
          </w:p>
        </w:tc>
        <w:tc>
          <w:tcPr>
            <w:tcW w:w="571" w:type="pct"/>
            <w:tcBorders>
              <w:tl2br w:val="nil"/>
              <w:tr2bl w:val="nil"/>
            </w:tcBorders>
            <w:noWrap w:val="0"/>
            <w:vAlign w:val="center"/>
          </w:tcPr>
          <w:p w14:paraId="00F253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1000</w:t>
            </w:r>
          </w:p>
        </w:tc>
        <w:tc>
          <w:tcPr>
            <w:tcW w:w="459" w:type="pct"/>
            <w:tcBorders>
              <w:tl2br w:val="nil"/>
              <w:tr2bl w:val="nil"/>
            </w:tcBorders>
            <w:noWrap w:val="0"/>
            <w:vAlign w:val="center"/>
          </w:tcPr>
          <w:p w14:paraId="721784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1E3A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4B268C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24F4F9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耗氧量</w:t>
            </w:r>
          </w:p>
        </w:tc>
        <w:tc>
          <w:tcPr>
            <w:tcW w:w="906" w:type="pct"/>
            <w:tcBorders>
              <w:tl2br w:val="nil"/>
              <w:tr2bl w:val="nil"/>
            </w:tcBorders>
            <w:noWrap w:val="0"/>
            <w:vAlign w:val="center"/>
          </w:tcPr>
          <w:p w14:paraId="0225519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1.3</w:t>
            </w:r>
          </w:p>
        </w:tc>
        <w:tc>
          <w:tcPr>
            <w:tcW w:w="906" w:type="pct"/>
            <w:tcBorders>
              <w:tl2br w:val="nil"/>
              <w:tr2bl w:val="nil"/>
            </w:tcBorders>
            <w:noWrap w:val="0"/>
            <w:vAlign w:val="center"/>
          </w:tcPr>
          <w:p w14:paraId="76E631E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1.3</w:t>
            </w:r>
          </w:p>
        </w:tc>
        <w:tc>
          <w:tcPr>
            <w:tcW w:w="906" w:type="pct"/>
            <w:tcBorders>
              <w:tl2br w:val="nil"/>
              <w:tr2bl w:val="nil"/>
            </w:tcBorders>
            <w:noWrap w:val="0"/>
            <w:vAlign w:val="center"/>
          </w:tcPr>
          <w:p w14:paraId="44E462A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1.1</w:t>
            </w:r>
          </w:p>
        </w:tc>
        <w:tc>
          <w:tcPr>
            <w:tcW w:w="571" w:type="pct"/>
            <w:tcBorders>
              <w:tl2br w:val="nil"/>
              <w:tr2bl w:val="nil"/>
            </w:tcBorders>
            <w:noWrap w:val="0"/>
            <w:vAlign w:val="center"/>
          </w:tcPr>
          <w:p w14:paraId="6D561CA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61B90E2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B5C2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42575B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7A255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硫酸盐（SO4</w:t>
            </w:r>
            <w:r>
              <w:rPr>
                <w:rFonts w:hint="default" w:ascii="Times New Roman" w:hAnsi="Times New Roman" w:eastAsia="宋体" w:cs="Times New Roman"/>
                <w:sz w:val="21"/>
                <w:szCs w:val="21"/>
                <w:vertAlign w:val="superscript"/>
                <w:lang w:eastAsia="zh-CN"/>
              </w:rPr>
              <w:t>2-</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7765C1A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6.90</w:t>
            </w:r>
          </w:p>
        </w:tc>
        <w:tc>
          <w:tcPr>
            <w:tcW w:w="906" w:type="pct"/>
            <w:tcBorders>
              <w:tl2br w:val="nil"/>
              <w:tr2bl w:val="nil"/>
            </w:tcBorders>
            <w:noWrap w:val="0"/>
            <w:vAlign w:val="center"/>
          </w:tcPr>
          <w:p w14:paraId="3652AFE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6.81</w:t>
            </w:r>
          </w:p>
        </w:tc>
        <w:tc>
          <w:tcPr>
            <w:tcW w:w="906" w:type="pct"/>
            <w:tcBorders>
              <w:tl2br w:val="nil"/>
              <w:tr2bl w:val="nil"/>
            </w:tcBorders>
            <w:noWrap w:val="0"/>
            <w:vAlign w:val="center"/>
          </w:tcPr>
          <w:p w14:paraId="40B5BF4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6.85</w:t>
            </w:r>
          </w:p>
        </w:tc>
        <w:tc>
          <w:tcPr>
            <w:tcW w:w="571" w:type="pct"/>
            <w:tcBorders>
              <w:tl2br w:val="nil"/>
              <w:tr2bl w:val="nil"/>
            </w:tcBorders>
            <w:noWrap w:val="0"/>
            <w:vAlign w:val="center"/>
          </w:tcPr>
          <w:p w14:paraId="193E55F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07597DE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7040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15D92F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51350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氯化物（CL</w:t>
            </w:r>
            <w:r>
              <w:rPr>
                <w:rFonts w:hint="default" w:ascii="Times New Roman" w:hAnsi="Times New Roman" w:eastAsia="宋体" w:cs="Times New Roman"/>
                <w:sz w:val="21"/>
                <w:szCs w:val="21"/>
                <w:vertAlign w:val="superscript"/>
                <w:lang w:eastAsia="zh-CN"/>
              </w:rPr>
              <w:t>-</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2A7F2CB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11.4</w:t>
            </w:r>
          </w:p>
        </w:tc>
        <w:tc>
          <w:tcPr>
            <w:tcW w:w="906" w:type="pct"/>
            <w:tcBorders>
              <w:tl2br w:val="nil"/>
              <w:tr2bl w:val="nil"/>
            </w:tcBorders>
            <w:noWrap w:val="0"/>
            <w:vAlign w:val="center"/>
          </w:tcPr>
          <w:p w14:paraId="4084010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11.2</w:t>
            </w:r>
          </w:p>
        </w:tc>
        <w:tc>
          <w:tcPr>
            <w:tcW w:w="906" w:type="pct"/>
            <w:tcBorders>
              <w:tl2br w:val="nil"/>
              <w:tr2bl w:val="nil"/>
            </w:tcBorders>
            <w:noWrap w:val="0"/>
            <w:vAlign w:val="center"/>
          </w:tcPr>
          <w:p w14:paraId="7AD7914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12.0</w:t>
            </w:r>
          </w:p>
        </w:tc>
        <w:tc>
          <w:tcPr>
            <w:tcW w:w="571" w:type="pct"/>
            <w:tcBorders>
              <w:tl2br w:val="nil"/>
              <w:tr2bl w:val="nil"/>
            </w:tcBorders>
            <w:noWrap w:val="0"/>
            <w:vAlign w:val="center"/>
          </w:tcPr>
          <w:p w14:paraId="70EEA7F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5B8CAF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D1E7D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31644E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3FE332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总大肠菌群</w:t>
            </w:r>
          </w:p>
        </w:tc>
        <w:tc>
          <w:tcPr>
            <w:tcW w:w="906" w:type="pct"/>
            <w:tcBorders>
              <w:tl2br w:val="nil"/>
              <w:tr2bl w:val="nil"/>
            </w:tcBorders>
            <w:noWrap w:val="0"/>
            <w:vAlign w:val="center"/>
          </w:tcPr>
          <w:p w14:paraId="57A2049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未检出</w:t>
            </w:r>
          </w:p>
        </w:tc>
        <w:tc>
          <w:tcPr>
            <w:tcW w:w="906" w:type="pct"/>
            <w:tcBorders>
              <w:tl2br w:val="nil"/>
              <w:tr2bl w:val="nil"/>
            </w:tcBorders>
            <w:noWrap w:val="0"/>
            <w:vAlign w:val="center"/>
          </w:tcPr>
          <w:p w14:paraId="0FA1F1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未检出</w:t>
            </w:r>
          </w:p>
        </w:tc>
        <w:tc>
          <w:tcPr>
            <w:tcW w:w="906" w:type="pct"/>
            <w:tcBorders>
              <w:tl2br w:val="nil"/>
              <w:tr2bl w:val="nil"/>
            </w:tcBorders>
            <w:noWrap w:val="0"/>
            <w:vAlign w:val="center"/>
          </w:tcPr>
          <w:p w14:paraId="670588E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未检出</w:t>
            </w:r>
          </w:p>
        </w:tc>
        <w:tc>
          <w:tcPr>
            <w:tcW w:w="571" w:type="pct"/>
            <w:tcBorders>
              <w:tl2br w:val="nil"/>
              <w:tr2bl w:val="nil"/>
            </w:tcBorders>
            <w:noWrap w:val="0"/>
            <w:vAlign w:val="center"/>
          </w:tcPr>
          <w:p w14:paraId="7949A9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0DB79F5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010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DE40E6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5A98CD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菌落总数</w:t>
            </w:r>
          </w:p>
        </w:tc>
        <w:tc>
          <w:tcPr>
            <w:tcW w:w="906" w:type="pct"/>
            <w:tcBorders>
              <w:tl2br w:val="nil"/>
              <w:tr2bl w:val="nil"/>
            </w:tcBorders>
            <w:noWrap w:val="0"/>
            <w:vAlign w:val="center"/>
          </w:tcPr>
          <w:p w14:paraId="5354FC1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15</w:t>
            </w:r>
          </w:p>
        </w:tc>
        <w:tc>
          <w:tcPr>
            <w:tcW w:w="906" w:type="pct"/>
            <w:tcBorders>
              <w:tl2br w:val="nil"/>
              <w:tr2bl w:val="nil"/>
            </w:tcBorders>
            <w:noWrap w:val="0"/>
            <w:vAlign w:val="center"/>
          </w:tcPr>
          <w:p w14:paraId="1F86B6E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18</w:t>
            </w:r>
          </w:p>
        </w:tc>
        <w:tc>
          <w:tcPr>
            <w:tcW w:w="906" w:type="pct"/>
            <w:tcBorders>
              <w:tl2br w:val="nil"/>
              <w:tr2bl w:val="nil"/>
            </w:tcBorders>
            <w:noWrap w:val="0"/>
            <w:vAlign w:val="center"/>
          </w:tcPr>
          <w:p w14:paraId="18F4FB5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16</w:t>
            </w:r>
          </w:p>
        </w:tc>
        <w:tc>
          <w:tcPr>
            <w:tcW w:w="571" w:type="pct"/>
            <w:tcBorders>
              <w:tl2br w:val="nil"/>
              <w:tr2bl w:val="nil"/>
            </w:tcBorders>
            <w:noWrap w:val="0"/>
            <w:vAlign w:val="center"/>
          </w:tcPr>
          <w:p w14:paraId="10322C4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0711EB0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8870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596CC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5432A0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K</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5892DA0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0.85</w:t>
            </w:r>
          </w:p>
        </w:tc>
        <w:tc>
          <w:tcPr>
            <w:tcW w:w="906" w:type="pct"/>
            <w:tcBorders>
              <w:tl2br w:val="nil"/>
              <w:tr2bl w:val="nil"/>
            </w:tcBorders>
            <w:noWrap w:val="0"/>
            <w:vAlign w:val="center"/>
          </w:tcPr>
          <w:p w14:paraId="0B0271A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0.81</w:t>
            </w:r>
          </w:p>
        </w:tc>
        <w:tc>
          <w:tcPr>
            <w:tcW w:w="906" w:type="pct"/>
            <w:tcBorders>
              <w:tl2br w:val="nil"/>
              <w:tr2bl w:val="nil"/>
            </w:tcBorders>
            <w:noWrap w:val="0"/>
            <w:vAlign w:val="center"/>
          </w:tcPr>
          <w:p w14:paraId="0F856D5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0.83</w:t>
            </w:r>
          </w:p>
        </w:tc>
        <w:tc>
          <w:tcPr>
            <w:tcW w:w="571" w:type="pct"/>
            <w:tcBorders>
              <w:tl2br w:val="nil"/>
              <w:tr2bl w:val="nil"/>
            </w:tcBorders>
            <w:noWrap w:val="0"/>
            <w:vAlign w:val="center"/>
          </w:tcPr>
          <w:p w14:paraId="239370A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5830E0D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4294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175F21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F4F7EE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Na</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6E40230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1.26</w:t>
            </w:r>
          </w:p>
        </w:tc>
        <w:tc>
          <w:tcPr>
            <w:tcW w:w="906" w:type="pct"/>
            <w:tcBorders>
              <w:tl2br w:val="nil"/>
              <w:tr2bl w:val="nil"/>
            </w:tcBorders>
            <w:noWrap w:val="0"/>
            <w:vAlign w:val="center"/>
          </w:tcPr>
          <w:p w14:paraId="5F2274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1.21</w:t>
            </w:r>
          </w:p>
        </w:tc>
        <w:tc>
          <w:tcPr>
            <w:tcW w:w="906" w:type="pct"/>
            <w:tcBorders>
              <w:tl2br w:val="nil"/>
              <w:tr2bl w:val="nil"/>
            </w:tcBorders>
            <w:noWrap w:val="0"/>
            <w:vAlign w:val="center"/>
          </w:tcPr>
          <w:p w14:paraId="6C0E37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1.22</w:t>
            </w:r>
          </w:p>
        </w:tc>
        <w:tc>
          <w:tcPr>
            <w:tcW w:w="571" w:type="pct"/>
            <w:tcBorders>
              <w:tl2br w:val="nil"/>
              <w:tr2bl w:val="nil"/>
            </w:tcBorders>
            <w:noWrap w:val="0"/>
            <w:vAlign w:val="center"/>
          </w:tcPr>
          <w:p w14:paraId="14C0A9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39974D6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7CB5F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0EA09F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66EEA3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Ca</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7D4F12D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87</w:t>
            </w:r>
          </w:p>
        </w:tc>
        <w:tc>
          <w:tcPr>
            <w:tcW w:w="906" w:type="pct"/>
            <w:tcBorders>
              <w:tl2br w:val="nil"/>
              <w:tr2bl w:val="nil"/>
            </w:tcBorders>
            <w:noWrap w:val="0"/>
            <w:vAlign w:val="center"/>
          </w:tcPr>
          <w:p w14:paraId="50BCA38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81</w:t>
            </w:r>
          </w:p>
        </w:tc>
        <w:tc>
          <w:tcPr>
            <w:tcW w:w="906" w:type="pct"/>
            <w:tcBorders>
              <w:tl2br w:val="nil"/>
              <w:tr2bl w:val="nil"/>
            </w:tcBorders>
            <w:noWrap w:val="0"/>
            <w:vAlign w:val="center"/>
          </w:tcPr>
          <w:p w14:paraId="76BAC8E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85</w:t>
            </w:r>
          </w:p>
        </w:tc>
        <w:tc>
          <w:tcPr>
            <w:tcW w:w="571" w:type="pct"/>
            <w:tcBorders>
              <w:tl2br w:val="nil"/>
              <w:tr2bl w:val="nil"/>
            </w:tcBorders>
            <w:noWrap w:val="0"/>
            <w:vAlign w:val="center"/>
          </w:tcPr>
          <w:p w14:paraId="1F2A914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2B95F42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C93F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E5DFBD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AEA596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Mg</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223BC04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3A2E91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5B8B5E9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2DC9D16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70844D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E4A6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676C76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0BCEB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0291EEA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3F1791D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190D5BF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76E0A4C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37A8975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3D1B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02A1E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07CA3D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HCO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2C4ACA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168</w:t>
            </w:r>
          </w:p>
        </w:tc>
        <w:tc>
          <w:tcPr>
            <w:tcW w:w="906" w:type="pct"/>
            <w:tcBorders>
              <w:tl2br w:val="nil"/>
              <w:tr2bl w:val="nil"/>
            </w:tcBorders>
            <w:noWrap w:val="0"/>
            <w:vAlign w:val="center"/>
          </w:tcPr>
          <w:p w14:paraId="2A158ED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165</w:t>
            </w:r>
          </w:p>
        </w:tc>
        <w:tc>
          <w:tcPr>
            <w:tcW w:w="906" w:type="pct"/>
            <w:tcBorders>
              <w:tl2br w:val="nil"/>
              <w:tr2bl w:val="nil"/>
            </w:tcBorders>
            <w:noWrap w:val="0"/>
            <w:vAlign w:val="center"/>
          </w:tcPr>
          <w:p w14:paraId="46905B3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166</w:t>
            </w:r>
          </w:p>
        </w:tc>
        <w:tc>
          <w:tcPr>
            <w:tcW w:w="571" w:type="pct"/>
            <w:tcBorders>
              <w:tl2br w:val="nil"/>
              <w:tr2bl w:val="nil"/>
            </w:tcBorders>
            <w:noWrap w:val="0"/>
            <w:vAlign w:val="center"/>
          </w:tcPr>
          <w:p w14:paraId="32A0E1E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27523B3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06D8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restart"/>
            <w:tcBorders>
              <w:tl2br w:val="nil"/>
              <w:tr2bl w:val="nil"/>
            </w:tcBorders>
            <w:noWrap w:val="0"/>
            <w:vAlign w:val="center"/>
          </w:tcPr>
          <w:p w14:paraId="15E1020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D3东侧380米处新邹家水井</w:t>
            </w:r>
          </w:p>
        </w:tc>
        <w:tc>
          <w:tcPr>
            <w:tcW w:w="704" w:type="pct"/>
            <w:tcBorders>
              <w:tl2br w:val="nil"/>
              <w:tr2bl w:val="nil"/>
            </w:tcBorders>
            <w:noWrap w:val="0"/>
            <w:vAlign w:val="center"/>
          </w:tcPr>
          <w:p w14:paraId="54D33EF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pH 值</w:t>
            </w:r>
          </w:p>
        </w:tc>
        <w:tc>
          <w:tcPr>
            <w:tcW w:w="906" w:type="pct"/>
            <w:tcBorders>
              <w:tl2br w:val="nil"/>
              <w:tr2bl w:val="nil"/>
            </w:tcBorders>
            <w:noWrap w:val="0"/>
            <w:vAlign w:val="center"/>
          </w:tcPr>
          <w:p w14:paraId="1A0CE49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7.3</w:t>
            </w:r>
          </w:p>
        </w:tc>
        <w:tc>
          <w:tcPr>
            <w:tcW w:w="906" w:type="pct"/>
            <w:tcBorders>
              <w:tl2br w:val="nil"/>
              <w:tr2bl w:val="nil"/>
            </w:tcBorders>
            <w:noWrap w:val="0"/>
            <w:vAlign w:val="center"/>
          </w:tcPr>
          <w:p w14:paraId="652F431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7.3</w:t>
            </w:r>
          </w:p>
        </w:tc>
        <w:tc>
          <w:tcPr>
            <w:tcW w:w="906" w:type="pct"/>
            <w:tcBorders>
              <w:tl2br w:val="nil"/>
              <w:tr2bl w:val="nil"/>
            </w:tcBorders>
            <w:noWrap w:val="0"/>
            <w:vAlign w:val="center"/>
          </w:tcPr>
          <w:p w14:paraId="550DFC1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7.1</w:t>
            </w:r>
          </w:p>
        </w:tc>
        <w:tc>
          <w:tcPr>
            <w:tcW w:w="571" w:type="pct"/>
            <w:tcBorders>
              <w:tl2br w:val="nil"/>
              <w:tr2bl w:val="nil"/>
            </w:tcBorders>
            <w:noWrap w:val="0"/>
            <w:vAlign w:val="center"/>
          </w:tcPr>
          <w:p w14:paraId="18F1083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6.5-8.5</w:t>
            </w:r>
          </w:p>
        </w:tc>
        <w:tc>
          <w:tcPr>
            <w:tcW w:w="459" w:type="pct"/>
            <w:tcBorders>
              <w:tl2br w:val="nil"/>
              <w:tr2bl w:val="nil"/>
            </w:tcBorders>
            <w:noWrap w:val="0"/>
            <w:vAlign w:val="center"/>
          </w:tcPr>
          <w:p w14:paraId="41333A0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C5EE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5070FB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sz w:val="21"/>
                <w:szCs w:val="21"/>
                <w:lang w:val="en-US" w:eastAsia="zh-CN"/>
              </w:rPr>
            </w:pPr>
          </w:p>
        </w:tc>
        <w:tc>
          <w:tcPr>
            <w:tcW w:w="704" w:type="pct"/>
            <w:tcBorders>
              <w:tl2br w:val="nil"/>
              <w:tr2bl w:val="nil"/>
            </w:tcBorders>
            <w:noWrap w:val="0"/>
            <w:vAlign w:val="center"/>
          </w:tcPr>
          <w:p w14:paraId="2E4BDDA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石油类</w:t>
            </w:r>
          </w:p>
        </w:tc>
        <w:tc>
          <w:tcPr>
            <w:tcW w:w="906" w:type="pct"/>
            <w:tcBorders>
              <w:tl2br w:val="nil"/>
              <w:tr2bl w:val="nil"/>
            </w:tcBorders>
            <w:noWrap w:val="0"/>
            <w:vAlign w:val="center"/>
          </w:tcPr>
          <w:p w14:paraId="3E87CA5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5838E19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31D474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571" w:type="pct"/>
            <w:tcBorders>
              <w:tl2br w:val="nil"/>
              <w:tr2bl w:val="nil"/>
            </w:tcBorders>
            <w:noWrap w:val="0"/>
            <w:vAlign w:val="center"/>
          </w:tcPr>
          <w:p w14:paraId="2E01BFE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w:t>
            </w:r>
          </w:p>
        </w:tc>
        <w:tc>
          <w:tcPr>
            <w:tcW w:w="459" w:type="pct"/>
            <w:tcBorders>
              <w:tl2br w:val="nil"/>
              <w:tr2bl w:val="nil"/>
            </w:tcBorders>
            <w:noWrap w:val="0"/>
            <w:vAlign w:val="center"/>
          </w:tcPr>
          <w:p w14:paraId="61CD05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4BF60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79331F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D4F6B5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氨氮</w:t>
            </w:r>
          </w:p>
        </w:tc>
        <w:tc>
          <w:tcPr>
            <w:tcW w:w="906" w:type="pct"/>
            <w:tcBorders>
              <w:tl2br w:val="nil"/>
              <w:tr2bl w:val="nil"/>
            </w:tcBorders>
            <w:noWrap w:val="0"/>
            <w:vAlign w:val="center"/>
          </w:tcPr>
          <w:p w14:paraId="5D4FD9B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0FE66BC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38663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1B10B50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0.50</w:t>
            </w:r>
          </w:p>
        </w:tc>
        <w:tc>
          <w:tcPr>
            <w:tcW w:w="459" w:type="pct"/>
            <w:tcBorders>
              <w:tl2br w:val="nil"/>
              <w:tr2bl w:val="nil"/>
            </w:tcBorders>
            <w:noWrap w:val="0"/>
            <w:vAlign w:val="center"/>
          </w:tcPr>
          <w:p w14:paraId="5F6E7C3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7DCE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963DA2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289DDC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硝酸盐</w:t>
            </w:r>
          </w:p>
        </w:tc>
        <w:tc>
          <w:tcPr>
            <w:tcW w:w="906" w:type="pct"/>
            <w:tcBorders>
              <w:tl2br w:val="nil"/>
              <w:tr2bl w:val="nil"/>
            </w:tcBorders>
            <w:noWrap w:val="0"/>
            <w:vAlign w:val="center"/>
          </w:tcPr>
          <w:p w14:paraId="13C8CDC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1.60</w:t>
            </w:r>
          </w:p>
        </w:tc>
        <w:tc>
          <w:tcPr>
            <w:tcW w:w="906" w:type="pct"/>
            <w:tcBorders>
              <w:tl2br w:val="nil"/>
              <w:tr2bl w:val="nil"/>
            </w:tcBorders>
            <w:noWrap w:val="0"/>
            <w:vAlign w:val="center"/>
          </w:tcPr>
          <w:p w14:paraId="1E8D0A9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1.74</w:t>
            </w:r>
          </w:p>
        </w:tc>
        <w:tc>
          <w:tcPr>
            <w:tcW w:w="906" w:type="pct"/>
            <w:tcBorders>
              <w:tl2br w:val="nil"/>
              <w:tr2bl w:val="nil"/>
            </w:tcBorders>
            <w:noWrap w:val="0"/>
            <w:vAlign w:val="center"/>
          </w:tcPr>
          <w:p w14:paraId="50E2BA3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1.71</w:t>
            </w:r>
          </w:p>
        </w:tc>
        <w:tc>
          <w:tcPr>
            <w:tcW w:w="571" w:type="pct"/>
            <w:tcBorders>
              <w:tl2br w:val="nil"/>
              <w:tr2bl w:val="nil"/>
            </w:tcBorders>
            <w:noWrap w:val="0"/>
            <w:vAlign w:val="center"/>
          </w:tcPr>
          <w:p w14:paraId="5B48360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5405793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485E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BE99B2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2EC88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亚硝酸盐</w:t>
            </w:r>
          </w:p>
        </w:tc>
        <w:tc>
          <w:tcPr>
            <w:tcW w:w="906" w:type="pct"/>
            <w:tcBorders>
              <w:tl2br w:val="nil"/>
              <w:tr2bl w:val="nil"/>
            </w:tcBorders>
            <w:noWrap w:val="0"/>
            <w:vAlign w:val="center"/>
          </w:tcPr>
          <w:p w14:paraId="50BF85E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14A8835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412C4B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67C049F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315BDF6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4EC5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602DC0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7B3F54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挥发性酚类</w:t>
            </w:r>
          </w:p>
        </w:tc>
        <w:tc>
          <w:tcPr>
            <w:tcW w:w="906" w:type="pct"/>
            <w:tcBorders>
              <w:tl2br w:val="nil"/>
              <w:tr2bl w:val="nil"/>
            </w:tcBorders>
            <w:noWrap w:val="0"/>
            <w:vAlign w:val="center"/>
          </w:tcPr>
          <w:p w14:paraId="692C3ED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3AF88D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08FBFA8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5669605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0.002</w:t>
            </w:r>
          </w:p>
        </w:tc>
        <w:tc>
          <w:tcPr>
            <w:tcW w:w="459" w:type="pct"/>
            <w:tcBorders>
              <w:tl2br w:val="nil"/>
              <w:tr2bl w:val="nil"/>
            </w:tcBorders>
            <w:noWrap w:val="0"/>
            <w:vAlign w:val="center"/>
          </w:tcPr>
          <w:p w14:paraId="46AE98A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96B3C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6C875B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CA1F03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氰化物</w:t>
            </w:r>
          </w:p>
        </w:tc>
        <w:tc>
          <w:tcPr>
            <w:tcW w:w="906" w:type="pct"/>
            <w:tcBorders>
              <w:tl2br w:val="nil"/>
              <w:tr2bl w:val="nil"/>
            </w:tcBorders>
            <w:noWrap w:val="0"/>
            <w:vAlign w:val="center"/>
          </w:tcPr>
          <w:p w14:paraId="130222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0EBAFEB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1646CAD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1AB29E6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6DD2065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F81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2E8A65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FAD507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阴离子表面活性剂</w:t>
            </w:r>
          </w:p>
        </w:tc>
        <w:tc>
          <w:tcPr>
            <w:tcW w:w="906" w:type="pct"/>
            <w:tcBorders>
              <w:tl2br w:val="nil"/>
              <w:tr2bl w:val="nil"/>
            </w:tcBorders>
            <w:noWrap w:val="0"/>
            <w:vAlign w:val="center"/>
          </w:tcPr>
          <w:p w14:paraId="39CD79F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12258C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5D1CD68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1487833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0.3</w:t>
            </w:r>
          </w:p>
        </w:tc>
        <w:tc>
          <w:tcPr>
            <w:tcW w:w="459" w:type="pct"/>
            <w:tcBorders>
              <w:tl2br w:val="nil"/>
              <w:tr2bl w:val="nil"/>
            </w:tcBorders>
            <w:noWrap w:val="0"/>
            <w:vAlign w:val="center"/>
          </w:tcPr>
          <w:p w14:paraId="7C0CCA5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0CEF55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05399E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C0A81E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砷</w:t>
            </w:r>
          </w:p>
        </w:tc>
        <w:tc>
          <w:tcPr>
            <w:tcW w:w="906" w:type="pct"/>
            <w:tcBorders>
              <w:tl2br w:val="nil"/>
              <w:tr2bl w:val="nil"/>
            </w:tcBorders>
            <w:noWrap w:val="0"/>
            <w:vAlign w:val="center"/>
          </w:tcPr>
          <w:p w14:paraId="02B2BFB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7F0591E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CDFC40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22A5720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0510ED9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B74C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22DC9B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BB05E2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汞</w:t>
            </w:r>
          </w:p>
        </w:tc>
        <w:tc>
          <w:tcPr>
            <w:tcW w:w="906" w:type="pct"/>
            <w:tcBorders>
              <w:tl2br w:val="nil"/>
              <w:tr2bl w:val="nil"/>
            </w:tcBorders>
            <w:noWrap w:val="0"/>
            <w:vAlign w:val="center"/>
          </w:tcPr>
          <w:p w14:paraId="4C5B668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1CBE185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0E237C5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7E1F6A1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0.001</w:t>
            </w:r>
          </w:p>
        </w:tc>
        <w:tc>
          <w:tcPr>
            <w:tcW w:w="459" w:type="pct"/>
            <w:tcBorders>
              <w:tl2br w:val="nil"/>
              <w:tr2bl w:val="nil"/>
            </w:tcBorders>
            <w:noWrap w:val="0"/>
            <w:vAlign w:val="center"/>
          </w:tcPr>
          <w:p w14:paraId="3CCC208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7C7A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BB64D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F3B52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六价铬</w:t>
            </w:r>
          </w:p>
        </w:tc>
        <w:tc>
          <w:tcPr>
            <w:tcW w:w="906" w:type="pct"/>
            <w:tcBorders>
              <w:tl2br w:val="nil"/>
              <w:tr2bl w:val="nil"/>
            </w:tcBorders>
            <w:noWrap w:val="0"/>
            <w:vAlign w:val="center"/>
          </w:tcPr>
          <w:p w14:paraId="20F21A4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710ACD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6FEEA1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12A3A82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03BF925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823D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FE8849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7721BF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总硬度</w:t>
            </w:r>
          </w:p>
        </w:tc>
        <w:tc>
          <w:tcPr>
            <w:tcW w:w="906" w:type="pct"/>
            <w:tcBorders>
              <w:tl2br w:val="nil"/>
              <w:tr2bl w:val="nil"/>
            </w:tcBorders>
            <w:noWrap w:val="0"/>
            <w:vAlign w:val="center"/>
          </w:tcPr>
          <w:p w14:paraId="1A274AD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135</w:t>
            </w:r>
          </w:p>
        </w:tc>
        <w:tc>
          <w:tcPr>
            <w:tcW w:w="906" w:type="pct"/>
            <w:tcBorders>
              <w:tl2br w:val="nil"/>
              <w:tr2bl w:val="nil"/>
            </w:tcBorders>
            <w:noWrap w:val="0"/>
            <w:vAlign w:val="center"/>
          </w:tcPr>
          <w:p w14:paraId="3A400D1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130</w:t>
            </w:r>
          </w:p>
        </w:tc>
        <w:tc>
          <w:tcPr>
            <w:tcW w:w="906" w:type="pct"/>
            <w:tcBorders>
              <w:tl2br w:val="nil"/>
              <w:tr2bl w:val="nil"/>
            </w:tcBorders>
            <w:noWrap w:val="0"/>
            <w:vAlign w:val="center"/>
          </w:tcPr>
          <w:p w14:paraId="54077B1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141</w:t>
            </w:r>
          </w:p>
        </w:tc>
        <w:tc>
          <w:tcPr>
            <w:tcW w:w="571" w:type="pct"/>
            <w:tcBorders>
              <w:tl2br w:val="nil"/>
              <w:tr2bl w:val="nil"/>
            </w:tcBorders>
            <w:noWrap w:val="0"/>
            <w:vAlign w:val="center"/>
          </w:tcPr>
          <w:p w14:paraId="6966924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450</w:t>
            </w:r>
          </w:p>
        </w:tc>
        <w:tc>
          <w:tcPr>
            <w:tcW w:w="459" w:type="pct"/>
            <w:tcBorders>
              <w:tl2br w:val="nil"/>
              <w:tr2bl w:val="nil"/>
            </w:tcBorders>
            <w:noWrap w:val="0"/>
            <w:vAlign w:val="center"/>
          </w:tcPr>
          <w:p w14:paraId="30E44D9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D8EF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7AC82E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9FEB7C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铅</w:t>
            </w:r>
          </w:p>
        </w:tc>
        <w:tc>
          <w:tcPr>
            <w:tcW w:w="906" w:type="pct"/>
            <w:tcBorders>
              <w:tl2br w:val="nil"/>
              <w:tr2bl w:val="nil"/>
            </w:tcBorders>
            <w:noWrap w:val="0"/>
            <w:vAlign w:val="center"/>
          </w:tcPr>
          <w:p w14:paraId="2B88C55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C9EA4E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1369B0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2AE8473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74AA666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D1A7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424B47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AD87B9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氟化物</w:t>
            </w:r>
          </w:p>
        </w:tc>
        <w:tc>
          <w:tcPr>
            <w:tcW w:w="906" w:type="pct"/>
            <w:tcBorders>
              <w:tl2br w:val="nil"/>
              <w:tr2bl w:val="nil"/>
            </w:tcBorders>
            <w:noWrap w:val="0"/>
            <w:vAlign w:val="center"/>
          </w:tcPr>
          <w:p w14:paraId="2EF5748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0.162</w:t>
            </w:r>
          </w:p>
        </w:tc>
        <w:tc>
          <w:tcPr>
            <w:tcW w:w="906" w:type="pct"/>
            <w:tcBorders>
              <w:tl2br w:val="nil"/>
              <w:tr2bl w:val="nil"/>
            </w:tcBorders>
            <w:noWrap w:val="0"/>
            <w:vAlign w:val="center"/>
          </w:tcPr>
          <w:p w14:paraId="55A2050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0.115</w:t>
            </w:r>
          </w:p>
        </w:tc>
        <w:tc>
          <w:tcPr>
            <w:tcW w:w="906" w:type="pct"/>
            <w:tcBorders>
              <w:tl2br w:val="nil"/>
              <w:tr2bl w:val="nil"/>
            </w:tcBorders>
            <w:noWrap w:val="0"/>
            <w:vAlign w:val="center"/>
          </w:tcPr>
          <w:p w14:paraId="6BFC78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0.143</w:t>
            </w:r>
          </w:p>
        </w:tc>
        <w:tc>
          <w:tcPr>
            <w:tcW w:w="571" w:type="pct"/>
            <w:tcBorders>
              <w:tl2br w:val="nil"/>
              <w:tr2bl w:val="nil"/>
            </w:tcBorders>
            <w:noWrap w:val="0"/>
            <w:vAlign w:val="center"/>
          </w:tcPr>
          <w:p w14:paraId="2D7282D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w:t>
            </w:r>
          </w:p>
        </w:tc>
        <w:tc>
          <w:tcPr>
            <w:tcW w:w="459" w:type="pct"/>
            <w:tcBorders>
              <w:tl2br w:val="nil"/>
              <w:tr2bl w:val="nil"/>
            </w:tcBorders>
            <w:noWrap w:val="0"/>
            <w:vAlign w:val="center"/>
          </w:tcPr>
          <w:p w14:paraId="72EE60A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FA05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2C545E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13A609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镉</w:t>
            </w:r>
          </w:p>
        </w:tc>
        <w:tc>
          <w:tcPr>
            <w:tcW w:w="906" w:type="pct"/>
            <w:tcBorders>
              <w:tl2br w:val="nil"/>
              <w:tr2bl w:val="nil"/>
            </w:tcBorders>
            <w:noWrap w:val="0"/>
            <w:vAlign w:val="center"/>
          </w:tcPr>
          <w:p w14:paraId="32FE91E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2FE0DB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AD539F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7ABEB77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0.005</w:t>
            </w:r>
          </w:p>
        </w:tc>
        <w:tc>
          <w:tcPr>
            <w:tcW w:w="459" w:type="pct"/>
            <w:tcBorders>
              <w:tl2br w:val="nil"/>
              <w:tr2bl w:val="nil"/>
            </w:tcBorders>
            <w:noWrap w:val="0"/>
            <w:vAlign w:val="center"/>
          </w:tcPr>
          <w:p w14:paraId="757FBEA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E3A2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3877A6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F6EBED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铁</w:t>
            </w:r>
          </w:p>
        </w:tc>
        <w:tc>
          <w:tcPr>
            <w:tcW w:w="906" w:type="pct"/>
            <w:tcBorders>
              <w:tl2br w:val="nil"/>
              <w:tr2bl w:val="nil"/>
            </w:tcBorders>
            <w:noWrap w:val="0"/>
            <w:vAlign w:val="center"/>
          </w:tcPr>
          <w:p w14:paraId="1CC44DA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35261A3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45E9108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1C8315C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0.3</w:t>
            </w:r>
          </w:p>
        </w:tc>
        <w:tc>
          <w:tcPr>
            <w:tcW w:w="459" w:type="pct"/>
            <w:tcBorders>
              <w:tl2br w:val="nil"/>
              <w:tr2bl w:val="nil"/>
            </w:tcBorders>
            <w:noWrap w:val="0"/>
            <w:vAlign w:val="center"/>
          </w:tcPr>
          <w:p w14:paraId="58C95A8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712A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EE73E8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C8445E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锰</w:t>
            </w:r>
          </w:p>
        </w:tc>
        <w:tc>
          <w:tcPr>
            <w:tcW w:w="906" w:type="pct"/>
            <w:tcBorders>
              <w:tl2br w:val="nil"/>
              <w:tr2bl w:val="nil"/>
            </w:tcBorders>
            <w:noWrap w:val="0"/>
            <w:vAlign w:val="center"/>
          </w:tcPr>
          <w:p w14:paraId="454C372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072810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5EB977F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3273609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0.10</w:t>
            </w:r>
          </w:p>
        </w:tc>
        <w:tc>
          <w:tcPr>
            <w:tcW w:w="459" w:type="pct"/>
            <w:tcBorders>
              <w:tl2br w:val="nil"/>
              <w:tr2bl w:val="nil"/>
            </w:tcBorders>
            <w:noWrap w:val="0"/>
            <w:vAlign w:val="center"/>
          </w:tcPr>
          <w:p w14:paraId="3C65DC3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57F2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BB1ACE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108D8D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溶解性总固体</w:t>
            </w:r>
          </w:p>
        </w:tc>
        <w:tc>
          <w:tcPr>
            <w:tcW w:w="906" w:type="pct"/>
            <w:tcBorders>
              <w:tl2br w:val="nil"/>
              <w:tr2bl w:val="nil"/>
            </w:tcBorders>
            <w:noWrap w:val="0"/>
            <w:vAlign w:val="center"/>
          </w:tcPr>
          <w:p w14:paraId="1681B9F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295</w:t>
            </w:r>
          </w:p>
        </w:tc>
        <w:tc>
          <w:tcPr>
            <w:tcW w:w="906" w:type="pct"/>
            <w:tcBorders>
              <w:tl2br w:val="nil"/>
              <w:tr2bl w:val="nil"/>
            </w:tcBorders>
            <w:noWrap w:val="0"/>
            <w:vAlign w:val="center"/>
          </w:tcPr>
          <w:p w14:paraId="4551874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271</w:t>
            </w:r>
          </w:p>
        </w:tc>
        <w:tc>
          <w:tcPr>
            <w:tcW w:w="906" w:type="pct"/>
            <w:tcBorders>
              <w:tl2br w:val="nil"/>
              <w:tr2bl w:val="nil"/>
            </w:tcBorders>
            <w:noWrap w:val="0"/>
            <w:vAlign w:val="center"/>
          </w:tcPr>
          <w:p w14:paraId="0638E2C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280</w:t>
            </w:r>
          </w:p>
        </w:tc>
        <w:tc>
          <w:tcPr>
            <w:tcW w:w="571" w:type="pct"/>
            <w:tcBorders>
              <w:tl2br w:val="nil"/>
              <w:tr2bl w:val="nil"/>
            </w:tcBorders>
            <w:noWrap w:val="0"/>
            <w:vAlign w:val="center"/>
          </w:tcPr>
          <w:p w14:paraId="725B00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1000</w:t>
            </w:r>
          </w:p>
        </w:tc>
        <w:tc>
          <w:tcPr>
            <w:tcW w:w="459" w:type="pct"/>
            <w:tcBorders>
              <w:tl2br w:val="nil"/>
              <w:tr2bl w:val="nil"/>
            </w:tcBorders>
            <w:noWrap w:val="0"/>
            <w:vAlign w:val="center"/>
          </w:tcPr>
          <w:p w14:paraId="47FB0FF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CDFA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C35EEC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25A0D9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耗氧量</w:t>
            </w:r>
          </w:p>
        </w:tc>
        <w:tc>
          <w:tcPr>
            <w:tcW w:w="906" w:type="pct"/>
            <w:tcBorders>
              <w:tl2br w:val="nil"/>
              <w:tr2bl w:val="nil"/>
            </w:tcBorders>
            <w:noWrap w:val="0"/>
            <w:vAlign w:val="center"/>
          </w:tcPr>
          <w:p w14:paraId="3AEFBB3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1.3</w:t>
            </w:r>
          </w:p>
        </w:tc>
        <w:tc>
          <w:tcPr>
            <w:tcW w:w="906" w:type="pct"/>
            <w:tcBorders>
              <w:tl2br w:val="nil"/>
              <w:tr2bl w:val="nil"/>
            </w:tcBorders>
            <w:noWrap w:val="0"/>
            <w:vAlign w:val="center"/>
          </w:tcPr>
          <w:p w14:paraId="39882E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w:t>
            </w:r>
          </w:p>
        </w:tc>
        <w:tc>
          <w:tcPr>
            <w:tcW w:w="906" w:type="pct"/>
            <w:tcBorders>
              <w:tl2br w:val="nil"/>
              <w:tr2bl w:val="nil"/>
            </w:tcBorders>
            <w:noWrap w:val="0"/>
            <w:vAlign w:val="center"/>
          </w:tcPr>
          <w:p w14:paraId="6FB1BB3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1.3</w:t>
            </w:r>
          </w:p>
        </w:tc>
        <w:tc>
          <w:tcPr>
            <w:tcW w:w="571" w:type="pct"/>
            <w:tcBorders>
              <w:tl2br w:val="nil"/>
              <w:tr2bl w:val="nil"/>
            </w:tcBorders>
            <w:noWrap w:val="0"/>
            <w:vAlign w:val="center"/>
          </w:tcPr>
          <w:p w14:paraId="0F0F985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7C48A2B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C90B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75924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7EC652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硫酸盐（SO4</w:t>
            </w:r>
            <w:r>
              <w:rPr>
                <w:rFonts w:hint="default" w:ascii="Times New Roman" w:hAnsi="Times New Roman" w:eastAsia="宋体" w:cs="Times New Roman"/>
                <w:sz w:val="21"/>
                <w:szCs w:val="21"/>
                <w:vertAlign w:val="superscript"/>
                <w:lang w:eastAsia="zh-CN"/>
              </w:rPr>
              <w:t>2-</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67AA4F3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7.94</w:t>
            </w:r>
          </w:p>
        </w:tc>
        <w:tc>
          <w:tcPr>
            <w:tcW w:w="906" w:type="pct"/>
            <w:tcBorders>
              <w:tl2br w:val="nil"/>
              <w:tr2bl w:val="nil"/>
            </w:tcBorders>
            <w:noWrap w:val="0"/>
            <w:vAlign w:val="center"/>
          </w:tcPr>
          <w:p w14:paraId="2B0D9C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7.85</w:t>
            </w:r>
          </w:p>
        </w:tc>
        <w:tc>
          <w:tcPr>
            <w:tcW w:w="906" w:type="pct"/>
            <w:tcBorders>
              <w:tl2br w:val="nil"/>
              <w:tr2bl w:val="nil"/>
            </w:tcBorders>
            <w:noWrap w:val="0"/>
            <w:vAlign w:val="center"/>
          </w:tcPr>
          <w:p w14:paraId="17CC956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7.91</w:t>
            </w:r>
          </w:p>
        </w:tc>
        <w:tc>
          <w:tcPr>
            <w:tcW w:w="571" w:type="pct"/>
            <w:tcBorders>
              <w:tl2br w:val="nil"/>
              <w:tr2bl w:val="nil"/>
            </w:tcBorders>
            <w:noWrap w:val="0"/>
            <w:vAlign w:val="center"/>
          </w:tcPr>
          <w:p w14:paraId="7CE28F9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62DAF7C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BD30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3C0610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7487AD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氯化物（CL</w:t>
            </w:r>
            <w:r>
              <w:rPr>
                <w:rFonts w:hint="default" w:ascii="Times New Roman" w:hAnsi="Times New Roman" w:eastAsia="宋体" w:cs="Times New Roman"/>
                <w:sz w:val="21"/>
                <w:szCs w:val="21"/>
                <w:vertAlign w:val="superscript"/>
                <w:lang w:eastAsia="zh-CN"/>
              </w:rPr>
              <w:t>-</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4E75BB4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5.50</w:t>
            </w:r>
          </w:p>
        </w:tc>
        <w:tc>
          <w:tcPr>
            <w:tcW w:w="906" w:type="pct"/>
            <w:tcBorders>
              <w:tl2br w:val="nil"/>
              <w:tr2bl w:val="nil"/>
            </w:tcBorders>
            <w:noWrap w:val="0"/>
            <w:vAlign w:val="center"/>
          </w:tcPr>
          <w:p w14:paraId="0264A48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5.11</w:t>
            </w:r>
          </w:p>
        </w:tc>
        <w:tc>
          <w:tcPr>
            <w:tcW w:w="906" w:type="pct"/>
            <w:tcBorders>
              <w:tl2br w:val="nil"/>
              <w:tr2bl w:val="nil"/>
            </w:tcBorders>
            <w:noWrap w:val="0"/>
            <w:vAlign w:val="center"/>
          </w:tcPr>
          <w:p w14:paraId="7BCD91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5.42</w:t>
            </w:r>
          </w:p>
        </w:tc>
        <w:tc>
          <w:tcPr>
            <w:tcW w:w="571" w:type="pct"/>
            <w:tcBorders>
              <w:tl2br w:val="nil"/>
              <w:tr2bl w:val="nil"/>
            </w:tcBorders>
            <w:noWrap w:val="0"/>
            <w:vAlign w:val="center"/>
          </w:tcPr>
          <w:p w14:paraId="562FB0E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1428F7E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FF2A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A7FECF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2D69B3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总大肠菌群</w:t>
            </w:r>
          </w:p>
        </w:tc>
        <w:tc>
          <w:tcPr>
            <w:tcW w:w="906" w:type="pct"/>
            <w:tcBorders>
              <w:tl2br w:val="nil"/>
              <w:tr2bl w:val="nil"/>
            </w:tcBorders>
            <w:noWrap w:val="0"/>
            <w:vAlign w:val="center"/>
          </w:tcPr>
          <w:p w14:paraId="4D1CCBE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未检出</w:t>
            </w:r>
          </w:p>
        </w:tc>
        <w:tc>
          <w:tcPr>
            <w:tcW w:w="906" w:type="pct"/>
            <w:tcBorders>
              <w:tl2br w:val="nil"/>
              <w:tr2bl w:val="nil"/>
            </w:tcBorders>
            <w:noWrap w:val="0"/>
            <w:vAlign w:val="center"/>
          </w:tcPr>
          <w:p w14:paraId="30A0FAB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未检出</w:t>
            </w:r>
          </w:p>
        </w:tc>
        <w:tc>
          <w:tcPr>
            <w:tcW w:w="906" w:type="pct"/>
            <w:tcBorders>
              <w:tl2br w:val="nil"/>
              <w:tr2bl w:val="nil"/>
            </w:tcBorders>
            <w:noWrap w:val="0"/>
            <w:vAlign w:val="center"/>
          </w:tcPr>
          <w:p w14:paraId="695E37B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未检出</w:t>
            </w:r>
          </w:p>
        </w:tc>
        <w:tc>
          <w:tcPr>
            <w:tcW w:w="571" w:type="pct"/>
            <w:tcBorders>
              <w:tl2br w:val="nil"/>
              <w:tr2bl w:val="nil"/>
            </w:tcBorders>
            <w:noWrap w:val="0"/>
            <w:vAlign w:val="center"/>
          </w:tcPr>
          <w:p w14:paraId="22ECEDD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755C3B2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045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30EC28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8C7E8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菌落总数</w:t>
            </w:r>
          </w:p>
        </w:tc>
        <w:tc>
          <w:tcPr>
            <w:tcW w:w="906" w:type="pct"/>
            <w:tcBorders>
              <w:tl2br w:val="nil"/>
              <w:tr2bl w:val="nil"/>
            </w:tcBorders>
            <w:noWrap w:val="0"/>
            <w:vAlign w:val="center"/>
          </w:tcPr>
          <w:p w14:paraId="05A8AC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21</w:t>
            </w:r>
          </w:p>
        </w:tc>
        <w:tc>
          <w:tcPr>
            <w:tcW w:w="906" w:type="pct"/>
            <w:tcBorders>
              <w:tl2br w:val="nil"/>
              <w:tr2bl w:val="nil"/>
            </w:tcBorders>
            <w:noWrap w:val="0"/>
            <w:vAlign w:val="center"/>
          </w:tcPr>
          <w:p w14:paraId="38CB068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18</w:t>
            </w:r>
          </w:p>
        </w:tc>
        <w:tc>
          <w:tcPr>
            <w:tcW w:w="906" w:type="pct"/>
            <w:tcBorders>
              <w:tl2br w:val="nil"/>
              <w:tr2bl w:val="nil"/>
            </w:tcBorders>
            <w:noWrap w:val="0"/>
            <w:vAlign w:val="center"/>
          </w:tcPr>
          <w:p w14:paraId="3D9CD1D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20</w:t>
            </w:r>
          </w:p>
        </w:tc>
        <w:tc>
          <w:tcPr>
            <w:tcW w:w="571" w:type="pct"/>
            <w:tcBorders>
              <w:tl2br w:val="nil"/>
              <w:tr2bl w:val="nil"/>
            </w:tcBorders>
            <w:noWrap w:val="0"/>
            <w:vAlign w:val="center"/>
          </w:tcPr>
          <w:p w14:paraId="3A1568E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7877914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C4656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6116D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D42FE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K</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23CF256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0.81</w:t>
            </w:r>
          </w:p>
        </w:tc>
        <w:tc>
          <w:tcPr>
            <w:tcW w:w="906" w:type="pct"/>
            <w:tcBorders>
              <w:tl2br w:val="nil"/>
              <w:tr2bl w:val="nil"/>
            </w:tcBorders>
            <w:noWrap w:val="0"/>
            <w:vAlign w:val="center"/>
          </w:tcPr>
          <w:p w14:paraId="20C5D64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0.86</w:t>
            </w:r>
          </w:p>
        </w:tc>
        <w:tc>
          <w:tcPr>
            <w:tcW w:w="906" w:type="pct"/>
            <w:tcBorders>
              <w:tl2br w:val="nil"/>
              <w:tr2bl w:val="nil"/>
            </w:tcBorders>
            <w:noWrap w:val="0"/>
            <w:vAlign w:val="center"/>
          </w:tcPr>
          <w:p w14:paraId="6BD1C33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0.82</w:t>
            </w:r>
          </w:p>
        </w:tc>
        <w:tc>
          <w:tcPr>
            <w:tcW w:w="571" w:type="pct"/>
            <w:tcBorders>
              <w:tl2br w:val="nil"/>
              <w:tr2bl w:val="nil"/>
            </w:tcBorders>
            <w:noWrap w:val="0"/>
            <w:vAlign w:val="center"/>
          </w:tcPr>
          <w:p w14:paraId="78A915B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36A87BA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E6335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4B9EC7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B49645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Na</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02F066E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1.25</w:t>
            </w:r>
          </w:p>
        </w:tc>
        <w:tc>
          <w:tcPr>
            <w:tcW w:w="906" w:type="pct"/>
            <w:tcBorders>
              <w:tl2br w:val="nil"/>
              <w:tr2bl w:val="nil"/>
            </w:tcBorders>
            <w:noWrap w:val="0"/>
            <w:vAlign w:val="center"/>
          </w:tcPr>
          <w:p w14:paraId="5FE935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1.21</w:t>
            </w:r>
          </w:p>
        </w:tc>
        <w:tc>
          <w:tcPr>
            <w:tcW w:w="906" w:type="pct"/>
            <w:tcBorders>
              <w:tl2br w:val="nil"/>
              <w:tr2bl w:val="nil"/>
            </w:tcBorders>
            <w:noWrap w:val="0"/>
            <w:vAlign w:val="center"/>
          </w:tcPr>
          <w:p w14:paraId="73F1D4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1.26</w:t>
            </w:r>
          </w:p>
        </w:tc>
        <w:tc>
          <w:tcPr>
            <w:tcW w:w="571" w:type="pct"/>
            <w:tcBorders>
              <w:tl2br w:val="nil"/>
              <w:tr2bl w:val="nil"/>
            </w:tcBorders>
            <w:noWrap w:val="0"/>
            <w:vAlign w:val="center"/>
          </w:tcPr>
          <w:p w14:paraId="793566B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694D7E4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5D30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D07D89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818E6F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Ca</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3336F08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27</w:t>
            </w:r>
          </w:p>
        </w:tc>
        <w:tc>
          <w:tcPr>
            <w:tcW w:w="906" w:type="pct"/>
            <w:tcBorders>
              <w:tl2br w:val="nil"/>
              <w:tr2bl w:val="nil"/>
            </w:tcBorders>
            <w:noWrap w:val="0"/>
            <w:vAlign w:val="center"/>
          </w:tcPr>
          <w:p w14:paraId="4F43899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24</w:t>
            </w:r>
          </w:p>
        </w:tc>
        <w:tc>
          <w:tcPr>
            <w:tcW w:w="906" w:type="pct"/>
            <w:tcBorders>
              <w:tl2br w:val="nil"/>
              <w:tr2bl w:val="nil"/>
            </w:tcBorders>
            <w:noWrap w:val="0"/>
            <w:vAlign w:val="center"/>
          </w:tcPr>
          <w:p w14:paraId="5C885A5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25</w:t>
            </w:r>
          </w:p>
        </w:tc>
        <w:tc>
          <w:tcPr>
            <w:tcW w:w="571" w:type="pct"/>
            <w:tcBorders>
              <w:tl2br w:val="nil"/>
              <w:tr2bl w:val="nil"/>
            </w:tcBorders>
            <w:noWrap w:val="0"/>
            <w:vAlign w:val="center"/>
          </w:tcPr>
          <w:p w14:paraId="142919D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0C273F5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A54C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A8B35A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C3AB6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Mg</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4B027B1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D7D91F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2106BE4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4C62A15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28C3E2B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D58B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CC105C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06091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4B068DA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661DAC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906" w:type="pct"/>
            <w:tcBorders>
              <w:tl2br w:val="nil"/>
              <w:tr2bl w:val="nil"/>
            </w:tcBorders>
            <w:noWrap w:val="0"/>
            <w:vAlign w:val="center"/>
          </w:tcPr>
          <w:p w14:paraId="5D7D96E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sz w:val="21"/>
                <w:szCs w:val="21"/>
                <w:lang w:eastAsia="zh-CN"/>
              </w:rPr>
              <w:t>ND</w:t>
            </w:r>
          </w:p>
        </w:tc>
        <w:tc>
          <w:tcPr>
            <w:tcW w:w="571" w:type="pct"/>
            <w:tcBorders>
              <w:tl2br w:val="nil"/>
              <w:tr2bl w:val="nil"/>
            </w:tcBorders>
            <w:noWrap w:val="0"/>
            <w:vAlign w:val="center"/>
          </w:tcPr>
          <w:p w14:paraId="5E80020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1280450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A37B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8EAC71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72AF38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HCO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33C3624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67</w:t>
            </w:r>
          </w:p>
        </w:tc>
        <w:tc>
          <w:tcPr>
            <w:tcW w:w="906" w:type="pct"/>
            <w:tcBorders>
              <w:tl2br w:val="nil"/>
              <w:tr2bl w:val="nil"/>
            </w:tcBorders>
            <w:noWrap w:val="0"/>
            <w:vAlign w:val="center"/>
          </w:tcPr>
          <w:p w14:paraId="3C9D037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62</w:t>
            </w:r>
          </w:p>
        </w:tc>
        <w:tc>
          <w:tcPr>
            <w:tcW w:w="906" w:type="pct"/>
            <w:tcBorders>
              <w:tl2br w:val="nil"/>
              <w:tr2bl w:val="nil"/>
            </w:tcBorders>
            <w:noWrap w:val="0"/>
            <w:vAlign w:val="center"/>
          </w:tcPr>
          <w:p w14:paraId="37AF13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lang w:val="en-US" w:eastAsia="zh-CN"/>
              </w:rPr>
            </w:pPr>
            <w:r>
              <w:rPr>
                <w:rFonts w:hint="default" w:ascii="Times New Roman" w:hAnsi="Times New Roman" w:eastAsia="宋体" w:cs="Times New Roman"/>
                <w:snapToGrid w:val="0"/>
                <w:sz w:val="21"/>
                <w:szCs w:val="21"/>
                <w:lang w:val="en-US" w:eastAsia="zh-CN"/>
              </w:rPr>
              <w:t>68</w:t>
            </w:r>
          </w:p>
        </w:tc>
        <w:tc>
          <w:tcPr>
            <w:tcW w:w="571" w:type="pct"/>
            <w:tcBorders>
              <w:tl2br w:val="nil"/>
              <w:tr2bl w:val="nil"/>
            </w:tcBorders>
            <w:noWrap w:val="0"/>
            <w:vAlign w:val="center"/>
          </w:tcPr>
          <w:p w14:paraId="468168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3EFAFD9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FF2D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restart"/>
            <w:tcBorders>
              <w:tl2br w:val="nil"/>
              <w:tr2bl w:val="nil"/>
            </w:tcBorders>
            <w:noWrap w:val="0"/>
            <w:vAlign w:val="center"/>
          </w:tcPr>
          <w:p w14:paraId="252D098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sz w:val="21"/>
                <w:szCs w:val="21"/>
                <w:lang w:val="en-US" w:eastAsia="zh-CN"/>
              </w:rPr>
              <w:t>D4项目地厂内</w:t>
            </w:r>
          </w:p>
        </w:tc>
        <w:tc>
          <w:tcPr>
            <w:tcW w:w="704" w:type="pct"/>
            <w:tcBorders>
              <w:tl2br w:val="nil"/>
              <w:tr2bl w:val="nil"/>
            </w:tcBorders>
            <w:noWrap w:val="0"/>
            <w:vAlign w:val="center"/>
          </w:tcPr>
          <w:p w14:paraId="3E4C0CC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pH 值</w:t>
            </w:r>
          </w:p>
        </w:tc>
        <w:tc>
          <w:tcPr>
            <w:tcW w:w="906" w:type="pct"/>
            <w:tcBorders>
              <w:tl2br w:val="nil"/>
              <w:tr2bl w:val="nil"/>
            </w:tcBorders>
            <w:noWrap w:val="0"/>
            <w:vAlign w:val="center"/>
          </w:tcPr>
          <w:p w14:paraId="4CA995A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906" w:type="pct"/>
            <w:tcBorders>
              <w:tl2br w:val="nil"/>
              <w:tr2bl w:val="nil"/>
            </w:tcBorders>
            <w:noWrap w:val="0"/>
            <w:vAlign w:val="center"/>
          </w:tcPr>
          <w:p w14:paraId="0475D77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w:t>
            </w:r>
          </w:p>
        </w:tc>
        <w:tc>
          <w:tcPr>
            <w:tcW w:w="906" w:type="pct"/>
            <w:tcBorders>
              <w:tl2br w:val="nil"/>
              <w:tr2bl w:val="nil"/>
            </w:tcBorders>
            <w:noWrap w:val="0"/>
            <w:vAlign w:val="center"/>
          </w:tcPr>
          <w:p w14:paraId="3012335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w:t>
            </w:r>
          </w:p>
        </w:tc>
        <w:tc>
          <w:tcPr>
            <w:tcW w:w="571" w:type="pct"/>
            <w:tcBorders>
              <w:tl2br w:val="nil"/>
              <w:tr2bl w:val="nil"/>
            </w:tcBorders>
            <w:noWrap w:val="0"/>
            <w:vAlign w:val="center"/>
          </w:tcPr>
          <w:p w14:paraId="42483B9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6.5-8.5</w:t>
            </w:r>
          </w:p>
        </w:tc>
        <w:tc>
          <w:tcPr>
            <w:tcW w:w="459" w:type="pct"/>
            <w:tcBorders>
              <w:tl2br w:val="nil"/>
              <w:tr2bl w:val="nil"/>
            </w:tcBorders>
            <w:noWrap w:val="0"/>
            <w:vAlign w:val="center"/>
          </w:tcPr>
          <w:p w14:paraId="03F1812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A245F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C5C73F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sz w:val="21"/>
                <w:szCs w:val="21"/>
                <w:lang w:val="en-US" w:eastAsia="zh-CN"/>
              </w:rPr>
            </w:pPr>
          </w:p>
        </w:tc>
        <w:tc>
          <w:tcPr>
            <w:tcW w:w="704" w:type="pct"/>
            <w:tcBorders>
              <w:tl2br w:val="nil"/>
              <w:tr2bl w:val="nil"/>
            </w:tcBorders>
            <w:noWrap w:val="0"/>
            <w:vAlign w:val="center"/>
          </w:tcPr>
          <w:p w14:paraId="33451C4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石油类</w:t>
            </w:r>
          </w:p>
        </w:tc>
        <w:tc>
          <w:tcPr>
            <w:tcW w:w="906" w:type="pct"/>
            <w:tcBorders>
              <w:tl2br w:val="nil"/>
              <w:tr2bl w:val="nil"/>
            </w:tcBorders>
            <w:noWrap w:val="0"/>
            <w:vAlign w:val="center"/>
          </w:tcPr>
          <w:p w14:paraId="31DA329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5EDF661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906" w:type="pct"/>
            <w:tcBorders>
              <w:tl2br w:val="nil"/>
              <w:tr2bl w:val="nil"/>
            </w:tcBorders>
            <w:noWrap w:val="0"/>
            <w:vAlign w:val="center"/>
          </w:tcPr>
          <w:p w14:paraId="0588EB1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ND</w:t>
            </w:r>
          </w:p>
        </w:tc>
        <w:tc>
          <w:tcPr>
            <w:tcW w:w="571" w:type="pct"/>
            <w:tcBorders>
              <w:tl2br w:val="nil"/>
              <w:tr2bl w:val="nil"/>
            </w:tcBorders>
            <w:noWrap w:val="0"/>
            <w:vAlign w:val="center"/>
          </w:tcPr>
          <w:p w14:paraId="05C1221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w:t>
            </w:r>
          </w:p>
        </w:tc>
        <w:tc>
          <w:tcPr>
            <w:tcW w:w="459" w:type="pct"/>
            <w:tcBorders>
              <w:tl2br w:val="nil"/>
              <w:tr2bl w:val="nil"/>
            </w:tcBorders>
            <w:noWrap w:val="0"/>
            <w:vAlign w:val="center"/>
          </w:tcPr>
          <w:p w14:paraId="0CC8AFE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626DB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CB74F8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F30C87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氨氮</w:t>
            </w:r>
          </w:p>
        </w:tc>
        <w:tc>
          <w:tcPr>
            <w:tcW w:w="906" w:type="pct"/>
            <w:tcBorders>
              <w:tl2br w:val="nil"/>
              <w:tr2bl w:val="nil"/>
            </w:tcBorders>
            <w:noWrap w:val="0"/>
            <w:vAlign w:val="center"/>
          </w:tcPr>
          <w:p w14:paraId="5D097A4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B4787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51737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7AA42D3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0.50</w:t>
            </w:r>
          </w:p>
        </w:tc>
        <w:tc>
          <w:tcPr>
            <w:tcW w:w="459" w:type="pct"/>
            <w:tcBorders>
              <w:tl2br w:val="nil"/>
              <w:tr2bl w:val="nil"/>
            </w:tcBorders>
            <w:noWrap w:val="0"/>
            <w:vAlign w:val="center"/>
          </w:tcPr>
          <w:p w14:paraId="067384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8427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C4A027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81E482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硝酸盐</w:t>
            </w:r>
          </w:p>
        </w:tc>
        <w:tc>
          <w:tcPr>
            <w:tcW w:w="906" w:type="pct"/>
            <w:tcBorders>
              <w:tl2br w:val="nil"/>
              <w:tr2bl w:val="nil"/>
            </w:tcBorders>
            <w:noWrap w:val="0"/>
            <w:vAlign w:val="center"/>
          </w:tcPr>
          <w:p w14:paraId="6B29D5D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1.28</w:t>
            </w:r>
          </w:p>
        </w:tc>
        <w:tc>
          <w:tcPr>
            <w:tcW w:w="906" w:type="pct"/>
            <w:tcBorders>
              <w:tl2br w:val="nil"/>
              <w:tr2bl w:val="nil"/>
            </w:tcBorders>
            <w:noWrap w:val="0"/>
            <w:vAlign w:val="center"/>
          </w:tcPr>
          <w:p w14:paraId="34A7B7D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w:t>
            </w:r>
          </w:p>
        </w:tc>
        <w:tc>
          <w:tcPr>
            <w:tcW w:w="906" w:type="pct"/>
            <w:tcBorders>
              <w:tl2br w:val="nil"/>
              <w:tr2bl w:val="nil"/>
            </w:tcBorders>
            <w:noWrap w:val="0"/>
            <w:vAlign w:val="center"/>
          </w:tcPr>
          <w:p w14:paraId="6F04843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w:t>
            </w:r>
          </w:p>
        </w:tc>
        <w:tc>
          <w:tcPr>
            <w:tcW w:w="571" w:type="pct"/>
            <w:tcBorders>
              <w:tl2br w:val="nil"/>
              <w:tr2bl w:val="nil"/>
            </w:tcBorders>
            <w:noWrap w:val="0"/>
            <w:vAlign w:val="center"/>
          </w:tcPr>
          <w:p w14:paraId="472597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00287C2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A6CD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81F7F8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257DFC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亚硝酸盐</w:t>
            </w:r>
          </w:p>
        </w:tc>
        <w:tc>
          <w:tcPr>
            <w:tcW w:w="906" w:type="pct"/>
            <w:tcBorders>
              <w:tl2br w:val="nil"/>
              <w:tr2bl w:val="nil"/>
            </w:tcBorders>
            <w:noWrap w:val="0"/>
            <w:vAlign w:val="center"/>
          </w:tcPr>
          <w:p w14:paraId="30DEBC0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3D1D58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3849CA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31618DF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413ED69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9DE5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9298D6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CC3F0E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挥发性酚类</w:t>
            </w:r>
          </w:p>
        </w:tc>
        <w:tc>
          <w:tcPr>
            <w:tcW w:w="906" w:type="pct"/>
            <w:tcBorders>
              <w:tl2br w:val="nil"/>
              <w:tr2bl w:val="nil"/>
            </w:tcBorders>
            <w:noWrap w:val="0"/>
            <w:vAlign w:val="center"/>
          </w:tcPr>
          <w:p w14:paraId="2378BED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46193AB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5AEDAC8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352038B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0.002</w:t>
            </w:r>
          </w:p>
        </w:tc>
        <w:tc>
          <w:tcPr>
            <w:tcW w:w="459" w:type="pct"/>
            <w:tcBorders>
              <w:tl2br w:val="nil"/>
              <w:tr2bl w:val="nil"/>
            </w:tcBorders>
            <w:noWrap w:val="0"/>
            <w:vAlign w:val="center"/>
          </w:tcPr>
          <w:p w14:paraId="5BA0005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ACE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546" w:type="pct"/>
            <w:vMerge w:val="continue"/>
            <w:tcBorders>
              <w:tl2br w:val="nil"/>
              <w:tr2bl w:val="nil"/>
            </w:tcBorders>
            <w:noWrap w:val="0"/>
            <w:vAlign w:val="center"/>
          </w:tcPr>
          <w:p w14:paraId="4E3CD87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EE2E7B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氰化物</w:t>
            </w:r>
          </w:p>
        </w:tc>
        <w:tc>
          <w:tcPr>
            <w:tcW w:w="906" w:type="pct"/>
            <w:tcBorders>
              <w:tl2br w:val="nil"/>
              <w:tr2bl w:val="nil"/>
            </w:tcBorders>
            <w:noWrap w:val="0"/>
            <w:vAlign w:val="center"/>
          </w:tcPr>
          <w:p w14:paraId="52E4317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6B4162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56F432C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216062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5231FBF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F587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4AA48F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06E7A9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阴离子表面活性剂</w:t>
            </w:r>
          </w:p>
        </w:tc>
        <w:tc>
          <w:tcPr>
            <w:tcW w:w="906" w:type="pct"/>
            <w:tcBorders>
              <w:tl2br w:val="nil"/>
              <w:tr2bl w:val="nil"/>
            </w:tcBorders>
            <w:noWrap w:val="0"/>
            <w:vAlign w:val="center"/>
          </w:tcPr>
          <w:p w14:paraId="6FA8282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FCCA9D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4EB6A13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690B83F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0.3</w:t>
            </w:r>
          </w:p>
        </w:tc>
        <w:tc>
          <w:tcPr>
            <w:tcW w:w="459" w:type="pct"/>
            <w:tcBorders>
              <w:tl2br w:val="nil"/>
              <w:tr2bl w:val="nil"/>
            </w:tcBorders>
            <w:noWrap w:val="0"/>
            <w:vAlign w:val="center"/>
          </w:tcPr>
          <w:p w14:paraId="3E1AD63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44A04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D6FF19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C78C01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砷</w:t>
            </w:r>
          </w:p>
        </w:tc>
        <w:tc>
          <w:tcPr>
            <w:tcW w:w="906" w:type="pct"/>
            <w:tcBorders>
              <w:tl2br w:val="nil"/>
              <w:tr2bl w:val="nil"/>
            </w:tcBorders>
            <w:noWrap w:val="0"/>
            <w:vAlign w:val="center"/>
          </w:tcPr>
          <w:p w14:paraId="041BF40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528934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889F5C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62BE66C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28F547D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22A5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6FDE7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AAF89E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汞</w:t>
            </w:r>
          </w:p>
        </w:tc>
        <w:tc>
          <w:tcPr>
            <w:tcW w:w="906" w:type="pct"/>
            <w:tcBorders>
              <w:tl2br w:val="nil"/>
              <w:tr2bl w:val="nil"/>
            </w:tcBorders>
            <w:noWrap w:val="0"/>
            <w:vAlign w:val="center"/>
          </w:tcPr>
          <w:p w14:paraId="46BFFC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0A852B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9C7496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4863811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0.001</w:t>
            </w:r>
          </w:p>
        </w:tc>
        <w:tc>
          <w:tcPr>
            <w:tcW w:w="459" w:type="pct"/>
            <w:tcBorders>
              <w:tl2br w:val="nil"/>
              <w:tr2bl w:val="nil"/>
            </w:tcBorders>
            <w:noWrap w:val="0"/>
            <w:vAlign w:val="center"/>
          </w:tcPr>
          <w:p w14:paraId="03F14EB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5F4E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D0EBA3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451C86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六价铬</w:t>
            </w:r>
          </w:p>
        </w:tc>
        <w:tc>
          <w:tcPr>
            <w:tcW w:w="906" w:type="pct"/>
            <w:tcBorders>
              <w:tl2br w:val="nil"/>
              <w:tr2bl w:val="nil"/>
            </w:tcBorders>
            <w:noWrap w:val="0"/>
            <w:vAlign w:val="center"/>
          </w:tcPr>
          <w:p w14:paraId="19DF948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58B9BE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4753ADA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6A8D95E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4849B58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F58D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AC696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C76A86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总硬度</w:t>
            </w:r>
          </w:p>
        </w:tc>
        <w:tc>
          <w:tcPr>
            <w:tcW w:w="906" w:type="pct"/>
            <w:tcBorders>
              <w:tl2br w:val="nil"/>
              <w:tr2bl w:val="nil"/>
            </w:tcBorders>
            <w:noWrap w:val="0"/>
            <w:vAlign w:val="center"/>
          </w:tcPr>
          <w:p w14:paraId="0256D64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129</w:t>
            </w:r>
          </w:p>
        </w:tc>
        <w:tc>
          <w:tcPr>
            <w:tcW w:w="906" w:type="pct"/>
            <w:tcBorders>
              <w:tl2br w:val="nil"/>
              <w:tr2bl w:val="nil"/>
            </w:tcBorders>
            <w:noWrap w:val="0"/>
            <w:vAlign w:val="center"/>
          </w:tcPr>
          <w:p w14:paraId="1A9EDCE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w:t>
            </w:r>
          </w:p>
        </w:tc>
        <w:tc>
          <w:tcPr>
            <w:tcW w:w="906" w:type="pct"/>
            <w:tcBorders>
              <w:tl2br w:val="nil"/>
              <w:tr2bl w:val="nil"/>
            </w:tcBorders>
            <w:noWrap w:val="0"/>
            <w:vAlign w:val="center"/>
          </w:tcPr>
          <w:p w14:paraId="3F91640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w:t>
            </w:r>
          </w:p>
        </w:tc>
        <w:tc>
          <w:tcPr>
            <w:tcW w:w="571" w:type="pct"/>
            <w:tcBorders>
              <w:tl2br w:val="nil"/>
              <w:tr2bl w:val="nil"/>
            </w:tcBorders>
            <w:noWrap w:val="0"/>
            <w:vAlign w:val="center"/>
          </w:tcPr>
          <w:p w14:paraId="6A1E22D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450</w:t>
            </w:r>
          </w:p>
        </w:tc>
        <w:tc>
          <w:tcPr>
            <w:tcW w:w="459" w:type="pct"/>
            <w:tcBorders>
              <w:tl2br w:val="nil"/>
              <w:tr2bl w:val="nil"/>
            </w:tcBorders>
            <w:noWrap w:val="0"/>
            <w:vAlign w:val="center"/>
          </w:tcPr>
          <w:p w14:paraId="3FEBD2E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0F4E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E2FF5A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9AB155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铅</w:t>
            </w:r>
          </w:p>
        </w:tc>
        <w:tc>
          <w:tcPr>
            <w:tcW w:w="906" w:type="pct"/>
            <w:tcBorders>
              <w:tl2br w:val="nil"/>
              <w:tr2bl w:val="nil"/>
            </w:tcBorders>
            <w:noWrap w:val="0"/>
            <w:vAlign w:val="center"/>
          </w:tcPr>
          <w:p w14:paraId="3A89FA7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3E3370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4D3EB5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2DF9E4A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7916712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D759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59F18B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A1B0CA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氟化物</w:t>
            </w:r>
          </w:p>
        </w:tc>
        <w:tc>
          <w:tcPr>
            <w:tcW w:w="906" w:type="pct"/>
            <w:tcBorders>
              <w:tl2br w:val="nil"/>
              <w:tr2bl w:val="nil"/>
            </w:tcBorders>
            <w:noWrap w:val="0"/>
            <w:vAlign w:val="center"/>
          </w:tcPr>
          <w:p w14:paraId="5238ED7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0.166</w:t>
            </w:r>
          </w:p>
        </w:tc>
        <w:tc>
          <w:tcPr>
            <w:tcW w:w="906" w:type="pct"/>
            <w:tcBorders>
              <w:tl2br w:val="nil"/>
              <w:tr2bl w:val="nil"/>
            </w:tcBorders>
            <w:noWrap w:val="0"/>
            <w:vAlign w:val="center"/>
          </w:tcPr>
          <w:p w14:paraId="6840E69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0.174</w:t>
            </w:r>
          </w:p>
        </w:tc>
        <w:tc>
          <w:tcPr>
            <w:tcW w:w="906" w:type="pct"/>
            <w:tcBorders>
              <w:tl2br w:val="nil"/>
              <w:tr2bl w:val="nil"/>
            </w:tcBorders>
            <w:noWrap w:val="0"/>
            <w:vAlign w:val="center"/>
          </w:tcPr>
          <w:p w14:paraId="1FC7D3D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0.150</w:t>
            </w:r>
          </w:p>
        </w:tc>
        <w:tc>
          <w:tcPr>
            <w:tcW w:w="571" w:type="pct"/>
            <w:tcBorders>
              <w:tl2br w:val="nil"/>
              <w:tr2bl w:val="nil"/>
            </w:tcBorders>
            <w:noWrap w:val="0"/>
            <w:vAlign w:val="center"/>
          </w:tcPr>
          <w:p w14:paraId="3686995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w:t>
            </w:r>
          </w:p>
        </w:tc>
        <w:tc>
          <w:tcPr>
            <w:tcW w:w="459" w:type="pct"/>
            <w:tcBorders>
              <w:tl2br w:val="nil"/>
              <w:tr2bl w:val="nil"/>
            </w:tcBorders>
            <w:noWrap w:val="0"/>
            <w:vAlign w:val="center"/>
          </w:tcPr>
          <w:p w14:paraId="44A1F14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B657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BA7E2A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C8AC9A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镉</w:t>
            </w:r>
          </w:p>
        </w:tc>
        <w:tc>
          <w:tcPr>
            <w:tcW w:w="906" w:type="pct"/>
            <w:tcBorders>
              <w:tl2br w:val="nil"/>
              <w:tr2bl w:val="nil"/>
            </w:tcBorders>
            <w:noWrap w:val="0"/>
            <w:vAlign w:val="center"/>
          </w:tcPr>
          <w:p w14:paraId="357CB7A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6BBF68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106F73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1DE1E4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0.005</w:t>
            </w:r>
          </w:p>
        </w:tc>
        <w:tc>
          <w:tcPr>
            <w:tcW w:w="459" w:type="pct"/>
            <w:tcBorders>
              <w:tl2br w:val="nil"/>
              <w:tr2bl w:val="nil"/>
            </w:tcBorders>
            <w:noWrap w:val="0"/>
            <w:vAlign w:val="center"/>
          </w:tcPr>
          <w:p w14:paraId="1C0CF77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C4A9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EA3B54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2951F2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铁</w:t>
            </w:r>
          </w:p>
        </w:tc>
        <w:tc>
          <w:tcPr>
            <w:tcW w:w="906" w:type="pct"/>
            <w:tcBorders>
              <w:tl2br w:val="nil"/>
              <w:tr2bl w:val="nil"/>
            </w:tcBorders>
            <w:noWrap w:val="0"/>
            <w:vAlign w:val="center"/>
          </w:tcPr>
          <w:p w14:paraId="2710D49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0F7E03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C184D3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77465E2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0.3</w:t>
            </w:r>
          </w:p>
        </w:tc>
        <w:tc>
          <w:tcPr>
            <w:tcW w:w="459" w:type="pct"/>
            <w:tcBorders>
              <w:tl2br w:val="nil"/>
              <w:tr2bl w:val="nil"/>
            </w:tcBorders>
            <w:noWrap w:val="0"/>
            <w:vAlign w:val="center"/>
          </w:tcPr>
          <w:p w14:paraId="44EDF04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1577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304880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75C0E3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锰</w:t>
            </w:r>
          </w:p>
        </w:tc>
        <w:tc>
          <w:tcPr>
            <w:tcW w:w="906" w:type="pct"/>
            <w:tcBorders>
              <w:tl2br w:val="nil"/>
              <w:tr2bl w:val="nil"/>
            </w:tcBorders>
            <w:noWrap w:val="0"/>
            <w:vAlign w:val="center"/>
          </w:tcPr>
          <w:p w14:paraId="49ACC5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DECF2A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D65F81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41134F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0.10</w:t>
            </w:r>
          </w:p>
        </w:tc>
        <w:tc>
          <w:tcPr>
            <w:tcW w:w="459" w:type="pct"/>
            <w:tcBorders>
              <w:tl2br w:val="nil"/>
              <w:tr2bl w:val="nil"/>
            </w:tcBorders>
            <w:noWrap w:val="0"/>
            <w:vAlign w:val="center"/>
          </w:tcPr>
          <w:p w14:paraId="7BBC19B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76E3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866E46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8B746F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溶解性总固体</w:t>
            </w:r>
          </w:p>
        </w:tc>
        <w:tc>
          <w:tcPr>
            <w:tcW w:w="906" w:type="pct"/>
            <w:tcBorders>
              <w:tl2br w:val="nil"/>
              <w:tr2bl w:val="nil"/>
            </w:tcBorders>
            <w:noWrap w:val="0"/>
            <w:vAlign w:val="center"/>
          </w:tcPr>
          <w:p w14:paraId="24B8387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210</w:t>
            </w:r>
          </w:p>
        </w:tc>
        <w:tc>
          <w:tcPr>
            <w:tcW w:w="906" w:type="pct"/>
            <w:tcBorders>
              <w:tl2br w:val="nil"/>
              <w:tr2bl w:val="nil"/>
            </w:tcBorders>
            <w:noWrap w:val="0"/>
            <w:vAlign w:val="center"/>
          </w:tcPr>
          <w:p w14:paraId="565412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224</w:t>
            </w:r>
          </w:p>
        </w:tc>
        <w:tc>
          <w:tcPr>
            <w:tcW w:w="906" w:type="pct"/>
            <w:tcBorders>
              <w:tl2br w:val="nil"/>
              <w:tr2bl w:val="nil"/>
            </w:tcBorders>
            <w:noWrap w:val="0"/>
            <w:vAlign w:val="center"/>
          </w:tcPr>
          <w:p w14:paraId="5221995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205</w:t>
            </w:r>
          </w:p>
        </w:tc>
        <w:tc>
          <w:tcPr>
            <w:tcW w:w="571" w:type="pct"/>
            <w:tcBorders>
              <w:tl2br w:val="nil"/>
              <w:tr2bl w:val="nil"/>
            </w:tcBorders>
            <w:noWrap w:val="0"/>
            <w:vAlign w:val="center"/>
          </w:tcPr>
          <w:p w14:paraId="60A5001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1000</w:t>
            </w:r>
          </w:p>
        </w:tc>
        <w:tc>
          <w:tcPr>
            <w:tcW w:w="459" w:type="pct"/>
            <w:tcBorders>
              <w:tl2br w:val="nil"/>
              <w:tr2bl w:val="nil"/>
            </w:tcBorders>
            <w:noWrap w:val="0"/>
            <w:vAlign w:val="center"/>
          </w:tcPr>
          <w:p w14:paraId="191E115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83C2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4DB8B8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B9021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耗氧量</w:t>
            </w:r>
          </w:p>
        </w:tc>
        <w:tc>
          <w:tcPr>
            <w:tcW w:w="906" w:type="pct"/>
            <w:tcBorders>
              <w:tl2br w:val="nil"/>
              <w:tr2bl w:val="nil"/>
            </w:tcBorders>
            <w:noWrap w:val="0"/>
            <w:vAlign w:val="center"/>
          </w:tcPr>
          <w:p w14:paraId="641181D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906" w:type="pct"/>
            <w:tcBorders>
              <w:tl2br w:val="nil"/>
              <w:tr2bl w:val="nil"/>
            </w:tcBorders>
            <w:noWrap w:val="0"/>
            <w:vAlign w:val="center"/>
          </w:tcPr>
          <w:p w14:paraId="581C4DF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906" w:type="pct"/>
            <w:tcBorders>
              <w:tl2br w:val="nil"/>
              <w:tr2bl w:val="nil"/>
            </w:tcBorders>
            <w:noWrap w:val="0"/>
            <w:vAlign w:val="center"/>
          </w:tcPr>
          <w:p w14:paraId="115EE09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571" w:type="pct"/>
            <w:tcBorders>
              <w:tl2br w:val="nil"/>
              <w:tr2bl w:val="nil"/>
            </w:tcBorders>
            <w:noWrap w:val="0"/>
            <w:vAlign w:val="center"/>
          </w:tcPr>
          <w:p w14:paraId="3CFBEBE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14328C8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0481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0FC3F8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E5308B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硫酸盐（SO4</w:t>
            </w:r>
            <w:r>
              <w:rPr>
                <w:rFonts w:hint="default" w:ascii="Times New Roman" w:hAnsi="Times New Roman" w:eastAsia="宋体" w:cs="Times New Roman"/>
                <w:sz w:val="21"/>
                <w:szCs w:val="21"/>
                <w:vertAlign w:val="superscript"/>
                <w:lang w:eastAsia="zh-CN"/>
              </w:rPr>
              <w:t>2-</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55BD477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9.90</w:t>
            </w:r>
          </w:p>
        </w:tc>
        <w:tc>
          <w:tcPr>
            <w:tcW w:w="906" w:type="pct"/>
            <w:tcBorders>
              <w:tl2br w:val="nil"/>
              <w:tr2bl w:val="nil"/>
            </w:tcBorders>
            <w:noWrap w:val="0"/>
            <w:vAlign w:val="center"/>
          </w:tcPr>
          <w:p w14:paraId="0E18864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9.78</w:t>
            </w:r>
          </w:p>
        </w:tc>
        <w:tc>
          <w:tcPr>
            <w:tcW w:w="906" w:type="pct"/>
            <w:tcBorders>
              <w:tl2br w:val="nil"/>
              <w:tr2bl w:val="nil"/>
            </w:tcBorders>
            <w:noWrap w:val="0"/>
            <w:vAlign w:val="center"/>
          </w:tcPr>
          <w:p w14:paraId="127A600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9.88</w:t>
            </w:r>
          </w:p>
        </w:tc>
        <w:tc>
          <w:tcPr>
            <w:tcW w:w="571" w:type="pct"/>
            <w:tcBorders>
              <w:tl2br w:val="nil"/>
              <w:tr2bl w:val="nil"/>
            </w:tcBorders>
            <w:noWrap w:val="0"/>
            <w:vAlign w:val="center"/>
          </w:tcPr>
          <w:p w14:paraId="04E42EE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74B04C9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1029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F425AA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5C0A18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氯化物（CL</w:t>
            </w:r>
            <w:r>
              <w:rPr>
                <w:rFonts w:hint="default" w:ascii="Times New Roman" w:hAnsi="Times New Roman" w:eastAsia="宋体" w:cs="Times New Roman"/>
                <w:sz w:val="21"/>
                <w:szCs w:val="21"/>
                <w:vertAlign w:val="superscript"/>
                <w:lang w:eastAsia="zh-CN"/>
              </w:rPr>
              <w:t>-</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6206C04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4.26</w:t>
            </w:r>
          </w:p>
        </w:tc>
        <w:tc>
          <w:tcPr>
            <w:tcW w:w="906" w:type="pct"/>
            <w:tcBorders>
              <w:tl2br w:val="nil"/>
              <w:tr2bl w:val="nil"/>
            </w:tcBorders>
            <w:noWrap w:val="0"/>
            <w:vAlign w:val="center"/>
          </w:tcPr>
          <w:p w14:paraId="4560400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4.10</w:t>
            </w:r>
          </w:p>
        </w:tc>
        <w:tc>
          <w:tcPr>
            <w:tcW w:w="906" w:type="pct"/>
            <w:tcBorders>
              <w:tl2br w:val="nil"/>
              <w:tr2bl w:val="nil"/>
            </w:tcBorders>
            <w:noWrap w:val="0"/>
            <w:vAlign w:val="center"/>
          </w:tcPr>
          <w:p w14:paraId="0D6DCF8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4.29</w:t>
            </w:r>
          </w:p>
        </w:tc>
        <w:tc>
          <w:tcPr>
            <w:tcW w:w="571" w:type="pct"/>
            <w:tcBorders>
              <w:tl2br w:val="nil"/>
              <w:tr2bl w:val="nil"/>
            </w:tcBorders>
            <w:noWrap w:val="0"/>
            <w:vAlign w:val="center"/>
          </w:tcPr>
          <w:p w14:paraId="7A6C0B2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65FFA87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FE1A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CB12FA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B800CF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总大肠菌群</w:t>
            </w:r>
          </w:p>
        </w:tc>
        <w:tc>
          <w:tcPr>
            <w:tcW w:w="906" w:type="pct"/>
            <w:tcBorders>
              <w:tl2br w:val="nil"/>
              <w:tr2bl w:val="nil"/>
            </w:tcBorders>
            <w:noWrap w:val="0"/>
            <w:vAlign w:val="center"/>
          </w:tcPr>
          <w:p w14:paraId="1249614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未检出</w:t>
            </w:r>
          </w:p>
        </w:tc>
        <w:tc>
          <w:tcPr>
            <w:tcW w:w="906" w:type="pct"/>
            <w:tcBorders>
              <w:tl2br w:val="nil"/>
              <w:tr2bl w:val="nil"/>
            </w:tcBorders>
            <w:noWrap w:val="0"/>
            <w:vAlign w:val="center"/>
          </w:tcPr>
          <w:p w14:paraId="2668FAD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未检出</w:t>
            </w:r>
          </w:p>
        </w:tc>
        <w:tc>
          <w:tcPr>
            <w:tcW w:w="906" w:type="pct"/>
            <w:tcBorders>
              <w:tl2br w:val="nil"/>
              <w:tr2bl w:val="nil"/>
            </w:tcBorders>
            <w:noWrap w:val="0"/>
            <w:vAlign w:val="center"/>
          </w:tcPr>
          <w:p w14:paraId="54B212C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未检出</w:t>
            </w:r>
          </w:p>
        </w:tc>
        <w:tc>
          <w:tcPr>
            <w:tcW w:w="571" w:type="pct"/>
            <w:tcBorders>
              <w:tl2br w:val="nil"/>
              <w:tr2bl w:val="nil"/>
            </w:tcBorders>
            <w:noWrap w:val="0"/>
            <w:vAlign w:val="center"/>
          </w:tcPr>
          <w:p w14:paraId="7CF5C1D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55EDF2E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3595A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C0776A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E6E74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菌落总数</w:t>
            </w:r>
          </w:p>
        </w:tc>
        <w:tc>
          <w:tcPr>
            <w:tcW w:w="906" w:type="pct"/>
            <w:tcBorders>
              <w:tl2br w:val="nil"/>
              <w:tr2bl w:val="nil"/>
            </w:tcBorders>
            <w:noWrap w:val="0"/>
            <w:vAlign w:val="center"/>
          </w:tcPr>
          <w:p w14:paraId="583B4E3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906" w:type="pct"/>
            <w:tcBorders>
              <w:tl2br w:val="nil"/>
              <w:tr2bl w:val="nil"/>
            </w:tcBorders>
            <w:noWrap w:val="0"/>
            <w:vAlign w:val="center"/>
          </w:tcPr>
          <w:p w14:paraId="4CEDE6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906" w:type="pct"/>
            <w:tcBorders>
              <w:tl2br w:val="nil"/>
              <w:tr2bl w:val="nil"/>
            </w:tcBorders>
            <w:noWrap w:val="0"/>
            <w:vAlign w:val="center"/>
          </w:tcPr>
          <w:p w14:paraId="787B415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571" w:type="pct"/>
            <w:tcBorders>
              <w:tl2br w:val="nil"/>
              <w:tr2bl w:val="nil"/>
            </w:tcBorders>
            <w:noWrap w:val="0"/>
            <w:vAlign w:val="center"/>
          </w:tcPr>
          <w:p w14:paraId="107F69A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4C36BD5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6EF4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17A924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1DA75D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K</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051CDFE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0.83</w:t>
            </w:r>
          </w:p>
        </w:tc>
        <w:tc>
          <w:tcPr>
            <w:tcW w:w="906" w:type="pct"/>
            <w:tcBorders>
              <w:tl2br w:val="nil"/>
              <w:tr2bl w:val="nil"/>
            </w:tcBorders>
            <w:noWrap w:val="0"/>
            <w:vAlign w:val="center"/>
          </w:tcPr>
          <w:p w14:paraId="11A762B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0.87</w:t>
            </w:r>
          </w:p>
        </w:tc>
        <w:tc>
          <w:tcPr>
            <w:tcW w:w="906" w:type="pct"/>
            <w:tcBorders>
              <w:tl2br w:val="nil"/>
              <w:tr2bl w:val="nil"/>
            </w:tcBorders>
            <w:noWrap w:val="0"/>
            <w:vAlign w:val="center"/>
          </w:tcPr>
          <w:p w14:paraId="0592078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0.80</w:t>
            </w:r>
          </w:p>
        </w:tc>
        <w:tc>
          <w:tcPr>
            <w:tcW w:w="571" w:type="pct"/>
            <w:tcBorders>
              <w:tl2br w:val="nil"/>
              <w:tr2bl w:val="nil"/>
            </w:tcBorders>
            <w:noWrap w:val="0"/>
            <w:vAlign w:val="center"/>
          </w:tcPr>
          <w:p w14:paraId="2BD1D61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57135BE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22BA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B9BB38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4B70AA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Na</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5A7F9C4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1.34</w:t>
            </w:r>
          </w:p>
        </w:tc>
        <w:tc>
          <w:tcPr>
            <w:tcW w:w="906" w:type="pct"/>
            <w:tcBorders>
              <w:tl2br w:val="nil"/>
              <w:tr2bl w:val="nil"/>
            </w:tcBorders>
            <w:noWrap w:val="0"/>
            <w:vAlign w:val="center"/>
          </w:tcPr>
          <w:p w14:paraId="434806A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1.30</w:t>
            </w:r>
          </w:p>
        </w:tc>
        <w:tc>
          <w:tcPr>
            <w:tcW w:w="906" w:type="pct"/>
            <w:tcBorders>
              <w:tl2br w:val="nil"/>
              <w:tr2bl w:val="nil"/>
            </w:tcBorders>
            <w:noWrap w:val="0"/>
            <w:vAlign w:val="center"/>
          </w:tcPr>
          <w:p w14:paraId="65524A1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1.37</w:t>
            </w:r>
          </w:p>
        </w:tc>
        <w:tc>
          <w:tcPr>
            <w:tcW w:w="571" w:type="pct"/>
            <w:tcBorders>
              <w:tl2br w:val="nil"/>
              <w:tr2bl w:val="nil"/>
            </w:tcBorders>
            <w:noWrap w:val="0"/>
            <w:vAlign w:val="center"/>
          </w:tcPr>
          <w:p w14:paraId="21CEDB1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3F6A006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66D8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4F7763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668123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Ca</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2C22321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906" w:type="pct"/>
            <w:tcBorders>
              <w:tl2br w:val="nil"/>
              <w:tr2bl w:val="nil"/>
            </w:tcBorders>
            <w:noWrap w:val="0"/>
            <w:vAlign w:val="center"/>
          </w:tcPr>
          <w:p w14:paraId="42508FE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w:t>
            </w:r>
          </w:p>
        </w:tc>
        <w:tc>
          <w:tcPr>
            <w:tcW w:w="906" w:type="pct"/>
            <w:tcBorders>
              <w:tl2br w:val="nil"/>
              <w:tr2bl w:val="nil"/>
            </w:tcBorders>
            <w:noWrap w:val="0"/>
            <w:vAlign w:val="center"/>
          </w:tcPr>
          <w:p w14:paraId="69BBC86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571" w:type="pct"/>
            <w:tcBorders>
              <w:tl2br w:val="nil"/>
              <w:tr2bl w:val="nil"/>
            </w:tcBorders>
            <w:noWrap w:val="0"/>
            <w:vAlign w:val="center"/>
          </w:tcPr>
          <w:p w14:paraId="28E484E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5A38941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B3B0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87E206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50C83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Mg</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2192CAD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6335881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D62E1E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6984101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1951675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445D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C9F3CA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8A9DB4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68BF567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7AD1947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256D76A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629A1D2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07FEF57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91E8A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853744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3B574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HCO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0FBBD3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88</w:t>
            </w:r>
          </w:p>
        </w:tc>
        <w:tc>
          <w:tcPr>
            <w:tcW w:w="906" w:type="pct"/>
            <w:tcBorders>
              <w:tl2br w:val="nil"/>
              <w:tr2bl w:val="nil"/>
            </w:tcBorders>
            <w:noWrap w:val="0"/>
            <w:vAlign w:val="center"/>
          </w:tcPr>
          <w:p w14:paraId="0772F83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82</w:t>
            </w:r>
          </w:p>
        </w:tc>
        <w:tc>
          <w:tcPr>
            <w:tcW w:w="906" w:type="pct"/>
            <w:tcBorders>
              <w:tl2br w:val="nil"/>
              <w:tr2bl w:val="nil"/>
            </w:tcBorders>
            <w:noWrap w:val="0"/>
            <w:vAlign w:val="center"/>
          </w:tcPr>
          <w:p w14:paraId="42BF44C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85</w:t>
            </w:r>
          </w:p>
        </w:tc>
        <w:tc>
          <w:tcPr>
            <w:tcW w:w="571" w:type="pct"/>
            <w:tcBorders>
              <w:tl2br w:val="nil"/>
              <w:tr2bl w:val="nil"/>
            </w:tcBorders>
            <w:noWrap w:val="0"/>
            <w:vAlign w:val="center"/>
          </w:tcPr>
          <w:p w14:paraId="53BD5AA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24B750E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5B7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restart"/>
            <w:tcBorders>
              <w:tl2br w:val="nil"/>
              <w:tr2bl w:val="nil"/>
            </w:tcBorders>
            <w:noWrap w:val="0"/>
            <w:vAlign w:val="center"/>
          </w:tcPr>
          <w:p w14:paraId="31DCF1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D5东北侧365米处李家屋居民水井</w:t>
            </w:r>
          </w:p>
          <w:p w14:paraId="4B6A04D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AF8BD9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pH 值</w:t>
            </w:r>
          </w:p>
        </w:tc>
        <w:tc>
          <w:tcPr>
            <w:tcW w:w="906" w:type="pct"/>
            <w:tcBorders>
              <w:tl2br w:val="nil"/>
              <w:tr2bl w:val="nil"/>
            </w:tcBorders>
            <w:noWrap w:val="0"/>
            <w:vAlign w:val="center"/>
          </w:tcPr>
          <w:p w14:paraId="53B0BBDE">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7.3</w:t>
            </w:r>
          </w:p>
        </w:tc>
        <w:tc>
          <w:tcPr>
            <w:tcW w:w="906" w:type="pct"/>
            <w:tcBorders>
              <w:tl2br w:val="nil"/>
              <w:tr2bl w:val="nil"/>
            </w:tcBorders>
            <w:noWrap w:val="0"/>
            <w:vAlign w:val="center"/>
          </w:tcPr>
          <w:p w14:paraId="49D3FE0D">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7.3</w:t>
            </w:r>
          </w:p>
        </w:tc>
        <w:tc>
          <w:tcPr>
            <w:tcW w:w="906" w:type="pct"/>
            <w:tcBorders>
              <w:tl2br w:val="nil"/>
              <w:tr2bl w:val="nil"/>
            </w:tcBorders>
            <w:noWrap w:val="0"/>
            <w:vAlign w:val="center"/>
          </w:tcPr>
          <w:p w14:paraId="2C9A80FB">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7.4</w:t>
            </w:r>
          </w:p>
        </w:tc>
        <w:tc>
          <w:tcPr>
            <w:tcW w:w="571" w:type="pct"/>
            <w:tcBorders>
              <w:tl2br w:val="nil"/>
              <w:tr2bl w:val="nil"/>
            </w:tcBorders>
            <w:noWrap w:val="0"/>
            <w:vAlign w:val="center"/>
          </w:tcPr>
          <w:p w14:paraId="2B354CC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6.5-8.5</w:t>
            </w:r>
          </w:p>
        </w:tc>
        <w:tc>
          <w:tcPr>
            <w:tcW w:w="459" w:type="pct"/>
            <w:tcBorders>
              <w:tl2br w:val="nil"/>
              <w:tr2bl w:val="nil"/>
            </w:tcBorders>
            <w:noWrap w:val="0"/>
            <w:vAlign w:val="center"/>
          </w:tcPr>
          <w:p w14:paraId="4381C40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1026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C9755A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55F35C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氨氮</w:t>
            </w:r>
          </w:p>
        </w:tc>
        <w:tc>
          <w:tcPr>
            <w:tcW w:w="906" w:type="pct"/>
            <w:tcBorders>
              <w:tl2br w:val="nil"/>
              <w:tr2bl w:val="nil"/>
            </w:tcBorders>
            <w:noWrap w:val="0"/>
            <w:vAlign w:val="center"/>
          </w:tcPr>
          <w:p w14:paraId="36168A54">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0.071</w:t>
            </w:r>
          </w:p>
        </w:tc>
        <w:tc>
          <w:tcPr>
            <w:tcW w:w="906" w:type="pct"/>
            <w:tcBorders>
              <w:tl2br w:val="nil"/>
              <w:tr2bl w:val="nil"/>
            </w:tcBorders>
            <w:noWrap w:val="0"/>
            <w:vAlign w:val="center"/>
          </w:tcPr>
          <w:p w14:paraId="261FE13D">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0.066</w:t>
            </w:r>
          </w:p>
        </w:tc>
        <w:tc>
          <w:tcPr>
            <w:tcW w:w="906" w:type="pct"/>
            <w:tcBorders>
              <w:tl2br w:val="nil"/>
              <w:tr2bl w:val="nil"/>
            </w:tcBorders>
            <w:noWrap w:val="0"/>
            <w:vAlign w:val="center"/>
          </w:tcPr>
          <w:p w14:paraId="27734CA2">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0.069</w:t>
            </w:r>
          </w:p>
        </w:tc>
        <w:tc>
          <w:tcPr>
            <w:tcW w:w="571" w:type="pct"/>
            <w:tcBorders>
              <w:tl2br w:val="nil"/>
              <w:tr2bl w:val="nil"/>
            </w:tcBorders>
            <w:noWrap w:val="0"/>
            <w:vAlign w:val="center"/>
          </w:tcPr>
          <w:p w14:paraId="31AB96D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0.50</w:t>
            </w:r>
          </w:p>
        </w:tc>
        <w:tc>
          <w:tcPr>
            <w:tcW w:w="459" w:type="pct"/>
            <w:tcBorders>
              <w:tl2br w:val="nil"/>
              <w:tr2bl w:val="nil"/>
            </w:tcBorders>
            <w:noWrap w:val="0"/>
            <w:vAlign w:val="center"/>
          </w:tcPr>
          <w:p w14:paraId="55F0412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8DB6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51F29B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AE4ABE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硝酸盐</w:t>
            </w:r>
          </w:p>
        </w:tc>
        <w:tc>
          <w:tcPr>
            <w:tcW w:w="906" w:type="pct"/>
            <w:tcBorders>
              <w:tl2br w:val="nil"/>
              <w:tr2bl w:val="nil"/>
            </w:tcBorders>
            <w:noWrap w:val="0"/>
            <w:vAlign w:val="center"/>
          </w:tcPr>
          <w:p w14:paraId="7B54F040">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1.10</w:t>
            </w:r>
          </w:p>
        </w:tc>
        <w:tc>
          <w:tcPr>
            <w:tcW w:w="906" w:type="pct"/>
            <w:tcBorders>
              <w:tl2br w:val="nil"/>
              <w:tr2bl w:val="nil"/>
            </w:tcBorders>
            <w:noWrap w:val="0"/>
            <w:vAlign w:val="center"/>
          </w:tcPr>
          <w:p w14:paraId="45A0D96F">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1.26</w:t>
            </w:r>
          </w:p>
        </w:tc>
        <w:tc>
          <w:tcPr>
            <w:tcW w:w="906" w:type="pct"/>
            <w:tcBorders>
              <w:tl2br w:val="nil"/>
              <w:tr2bl w:val="nil"/>
            </w:tcBorders>
            <w:noWrap w:val="0"/>
            <w:vAlign w:val="center"/>
          </w:tcPr>
          <w:p w14:paraId="5998D666">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1.20</w:t>
            </w:r>
          </w:p>
        </w:tc>
        <w:tc>
          <w:tcPr>
            <w:tcW w:w="571" w:type="pct"/>
            <w:tcBorders>
              <w:tl2br w:val="nil"/>
              <w:tr2bl w:val="nil"/>
            </w:tcBorders>
            <w:noWrap w:val="0"/>
            <w:vAlign w:val="center"/>
          </w:tcPr>
          <w:p w14:paraId="518C7FD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4E45C62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F9E7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8E1B6A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3D3D1B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亚硝酸盐</w:t>
            </w:r>
          </w:p>
        </w:tc>
        <w:tc>
          <w:tcPr>
            <w:tcW w:w="906" w:type="pct"/>
            <w:tcBorders>
              <w:tl2br w:val="nil"/>
              <w:tr2bl w:val="nil"/>
            </w:tcBorders>
            <w:noWrap w:val="0"/>
            <w:vAlign w:val="center"/>
          </w:tcPr>
          <w:p w14:paraId="5752C0CD">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30AABF22">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786C62CE">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74BE219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0329E8B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7753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A052E4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C8A9FC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挥发酚酚类</w:t>
            </w:r>
          </w:p>
        </w:tc>
        <w:tc>
          <w:tcPr>
            <w:tcW w:w="906" w:type="pct"/>
            <w:tcBorders>
              <w:tl2br w:val="nil"/>
              <w:tr2bl w:val="nil"/>
            </w:tcBorders>
            <w:noWrap w:val="0"/>
            <w:vAlign w:val="center"/>
          </w:tcPr>
          <w:p w14:paraId="4E97B99F">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2F451F96">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00BC819C">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3861A22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0.002</w:t>
            </w:r>
          </w:p>
        </w:tc>
        <w:tc>
          <w:tcPr>
            <w:tcW w:w="459" w:type="pct"/>
            <w:tcBorders>
              <w:tl2br w:val="nil"/>
              <w:tr2bl w:val="nil"/>
            </w:tcBorders>
            <w:noWrap w:val="0"/>
            <w:vAlign w:val="center"/>
          </w:tcPr>
          <w:p w14:paraId="235A3BD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BBFA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70F757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B399A5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氰化物</w:t>
            </w:r>
          </w:p>
        </w:tc>
        <w:tc>
          <w:tcPr>
            <w:tcW w:w="906" w:type="pct"/>
            <w:tcBorders>
              <w:tl2br w:val="nil"/>
              <w:tr2bl w:val="nil"/>
            </w:tcBorders>
            <w:noWrap w:val="0"/>
            <w:vAlign w:val="center"/>
          </w:tcPr>
          <w:p w14:paraId="5FE07249">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3931A1D9">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6DFD08D8">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68B0D60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2D3C26D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A7288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546" w:type="pct"/>
            <w:vMerge w:val="continue"/>
            <w:tcBorders>
              <w:tl2br w:val="nil"/>
              <w:tr2bl w:val="nil"/>
            </w:tcBorders>
            <w:noWrap w:val="0"/>
            <w:vAlign w:val="center"/>
          </w:tcPr>
          <w:p w14:paraId="150B25B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9247FC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阴离子表面活性剂</w:t>
            </w:r>
          </w:p>
        </w:tc>
        <w:tc>
          <w:tcPr>
            <w:tcW w:w="906" w:type="pct"/>
            <w:tcBorders>
              <w:tl2br w:val="nil"/>
              <w:tr2bl w:val="nil"/>
            </w:tcBorders>
            <w:noWrap w:val="0"/>
            <w:vAlign w:val="center"/>
          </w:tcPr>
          <w:p w14:paraId="7C4B3E8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3C427F7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906" w:type="pct"/>
            <w:tcBorders>
              <w:tl2br w:val="nil"/>
              <w:tr2bl w:val="nil"/>
            </w:tcBorders>
            <w:noWrap w:val="0"/>
            <w:vAlign w:val="center"/>
          </w:tcPr>
          <w:p w14:paraId="0868619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ND</w:t>
            </w:r>
          </w:p>
        </w:tc>
        <w:tc>
          <w:tcPr>
            <w:tcW w:w="571" w:type="pct"/>
            <w:tcBorders>
              <w:tl2br w:val="nil"/>
              <w:tr2bl w:val="nil"/>
            </w:tcBorders>
            <w:noWrap w:val="0"/>
            <w:vAlign w:val="center"/>
          </w:tcPr>
          <w:p w14:paraId="2700D9A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0.3</w:t>
            </w:r>
          </w:p>
        </w:tc>
        <w:tc>
          <w:tcPr>
            <w:tcW w:w="459" w:type="pct"/>
            <w:tcBorders>
              <w:tl2br w:val="nil"/>
              <w:tr2bl w:val="nil"/>
            </w:tcBorders>
            <w:noWrap w:val="0"/>
            <w:vAlign w:val="center"/>
          </w:tcPr>
          <w:p w14:paraId="16FECA7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14:paraId="68D6B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3DDA54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A18AA1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砷</w:t>
            </w:r>
          </w:p>
        </w:tc>
        <w:tc>
          <w:tcPr>
            <w:tcW w:w="906" w:type="pct"/>
            <w:tcBorders>
              <w:tl2br w:val="nil"/>
              <w:tr2bl w:val="nil"/>
            </w:tcBorders>
            <w:noWrap w:val="0"/>
            <w:vAlign w:val="center"/>
          </w:tcPr>
          <w:p w14:paraId="4AD8E8BB">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4F028458">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0BD1A2B7">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55685C1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66026E9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AF64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9288EB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E4D69F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汞</w:t>
            </w:r>
          </w:p>
        </w:tc>
        <w:tc>
          <w:tcPr>
            <w:tcW w:w="906" w:type="pct"/>
            <w:tcBorders>
              <w:tl2br w:val="nil"/>
              <w:tr2bl w:val="nil"/>
            </w:tcBorders>
            <w:noWrap w:val="0"/>
            <w:vAlign w:val="center"/>
          </w:tcPr>
          <w:p w14:paraId="2F20B9E3">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68341149">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2F15D64F">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2F1D980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0.001</w:t>
            </w:r>
          </w:p>
        </w:tc>
        <w:tc>
          <w:tcPr>
            <w:tcW w:w="459" w:type="pct"/>
            <w:tcBorders>
              <w:tl2br w:val="nil"/>
              <w:tr2bl w:val="nil"/>
            </w:tcBorders>
            <w:noWrap w:val="0"/>
            <w:vAlign w:val="center"/>
          </w:tcPr>
          <w:p w14:paraId="62D4117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3BD2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7AB9A6E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558EC6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六价铬</w:t>
            </w:r>
          </w:p>
        </w:tc>
        <w:tc>
          <w:tcPr>
            <w:tcW w:w="906" w:type="pct"/>
            <w:tcBorders>
              <w:tl2br w:val="nil"/>
              <w:tr2bl w:val="nil"/>
            </w:tcBorders>
            <w:noWrap w:val="0"/>
            <w:vAlign w:val="center"/>
          </w:tcPr>
          <w:p w14:paraId="517852EA">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3AD0194E">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69CE3917">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2B81FC1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0.05</w:t>
            </w:r>
          </w:p>
        </w:tc>
        <w:tc>
          <w:tcPr>
            <w:tcW w:w="459" w:type="pct"/>
            <w:tcBorders>
              <w:tl2br w:val="nil"/>
              <w:tr2bl w:val="nil"/>
            </w:tcBorders>
            <w:noWrap w:val="0"/>
            <w:vAlign w:val="center"/>
          </w:tcPr>
          <w:p w14:paraId="0EE12E9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6A8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723BE3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355EA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总硬度</w:t>
            </w:r>
          </w:p>
        </w:tc>
        <w:tc>
          <w:tcPr>
            <w:tcW w:w="906" w:type="pct"/>
            <w:tcBorders>
              <w:tl2br w:val="nil"/>
              <w:tr2bl w:val="nil"/>
            </w:tcBorders>
            <w:noWrap w:val="0"/>
            <w:vAlign w:val="center"/>
          </w:tcPr>
          <w:p w14:paraId="44CC6B25">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188</w:t>
            </w:r>
          </w:p>
        </w:tc>
        <w:tc>
          <w:tcPr>
            <w:tcW w:w="906" w:type="pct"/>
            <w:tcBorders>
              <w:tl2br w:val="nil"/>
              <w:tr2bl w:val="nil"/>
            </w:tcBorders>
            <w:noWrap w:val="0"/>
            <w:vAlign w:val="center"/>
          </w:tcPr>
          <w:p w14:paraId="1EA8C79C">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191</w:t>
            </w:r>
          </w:p>
        </w:tc>
        <w:tc>
          <w:tcPr>
            <w:tcW w:w="906" w:type="pct"/>
            <w:tcBorders>
              <w:tl2br w:val="nil"/>
              <w:tr2bl w:val="nil"/>
            </w:tcBorders>
            <w:noWrap w:val="0"/>
            <w:vAlign w:val="center"/>
          </w:tcPr>
          <w:p w14:paraId="4296565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187</w:t>
            </w:r>
          </w:p>
        </w:tc>
        <w:tc>
          <w:tcPr>
            <w:tcW w:w="571" w:type="pct"/>
            <w:tcBorders>
              <w:tl2br w:val="nil"/>
              <w:tr2bl w:val="nil"/>
            </w:tcBorders>
            <w:noWrap w:val="0"/>
            <w:vAlign w:val="center"/>
          </w:tcPr>
          <w:p w14:paraId="224DC06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450</w:t>
            </w:r>
          </w:p>
        </w:tc>
        <w:tc>
          <w:tcPr>
            <w:tcW w:w="459" w:type="pct"/>
            <w:tcBorders>
              <w:tl2br w:val="nil"/>
              <w:tr2bl w:val="nil"/>
            </w:tcBorders>
            <w:noWrap w:val="0"/>
            <w:vAlign w:val="center"/>
          </w:tcPr>
          <w:p w14:paraId="427DC13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1F72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99985E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0E1337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铅</w:t>
            </w:r>
          </w:p>
        </w:tc>
        <w:tc>
          <w:tcPr>
            <w:tcW w:w="906" w:type="pct"/>
            <w:tcBorders>
              <w:tl2br w:val="nil"/>
              <w:tr2bl w:val="nil"/>
            </w:tcBorders>
            <w:noWrap w:val="0"/>
            <w:vAlign w:val="center"/>
          </w:tcPr>
          <w:p w14:paraId="282217B9">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7E47EBC8">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341E48FF">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5953D1F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0.01</w:t>
            </w:r>
          </w:p>
        </w:tc>
        <w:tc>
          <w:tcPr>
            <w:tcW w:w="459" w:type="pct"/>
            <w:tcBorders>
              <w:tl2br w:val="nil"/>
              <w:tr2bl w:val="nil"/>
            </w:tcBorders>
            <w:noWrap w:val="0"/>
            <w:vAlign w:val="center"/>
          </w:tcPr>
          <w:p w14:paraId="0DE2AFA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4202F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F95549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A12019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氟化物</w:t>
            </w:r>
          </w:p>
        </w:tc>
        <w:tc>
          <w:tcPr>
            <w:tcW w:w="906" w:type="pct"/>
            <w:tcBorders>
              <w:tl2br w:val="nil"/>
              <w:tr2bl w:val="nil"/>
            </w:tcBorders>
            <w:noWrap w:val="0"/>
            <w:vAlign w:val="center"/>
          </w:tcPr>
          <w:p w14:paraId="6E49AAB7">
            <w:pPr>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0DEA7E80">
            <w:pPr>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5635F135">
            <w:pPr>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3AE1C26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w:t>
            </w:r>
          </w:p>
        </w:tc>
        <w:tc>
          <w:tcPr>
            <w:tcW w:w="459" w:type="pct"/>
            <w:tcBorders>
              <w:tl2br w:val="nil"/>
              <w:tr2bl w:val="nil"/>
            </w:tcBorders>
            <w:noWrap w:val="0"/>
            <w:vAlign w:val="center"/>
          </w:tcPr>
          <w:p w14:paraId="0B2B5CE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3BBA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747DA6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6DDC0E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镉</w:t>
            </w:r>
          </w:p>
        </w:tc>
        <w:tc>
          <w:tcPr>
            <w:tcW w:w="906" w:type="pct"/>
            <w:tcBorders>
              <w:tl2br w:val="nil"/>
              <w:tr2bl w:val="nil"/>
            </w:tcBorders>
            <w:noWrap w:val="0"/>
            <w:vAlign w:val="center"/>
          </w:tcPr>
          <w:p w14:paraId="124C03DC">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1AE8B474">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45B23744">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63A7640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0.005</w:t>
            </w:r>
          </w:p>
        </w:tc>
        <w:tc>
          <w:tcPr>
            <w:tcW w:w="459" w:type="pct"/>
            <w:tcBorders>
              <w:tl2br w:val="nil"/>
              <w:tr2bl w:val="nil"/>
            </w:tcBorders>
            <w:noWrap w:val="0"/>
            <w:vAlign w:val="center"/>
          </w:tcPr>
          <w:p w14:paraId="6844FA0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21EB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BE2BDD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929F54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铁</w:t>
            </w:r>
          </w:p>
        </w:tc>
        <w:tc>
          <w:tcPr>
            <w:tcW w:w="906" w:type="pct"/>
            <w:tcBorders>
              <w:tl2br w:val="nil"/>
              <w:tr2bl w:val="nil"/>
            </w:tcBorders>
            <w:noWrap w:val="0"/>
            <w:vAlign w:val="center"/>
          </w:tcPr>
          <w:p w14:paraId="4A6FF463">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03E855B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471B4B28">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308C01B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0.3</w:t>
            </w:r>
          </w:p>
        </w:tc>
        <w:tc>
          <w:tcPr>
            <w:tcW w:w="459" w:type="pct"/>
            <w:tcBorders>
              <w:tl2br w:val="nil"/>
              <w:tr2bl w:val="nil"/>
            </w:tcBorders>
            <w:noWrap w:val="0"/>
            <w:vAlign w:val="center"/>
          </w:tcPr>
          <w:p w14:paraId="075F40D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635D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209E01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A5B8F5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锰</w:t>
            </w:r>
          </w:p>
        </w:tc>
        <w:tc>
          <w:tcPr>
            <w:tcW w:w="906" w:type="pct"/>
            <w:tcBorders>
              <w:tl2br w:val="nil"/>
              <w:tr2bl w:val="nil"/>
            </w:tcBorders>
            <w:noWrap w:val="0"/>
            <w:vAlign w:val="center"/>
          </w:tcPr>
          <w:p w14:paraId="0B1BDEB4">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4DE0C52A">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31A2BB42">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7236C84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0.10</w:t>
            </w:r>
          </w:p>
        </w:tc>
        <w:tc>
          <w:tcPr>
            <w:tcW w:w="459" w:type="pct"/>
            <w:tcBorders>
              <w:tl2br w:val="nil"/>
              <w:tr2bl w:val="nil"/>
            </w:tcBorders>
            <w:noWrap w:val="0"/>
            <w:vAlign w:val="center"/>
          </w:tcPr>
          <w:p w14:paraId="6F51CC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19A021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136A2E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2F36DEE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溶解性总固体</w:t>
            </w:r>
          </w:p>
        </w:tc>
        <w:tc>
          <w:tcPr>
            <w:tcW w:w="906" w:type="pct"/>
            <w:tcBorders>
              <w:tl2br w:val="nil"/>
              <w:tr2bl w:val="nil"/>
            </w:tcBorders>
            <w:noWrap w:val="0"/>
            <w:vAlign w:val="center"/>
          </w:tcPr>
          <w:p w14:paraId="22707B1B">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142</w:t>
            </w:r>
          </w:p>
        </w:tc>
        <w:tc>
          <w:tcPr>
            <w:tcW w:w="906" w:type="pct"/>
            <w:tcBorders>
              <w:tl2br w:val="nil"/>
              <w:tr2bl w:val="nil"/>
            </w:tcBorders>
            <w:noWrap w:val="0"/>
            <w:vAlign w:val="center"/>
          </w:tcPr>
          <w:p w14:paraId="55BEFFB4">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160</w:t>
            </w:r>
          </w:p>
        </w:tc>
        <w:tc>
          <w:tcPr>
            <w:tcW w:w="906" w:type="pct"/>
            <w:tcBorders>
              <w:tl2br w:val="nil"/>
              <w:tr2bl w:val="nil"/>
            </w:tcBorders>
            <w:noWrap w:val="0"/>
            <w:vAlign w:val="center"/>
          </w:tcPr>
          <w:p w14:paraId="30A77F47">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151</w:t>
            </w:r>
          </w:p>
        </w:tc>
        <w:tc>
          <w:tcPr>
            <w:tcW w:w="571" w:type="pct"/>
            <w:tcBorders>
              <w:tl2br w:val="nil"/>
              <w:tr2bl w:val="nil"/>
            </w:tcBorders>
            <w:noWrap w:val="0"/>
            <w:vAlign w:val="center"/>
          </w:tcPr>
          <w:p w14:paraId="3796F86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1000</w:t>
            </w:r>
          </w:p>
        </w:tc>
        <w:tc>
          <w:tcPr>
            <w:tcW w:w="459" w:type="pct"/>
            <w:tcBorders>
              <w:tl2br w:val="nil"/>
              <w:tr2bl w:val="nil"/>
            </w:tcBorders>
            <w:noWrap w:val="0"/>
            <w:vAlign w:val="center"/>
          </w:tcPr>
          <w:p w14:paraId="28A535B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937C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29C9919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52A3BEC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耗氧量</w:t>
            </w:r>
          </w:p>
        </w:tc>
        <w:tc>
          <w:tcPr>
            <w:tcW w:w="906" w:type="pct"/>
            <w:tcBorders>
              <w:tl2br w:val="nil"/>
              <w:tr2bl w:val="nil"/>
            </w:tcBorders>
            <w:noWrap w:val="0"/>
            <w:vAlign w:val="center"/>
          </w:tcPr>
          <w:p w14:paraId="1A6EB469">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1.3</w:t>
            </w:r>
          </w:p>
        </w:tc>
        <w:tc>
          <w:tcPr>
            <w:tcW w:w="906" w:type="pct"/>
            <w:tcBorders>
              <w:tl2br w:val="nil"/>
              <w:tr2bl w:val="nil"/>
            </w:tcBorders>
            <w:noWrap w:val="0"/>
            <w:vAlign w:val="center"/>
          </w:tcPr>
          <w:p w14:paraId="28C7556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1.5</w:t>
            </w:r>
          </w:p>
        </w:tc>
        <w:tc>
          <w:tcPr>
            <w:tcW w:w="906" w:type="pct"/>
            <w:tcBorders>
              <w:tl2br w:val="nil"/>
              <w:tr2bl w:val="nil"/>
            </w:tcBorders>
            <w:noWrap w:val="0"/>
            <w:vAlign w:val="center"/>
          </w:tcPr>
          <w:p w14:paraId="4FFA483C">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1.2</w:t>
            </w:r>
          </w:p>
        </w:tc>
        <w:tc>
          <w:tcPr>
            <w:tcW w:w="571" w:type="pct"/>
            <w:tcBorders>
              <w:tl2br w:val="nil"/>
              <w:tr2bl w:val="nil"/>
            </w:tcBorders>
            <w:noWrap w:val="0"/>
            <w:vAlign w:val="center"/>
          </w:tcPr>
          <w:p w14:paraId="7DA163F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7193F6E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4F1A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11FB10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44A12E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硫酸盐（SO4</w:t>
            </w:r>
            <w:r>
              <w:rPr>
                <w:rFonts w:hint="default" w:ascii="Times New Roman" w:hAnsi="Times New Roman" w:eastAsia="宋体" w:cs="Times New Roman"/>
                <w:sz w:val="21"/>
                <w:szCs w:val="21"/>
                <w:vertAlign w:val="superscript"/>
                <w:lang w:eastAsia="zh-CN"/>
              </w:rPr>
              <w:t>2-</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6D3BC72F">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33.1</w:t>
            </w:r>
          </w:p>
        </w:tc>
        <w:tc>
          <w:tcPr>
            <w:tcW w:w="906" w:type="pct"/>
            <w:tcBorders>
              <w:tl2br w:val="nil"/>
              <w:tr2bl w:val="nil"/>
            </w:tcBorders>
            <w:noWrap w:val="0"/>
            <w:vAlign w:val="center"/>
          </w:tcPr>
          <w:p w14:paraId="13F8BFD3">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32.0</w:t>
            </w:r>
          </w:p>
        </w:tc>
        <w:tc>
          <w:tcPr>
            <w:tcW w:w="906" w:type="pct"/>
            <w:tcBorders>
              <w:tl2br w:val="nil"/>
              <w:tr2bl w:val="nil"/>
            </w:tcBorders>
            <w:noWrap w:val="0"/>
            <w:vAlign w:val="center"/>
          </w:tcPr>
          <w:p w14:paraId="29246D54">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32.9</w:t>
            </w:r>
          </w:p>
        </w:tc>
        <w:tc>
          <w:tcPr>
            <w:tcW w:w="571" w:type="pct"/>
            <w:tcBorders>
              <w:tl2br w:val="nil"/>
              <w:tr2bl w:val="nil"/>
            </w:tcBorders>
            <w:noWrap w:val="0"/>
            <w:vAlign w:val="center"/>
          </w:tcPr>
          <w:p w14:paraId="1202D74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1EB86D3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69F1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E868A9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F5A28D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氯化物（CL</w:t>
            </w:r>
            <w:r>
              <w:rPr>
                <w:rFonts w:hint="default" w:ascii="Times New Roman" w:hAnsi="Times New Roman" w:eastAsia="宋体" w:cs="Times New Roman"/>
                <w:sz w:val="21"/>
                <w:szCs w:val="21"/>
                <w:vertAlign w:val="superscript"/>
                <w:lang w:eastAsia="zh-CN"/>
              </w:rPr>
              <w:t>-</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14:paraId="6749A1C9">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21.8</w:t>
            </w:r>
          </w:p>
        </w:tc>
        <w:tc>
          <w:tcPr>
            <w:tcW w:w="906" w:type="pct"/>
            <w:tcBorders>
              <w:tl2br w:val="nil"/>
              <w:tr2bl w:val="nil"/>
            </w:tcBorders>
            <w:noWrap w:val="0"/>
            <w:vAlign w:val="center"/>
          </w:tcPr>
          <w:p w14:paraId="7DE536F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21.4</w:t>
            </w:r>
          </w:p>
        </w:tc>
        <w:tc>
          <w:tcPr>
            <w:tcW w:w="906" w:type="pct"/>
            <w:tcBorders>
              <w:tl2br w:val="nil"/>
              <w:tr2bl w:val="nil"/>
            </w:tcBorders>
            <w:noWrap w:val="0"/>
            <w:vAlign w:val="center"/>
          </w:tcPr>
          <w:p w14:paraId="4D0F1FA7">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21.9</w:t>
            </w:r>
          </w:p>
        </w:tc>
        <w:tc>
          <w:tcPr>
            <w:tcW w:w="571" w:type="pct"/>
            <w:tcBorders>
              <w:tl2br w:val="nil"/>
              <w:tr2bl w:val="nil"/>
            </w:tcBorders>
            <w:noWrap w:val="0"/>
            <w:vAlign w:val="center"/>
          </w:tcPr>
          <w:p w14:paraId="4971A1B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250</w:t>
            </w:r>
          </w:p>
        </w:tc>
        <w:tc>
          <w:tcPr>
            <w:tcW w:w="459" w:type="pct"/>
            <w:tcBorders>
              <w:tl2br w:val="nil"/>
              <w:tr2bl w:val="nil"/>
            </w:tcBorders>
            <w:noWrap w:val="0"/>
            <w:vAlign w:val="center"/>
          </w:tcPr>
          <w:p w14:paraId="4EF70D1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4746B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6253333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302745B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总大肠菌群</w:t>
            </w:r>
          </w:p>
        </w:tc>
        <w:tc>
          <w:tcPr>
            <w:tcW w:w="906" w:type="pct"/>
            <w:tcBorders>
              <w:tl2br w:val="nil"/>
              <w:tr2bl w:val="nil"/>
            </w:tcBorders>
            <w:noWrap w:val="0"/>
            <w:vAlign w:val="center"/>
          </w:tcPr>
          <w:p w14:paraId="5D7C16BD">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未检出</w:t>
            </w:r>
          </w:p>
        </w:tc>
        <w:tc>
          <w:tcPr>
            <w:tcW w:w="906" w:type="pct"/>
            <w:tcBorders>
              <w:tl2br w:val="nil"/>
              <w:tr2bl w:val="nil"/>
            </w:tcBorders>
            <w:noWrap w:val="0"/>
            <w:vAlign w:val="center"/>
          </w:tcPr>
          <w:p w14:paraId="211E646D">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未检出</w:t>
            </w:r>
          </w:p>
        </w:tc>
        <w:tc>
          <w:tcPr>
            <w:tcW w:w="906" w:type="pct"/>
            <w:tcBorders>
              <w:tl2br w:val="nil"/>
              <w:tr2bl w:val="nil"/>
            </w:tcBorders>
            <w:noWrap w:val="0"/>
            <w:vAlign w:val="center"/>
          </w:tcPr>
          <w:p w14:paraId="0E6C53E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未检出</w:t>
            </w:r>
          </w:p>
        </w:tc>
        <w:tc>
          <w:tcPr>
            <w:tcW w:w="571" w:type="pct"/>
            <w:tcBorders>
              <w:tl2br w:val="nil"/>
              <w:tr2bl w:val="nil"/>
            </w:tcBorders>
            <w:noWrap w:val="0"/>
            <w:vAlign w:val="center"/>
          </w:tcPr>
          <w:p w14:paraId="3A91F85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3.0</w:t>
            </w:r>
          </w:p>
        </w:tc>
        <w:tc>
          <w:tcPr>
            <w:tcW w:w="459" w:type="pct"/>
            <w:tcBorders>
              <w:tl2br w:val="nil"/>
              <w:tr2bl w:val="nil"/>
            </w:tcBorders>
            <w:noWrap w:val="0"/>
            <w:vAlign w:val="center"/>
          </w:tcPr>
          <w:p w14:paraId="153E34F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532D7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3A80DCF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6F4174F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菌落总数</w:t>
            </w:r>
          </w:p>
        </w:tc>
        <w:tc>
          <w:tcPr>
            <w:tcW w:w="906" w:type="pct"/>
            <w:tcBorders>
              <w:tl2br w:val="nil"/>
              <w:tr2bl w:val="nil"/>
            </w:tcBorders>
            <w:noWrap w:val="0"/>
            <w:vAlign w:val="center"/>
          </w:tcPr>
          <w:p w14:paraId="1A8F4047">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15</w:t>
            </w:r>
          </w:p>
        </w:tc>
        <w:tc>
          <w:tcPr>
            <w:tcW w:w="906" w:type="pct"/>
            <w:tcBorders>
              <w:tl2br w:val="nil"/>
              <w:tr2bl w:val="nil"/>
            </w:tcBorders>
            <w:noWrap w:val="0"/>
            <w:vAlign w:val="center"/>
          </w:tcPr>
          <w:p w14:paraId="0172B19A">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16</w:t>
            </w:r>
          </w:p>
        </w:tc>
        <w:tc>
          <w:tcPr>
            <w:tcW w:w="906" w:type="pct"/>
            <w:tcBorders>
              <w:tl2br w:val="nil"/>
              <w:tr2bl w:val="nil"/>
            </w:tcBorders>
            <w:noWrap w:val="0"/>
            <w:vAlign w:val="center"/>
          </w:tcPr>
          <w:p w14:paraId="4F8E4D78">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14</w:t>
            </w:r>
          </w:p>
        </w:tc>
        <w:tc>
          <w:tcPr>
            <w:tcW w:w="571" w:type="pct"/>
            <w:tcBorders>
              <w:tl2br w:val="nil"/>
              <w:tr2bl w:val="nil"/>
            </w:tcBorders>
            <w:noWrap w:val="0"/>
            <w:vAlign w:val="center"/>
          </w:tcPr>
          <w:p w14:paraId="2817765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w:t>
            </w:r>
          </w:p>
        </w:tc>
        <w:tc>
          <w:tcPr>
            <w:tcW w:w="459" w:type="pct"/>
            <w:tcBorders>
              <w:tl2br w:val="nil"/>
              <w:tr2bl w:val="nil"/>
            </w:tcBorders>
            <w:noWrap w:val="0"/>
            <w:vAlign w:val="center"/>
          </w:tcPr>
          <w:p w14:paraId="235ECCF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A51A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2E453B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5F6071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K</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40C1BB9A">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0.77</w:t>
            </w:r>
          </w:p>
        </w:tc>
        <w:tc>
          <w:tcPr>
            <w:tcW w:w="906" w:type="pct"/>
            <w:tcBorders>
              <w:tl2br w:val="nil"/>
              <w:tr2bl w:val="nil"/>
            </w:tcBorders>
            <w:noWrap w:val="0"/>
            <w:vAlign w:val="center"/>
          </w:tcPr>
          <w:p w14:paraId="37B6596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0.81</w:t>
            </w:r>
          </w:p>
        </w:tc>
        <w:tc>
          <w:tcPr>
            <w:tcW w:w="906" w:type="pct"/>
            <w:tcBorders>
              <w:tl2br w:val="nil"/>
              <w:tr2bl w:val="nil"/>
            </w:tcBorders>
            <w:noWrap w:val="0"/>
            <w:vAlign w:val="center"/>
          </w:tcPr>
          <w:p w14:paraId="4C2DA9B2">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0.79</w:t>
            </w:r>
          </w:p>
        </w:tc>
        <w:tc>
          <w:tcPr>
            <w:tcW w:w="571" w:type="pct"/>
            <w:tcBorders>
              <w:tl2br w:val="nil"/>
              <w:tr2bl w:val="nil"/>
            </w:tcBorders>
            <w:noWrap w:val="0"/>
            <w:vAlign w:val="center"/>
          </w:tcPr>
          <w:p w14:paraId="273139B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3A94CDB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2594B3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EFB974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7A19CCC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Na</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75AEC103">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1.20</w:t>
            </w:r>
          </w:p>
        </w:tc>
        <w:tc>
          <w:tcPr>
            <w:tcW w:w="906" w:type="pct"/>
            <w:tcBorders>
              <w:tl2br w:val="nil"/>
              <w:tr2bl w:val="nil"/>
            </w:tcBorders>
            <w:noWrap w:val="0"/>
            <w:vAlign w:val="center"/>
          </w:tcPr>
          <w:p w14:paraId="3A6FE28A">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1.16</w:t>
            </w:r>
          </w:p>
        </w:tc>
        <w:tc>
          <w:tcPr>
            <w:tcW w:w="906" w:type="pct"/>
            <w:tcBorders>
              <w:tl2br w:val="nil"/>
              <w:tr2bl w:val="nil"/>
            </w:tcBorders>
            <w:noWrap w:val="0"/>
            <w:vAlign w:val="center"/>
          </w:tcPr>
          <w:p w14:paraId="05B8C220">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1.17</w:t>
            </w:r>
          </w:p>
        </w:tc>
        <w:tc>
          <w:tcPr>
            <w:tcW w:w="571" w:type="pct"/>
            <w:tcBorders>
              <w:tl2br w:val="nil"/>
              <w:tr2bl w:val="nil"/>
            </w:tcBorders>
            <w:noWrap w:val="0"/>
            <w:vAlign w:val="center"/>
          </w:tcPr>
          <w:p w14:paraId="538E7EC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w:t>
            </w:r>
          </w:p>
        </w:tc>
        <w:tc>
          <w:tcPr>
            <w:tcW w:w="459" w:type="pct"/>
            <w:tcBorders>
              <w:tl2br w:val="nil"/>
              <w:tr2bl w:val="nil"/>
            </w:tcBorders>
            <w:noWrap w:val="0"/>
            <w:vAlign w:val="center"/>
          </w:tcPr>
          <w:p w14:paraId="62DC56C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0FBDB3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5DFDCC8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1D5D3B4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Ca</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011A75B9">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110</w:t>
            </w:r>
          </w:p>
        </w:tc>
        <w:tc>
          <w:tcPr>
            <w:tcW w:w="906" w:type="pct"/>
            <w:tcBorders>
              <w:tl2br w:val="nil"/>
              <w:tr2bl w:val="nil"/>
            </w:tcBorders>
            <w:noWrap w:val="0"/>
            <w:vAlign w:val="center"/>
          </w:tcPr>
          <w:p w14:paraId="17E325B6">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106</w:t>
            </w:r>
          </w:p>
        </w:tc>
        <w:tc>
          <w:tcPr>
            <w:tcW w:w="906" w:type="pct"/>
            <w:tcBorders>
              <w:tl2br w:val="nil"/>
              <w:tr2bl w:val="nil"/>
            </w:tcBorders>
            <w:noWrap w:val="0"/>
            <w:vAlign w:val="center"/>
          </w:tcPr>
          <w:p w14:paraId="11039772">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109</w:t>
            </w:r>
          </w:p>
        </w:tc>
        <w:tc>
          <w:tcPr>
            <w:tcW w:w="571" w:type="pct"/>
            <w:tcBorders>
              <w:tl2br w:val="nil"/>
              <w:tr2bl w:val="nil"/>
            </w:tcBorders>
            <w:noWrap w:val="0"/>
            <w:vAlign w:val="center"/>
          </w:tcPr>
          <w:p w14:paraId="12A6BA07">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7D7C404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32DF3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4110615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4464A3D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Mg</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5C76D53A">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60DE4075">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7F25A5A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3BEF4CC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3CEED82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63B6B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1314A55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26D5C6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2-</w:t>
            </w:r>
          </w:p>
        </w:tc>
        <w:tc>
          <w:tcPr>
            <w:tcW w:w="906" w:type="pct"/>
            <w:tcBorders>
              <w:tl2br w:val="nil"/>
              <w:tr2bl w:val="nil"/>
            </w:tcBorders>
            <w:noWrap w:val="0"/>
            <w:vAlign w:val="center"/>
          </w:tcPr>
          <w:p w14:paraId="1DE33DEE">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5010F990">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906" w:type="pct"/>
            <w:tcBorders>
              <w:tl2br w:val="nil"/>
              <w:tr2bl w:val="nil"/>
            </w:tcBorders>
            <w:noWrap w:val="0"/>
            <w:vAlign w:val="center"/>
          </w:tcPr>
          <w:p w14:paraId="602C1E01">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ND</w:t>
            </w:r>
          </w:p>
        </w:tc>
        <w:tc>
          <w:tcPr>
            <w:tcW w:w="571" w:type="pct"/>
            <w:tcBorders>
              <w:tl2br w:val="nil"/>
              <w:tr2bl w:val="nil"/>
            </w:tcBorders>
            <w:noWrap w:val="0"/>
            <w:vAlign w:val="center"/>
          </w:tcPr>
          <w:p w14:paraId="01EFA0A4">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2ADDE0B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57856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vMerge w:val="continue"/>
            <w:tcBorders>
              <w:tl2br w:val="nil"/>
              <w:tr2bl w:val="nil"/>
            </w:tcBorders>
            <w:noWrap w:val="0"/>
            <w:vAlign w:val="center"/>
          </w:tcPr>
          <w:p w14:paraId="02EC1AC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p>
        </w:tc>
        <w:tc>
          <w:tcPr>
            <w:tcW w:w="704" w:type="pct"/>
            <w:tcBorders>
              <w:tl2br w:val="nil"/>
              <w:tr2bl w:val="nil"/>
            </w:tcBorders>
            <w:noWrap w:val="0"/>
            <w:vAlign w:val="center"/>
          </w:tcPr>
          <w:p w14:paraId="019777D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napToGrid w:val="0"/>
                <w:sz w:val="21"/>
                <w:szCs w:val="21"/>
                <w:lang w:eastAsia="zh-CN"/>
              </w:rPr>
              <w:t>HCO</w:t>
            </w:r>
            <w:r>
              <w:rPr>
                <w:rFonts w:hint="default" w:ascii="Times New Roman" w:hAnsi="Times New Roman" w:eastAsia="宋体" w:cs="Times New Roman"/>
                <w:snapToGrid w:val="0"/>
                <w:sz w:val="21"/>
                <w:szCs w:val="21"/>
                <w:vertAlign w:val="subscript"/>
                <w:lang w:eastAsia="zh-CN"/>
              </w:rPr>
              <w:t>3</w:t>
            </w:r>
            <w:r>
              <w:rPr>
                <w:rFonts w:hint="default" w:ascii="Times New Roman" w:hAnsi="Times New Roman" w:eastAsia="宋体" w:cs="Times New Roman"/>
                <w:snapToGrid w:val="0"/>
                <w:sz w:val="21"/>
                <w:szCs w:val="21"/>
                <w:vertAlign w:val="superscript"/>
                <w:lang w:eastAsia="zh-CN"/>
              </w:rPr>
              <w:t>-</w:t>
            </w:r>
          </w:p>
        </w:tc>
        <w:tc>
          <w:tcPr>
            <w:tcW w:w="906" w:type="pct"/>
            <w:tcBorders>
              <w:tl2br w:val="nil"/>
              <w:tr2bl w:val="nil"/>
            </w:tcBorders>
            <w:noWrap w:val="0"/>
            <w:vAlign w:val="center"/>
          </w:tcPr>
          <w:p w14:paraId="473F584E">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166</w:t>
            </w:r>
          </w:p>
        </w:tc>
        <w:tc>
          <w:tcPr>
            <w:tcW w:w="906" w:type="pct"/>
            <w:tcBorders>
              <w:tl2br w:val="nil"/>
              <w:tr2bl w:val="nil"/>
            </w:tcBorders>
            <w:noWrap w:val="0"/>
            <w:vAlign w:val="center"/>
          </w:tcPr>
          <w:p w14:paraId="0E3DD14B">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161</w:t>
            </w:r>
          </w:p>
        </w:tc>
        <w:tc>
          <w:tcPr>
            <w:tcW w:w="906" w:type="pct"/>
            <w:tcBorders>
              <w:tl2br w:val="nil"/>
              <w:tr2bl w:val="nil"/>
            </w:tcBorders>
            <w:noWrap w:val="0"/>
            <w:vAlign w:val="center"/>
          </w:tcPr>
          <w:p w14:paraId="63BDBB47">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167</w:t>
            </w:r>
          </w:p>
        </w:tc>
        <w:tc>
          <w:tcPr>
            <w:tcW w:w="571" w:type="pct"/>
            <w:tcBorders>
              <w:tl2br w:val="nil"/>
              <w:tr2bl w:val="nil"/>
            </w:tcBorders>
            <w:noWrap w:val="0"/>
            <w:vAlign w:val="center"/>
          </w:tcPr>
          <w:p w14:paraId="2F7D012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459" w:type="pct"/>
            <w:tcBorders>
              <w:tl2br w:val="nil"/>
              <w:tr2bl w:val="nil"/>
            </w:tcBorders>
            <w:noWrap w:val="0"/>
            <w:vAlign w:val="center"/>
          </w:tcPr>
          <w:p w14:paraId="5F09179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是</w:t>
            </w:r>
          </w:p>
        </w:tc>
      </w:tr>
      <w:tr w14:paraId="7BD9A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6" w:type="pct"/>
            <w:tcBorders>
              <w:tl2br w:val="nil"/>
              <w:tr2bl w:val="nil"/>
            </w:tcBorders>
            <w:noWrap w:val="0"/>
            <w:vAlign w:val="center"/>
          </w:tcPr>
          <w:p w14:paraId="781F73B4">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备注</w:t>
            </w:r>
          </w:p>
        </w:tc>
        <w:tc>
          <w:tcPr>
            <w:tcW w:w="4453" w:type="pct"/>
            <w:gridSpan w:val="6"/>
            <w:tcBorders>
              <w:tl2br w:val="nil"/>
              <w:tr2bl w:val="nil"/>
            </w:tcBorders>
            <w:noWrap w:val="0"/>
            <w:vAlign w:val="center"/>
          </w:tcPr>
          <w:p w14:paraId="1EE2EACC">
            <w:pPr>
              <w:pStyle w:val="51"/>
              <w:keepNext w:val="0"/>
              <w:keepLines w:val="0"/>
              <w:pageBreakBefore w:val="0"/>
              <w:kinsoku/>
              <w:wordWrap/>
              <w:overflowPunct/>
              <w:topLinePunct w:val="0"/>
              <w:bidi w:val="0"/>
              <w:adjustRightInd/>
              <w:snapToGrid/>
              <w:spacing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执行《地下水质量标准》（GB/T 14848-2017）表 1 中Ⅲ类标准</w:t>
            </w:r>
          </w:p>
        </w:tc>
      </w:tr>
    </w:tbl>
    <w:p w14:paraId="5BB6572D">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eastAsia="zh-CN"/>
        </w:rPr>
        <w:t xml:space="preserve">表 </w:t>
      </w:r>
      <w:r>
        <w:rPr>
          <w:rFonts w:hint="eastAsia" w:ascii="Times New Roman" w:hAnsi="Times New Roman"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lang w:eastAsia="zh-CN"/>
        </w:rPr>
        <w:t>.2-</w:t>
      </w:r>
      <w:r>
        <w:rPr>
          <w:rFonts w:hint="eastAsia" w:eastAsia="宋体" w:cs="Times New Roman"/>
          <w:b/>
          <w:bCs/>
          <w:sz w:val="24"/>
          <w:szCs w:val="24"/>
          <w:highlight w:val="none"/>
          <w:lang w:val="en-US" w:eastAsia="zh-CN"/>
        </w:rPr>
        <w:t>9</w:t>
      </w:r>
      <w:r>
        <w:rPr>
          <w:rFonts w:hint="default" w:ascii="Times New Roman" w:hAnsi="Times New Roman" w:eastAsia="宋体" w:cs="Times New Roman"/>
          <w:b/>
          <w:bCs/>
          <w:sz w:val="24"/>
          <w:szCs w:val="24"/>
          <w:highlight w:val="none"/>
          <w:lang w:eastAsia="zh-CN"/>
        </w:rPr>
        <w:t xml:space="preserve">   区域地下水</w:t>
      </w:r>
      <w:r>
        <w:rPr>
          <w:rFonts w:hint="eastAsia" w:ascii="Times New Roman" w:hAnsi="Times New Roman" w:eastAsia="宋体" w:cs="Times New Roman"/>
          <w:b/>
          <w:bCs/>
          <w:sz w:val="24"/>
          <w:szCs w:val="24"/>
          <w:highlight w:val="none"/>
          <w:lang w:val="en-US" w:eastAsia="zh-CN"/>
        </w:rPr>
        <w:t>水位监测结果</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954"/>
        <w:gridCol w:w="4559"/>
      </w:tblGrid>
      <w:tr w14:paraId="00E9E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vMerge w:val="restart"/>
            <w:tcBorders>
              <w:tl2br w:val="nil"/>
              <w:tr2bl w:val="nil"/>
            </w:tcBorders>
            <w:noWrap w:val="0"/>
            <w:vAlign w:val="center"/>
          </w:tcPr>
          <w:p w14:paraId="04A84AF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eastAsia="zh-CN"/>
              </w:rPr>
            </w:pPr>
            <w:r>
              <w:rPr>
                <w:rFonts w:hint="default" w:ascii="Times New Roman" w:hAnsi="Times New Roman" w:eastAsia="宋体" w:cs="Times New Roman"/>
                <w:snapToGrid w:val="0"/>
                <w:sz w:val="21"/>
                <w:szCs w:val="21"/>
                <w:highlight w:val="none"/>
                <w:lang w:eastAsia="zh-CN"/>
              </w:rPr>
              <w:t>检测点位</w:t>
            </w:r>
          </w:p>
        </w:tc>
        <w:tc>
          <w:tcPr>
            <w:tcW w:w="2677" w:type="pct"/>
            <w:tcBorders>
              <w:tl2br w:val="nil"/>
              <w:tr2bl w:val="nil"/>
            </w:tcBorders>
            <w:noWrap w:val="0"/>
            <w:vAlign w:val="center"/>
          </w:tcPr>
          <w:p w14:paraId="3FC0E49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eastAsia="zh-CN"/>
              </w:rPr>
              <w:t>检测结果</w:t>
            </w:r>
            <w:r>
              <w:rPr>
                <w:rFonts w:hint="eastAsia" w:ascii="Times New Roman" w:hAnsi="Times New Roman" w:eastAsia="宋体" w:cs="Times New Roman"/>
                <w:snapToGrid w:val="0"/>
                <w:sz w:val="21"/>
                <w:szCs w:val="21"/>
                <w:highlight w:val="none"/>
                <w:lang w:val="en-US" w:eastAsia="zh-CN"/>
              </w:rPr>
              <w:t>（m）</w:t>
            </w:r>
          </w:p>
        </w:tc>
      </w:tr>
      <w:tr w14:paraId="3B098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322" w:type="pct"/>
            <w:vMerge w:val="continue"/>
            <w:tcBorders>
              <w:tl2br w:val="nil"/>
              <w:tr2bl w:val="nil"/>
            </w:tcBorders>
            <w:noWrap w:val="0"/>
            <w:vAlign w:val="center"/>
          </w:tcPr>
          <w:p w14:paraId="747380C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eastAsia="zh-CN"/>
              </w:rPr>
            </w:pPr>
          </w:p>
        </w:tc>
        <w:tc>
          <w:tcPr>
            <w:tcW w:w="2677" w:type="pct"/>
            <w:tcBorders>
              <w:tl2br w:val="nil"/>
              <w:tr2bl w:val="nil"/>
            </w:tcBorders>
            <w:noWrap w:val="0"/>
            <w:vAlign w:val="center"/>
          </w:tcPr>
          <w:p w14:paraId="0E9A13A3">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水位</w:t>
            </w:r>
          </w:p>
        </w:tc>
      </w:tr>
      <w:tr w14:paraId="500FD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15BE41F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w:t>
            </w:r>
            <w:r>
              <w:rPr>
                <w:rFonts w:hint="eastAsia" w:ascii="Times New Roman" w:hAnsi="Times New Roman" w:eastAsia="宋体" w:cs="Times New Roman"/>
                <w:snapToGrid w:val="0"/>
                <w:sz w:val="21"/>
                <w:szCs w:val="21"/>
                <w:highlight w:val="none"/>
                <w:lang w:val="en-US" w:eastAsia="zh-CN"/>
              </w:rPr>
              <w:t>1东南侧650米处</w:t>
            </w:r>
            <w:r>
              <w:rPr>
                <w:rFonts w:hint="default" w:ascii="Times New Roman" w:hAnsi="Times New Roman" w:eastAsia="宋体" w:cs="Times New Roman"/>
                <w:snapToGrid w:val="0"/>
                <w:sz w:val="21"/>
                <w:szCs w:val="21"/>
                <w:highlight w:val="none"/>
                <w:lang w:val="en-US" w:eastAsia="zh-CN"/>
              </w:rPr>
              <w:t>刘介章水井</w:t>
            </w:r>
          </w:p>
        </w:tc>
        <w:tc>
          <w:tcPr>
            <w:tcW w:w="2677" w:type="pct"/>
            <w:tcBorders>
              <w:tl2br w:val="nil"/>
              <w:tr2bl w:val="nil"/>
            </w:tcBorders>
            <w:noWrap w:val="0"/>
            <w:vAlign w:val="center"/>
          </w:tcPr>
          <w:p w14:paraId="4FA85BC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56.05</w:t>
            </w:r>
          </w:p>
        </w:tc>
      </w:tr>
      <w:tr w14:paraId="426B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33572BF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D2</w:t>
            </w:r>
            <w:r>
              <w:rPr>
                <w:rFonts w:hint="eastAsia" w:ascii="Times New Roman" w:hAnsi="Times New Roman" w:eastAsia="宋体" w:cs="Times New Roman"/>
                <w:snapToGrid w:val="0"/>
                <w:sz w:val="21"/>
                <w:szCs w:val="21"/>
                <w:highlight w:val="none"/>
                <w:lang w:val="en-US" w:eastAsia="zh-CN"/>
              </w:rPr>
              <w:t>东北侧205米处雷家屋水井</w:t>
            </w:r>
          </w:p>
        </w:tc>
        <w:tc>
          <w:tcPr>
            <w:tcW w:w="2677" w:type="pct"/>
            <w:tcBorders>
              <w:tl2br w:val="nil"/>
              <w:tr2bl w:val="nil"/>
            </w:tcBorders>
            <w:noWrap w:val="0"/>
            <w:vAlign w:val="center"/>
          </w:tcPr>
          <w:p w14:paraId="27812CB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45.14</w:t>
            </w:r>
          </w:p>
        </w:tc>
      </w:tr>
      <w:tr w14:paraId="7748F7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63B2F6C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D3</w:t>
            </w:r>
            <w:r>
              <w:rPr>
                <w:rFonts w:hint="eastAsia" w:ascii="Times New Roman" w:hAnsi="Times New Roman" w:eastAsia="宋体" w:cs="Times New Roman"/>
                <w:snapToGrid w:val="0"/>
                <w:sz w:val="21"/>
                <w:szCs w:val="21"/>
                <w:highlight w:val="none"/>
                <w:lang w:val="en-US" w:eastAsia="zh-CN"/>
              </w:rPr>
              <w:t>东侧380米处新邹家水井</w:t>
            </w:r>
          </w:p>
        </w:tc>
        <w:tc>
          <w:tcPr>
            <w:tcW w:w="2677" w:type="pct"/>
            <w:tcBorders>
              <w:tl2br w:val="nil"/>
              <w:tr2bl w:val="nil"/>
            </w:tcBorders>
            <w:noWrap w:val="0"/>
            <w:vAlign w:val="center"/>
          </w:tcPr>
          <w:p w14:paraId="6110ADE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47.62</w:t>
            </w:r>
          </w:p>
        </w:tc>
      </w:tr>
      <w:tr w14:paraId="44BB5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2FF3B78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D4</w:t>
            </w:r>
            <w:r>
              <w:rPr>
                <w:rFonts w:hint="eastAsia" w:ascii="Times New Roman" w:hAnsi="Times New Roman" w:eastAsia="宋体" w:cs="Times New Roman"/>
                <w:snapToGrid w:val="0"/>
                <w:sz w:val="21"/>
                <w:szCs w:val="21"/>
                <w:highlight w:val="none"/>
                <w:lang w:val="en-US" w:eastAsia="zh-CN"/>
              </w:rPr>
              <w:t>项目地厂内</w:t>
            </w:r>
          </w:p>
        </w:tc>
        <w:tc>
          <w:tcPr>
            <w:tcW w:w="2677" w:type="pct"/>
            <w:tcBorders>
              <w:tl2br w:val="nil"/>
              <w:tr2bl w:val="nil"/>
            </w:tcBorders>
            <w:noWrap w:val="0"/>
            <w:vAlign w:val="center"/>
          </w:tcPr>
          <w:p w14:paraId="1D6A51F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52.07</w:t>
            </w:r>
          </w:p>
        </w:tc>
      </w:tr>
      <w:tr w14:paraId="7BDC0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25C89CE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w:t>
            </w:r>
            <w:r>
              <w:rPr>
                <w:rFonts w:hint="eastAsia" w:ascii="Times New Roman" w:hAnsi="Times New Roman" w:eastAsia="宋体" w:cs="Times New Roman"/>
                <w:snapToGrid w:val="0"/>
                <w:sz w:val="21"/>
                <w:szCs w:val="21"/>
                <w:highlight w:val="none"/>
                <w:lang w:val="en-US" w:eastAsia="zh-CN"/>
              </w:rPr>
              <w:t>5东北侧365米处李家屋居民水井</w:t>
            </w:r>
          </w:p>
        </w:tc>
        <w:tc>
          <w:tcPr>
            <w:tcW w:w="2677" w:type="pct"/>
            <w:tcBorders>
              <w:tl2br w:val="nil"/>
              <w:tr2bl w:val="nil"/>
            </w:tcBorders>
            <w:noWrap w:val="0"/>
            <w:vAlign w:val="center"/>
          </w:tcPr>
          <w:p w14:paraId="5782933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43.16</w:t>
            </w:r>
          </w:p>
        </w:tc>
      </w:tr>
      <w:tr w14:paraId="5E637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71EC17D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D6</w:t>
            </w:r>
            <w:r>
              <w:rPr>
                <w:rFonts w:hint="eastAsia" w:ascii="Times New Roman" w:hAnsi="Times New Roman" w:eastAsia="宋体" w:cs="Times New Roman"/>
                <w:snapToGrid w:val="0"/>
                <w:sz w:val="21"/>
                <w:szCs w:val="21"/>
                <w:highlight w:val="none"/>
                <w:lang w:val="en-US" w:eastAsia="zh-CN"/>
              </w:rPr>
              <w:t>东南侧830米处</w:t>
            </w:r>
            <w:r>
              <w:rPr>
                <w:rFonts w:hint="default" w:ascii="Times New Roman" w:hAnsi="Times New Roman" w:eastAsia="宋体" w:cs="Times New Roman"/>
                <w:snapToGrid w:val="0"/>
                <w:sz w:val="21"/>
                <w:szCs w:val="21"/>
                <w:highlight w:val="none"/>
                <w:lang w:val="en-US" w:eastAsia="zh-CN"/>
              </w:rPr>
              <w:t>跃进村水井</w:t>
            </w:r>
          </w:p>
        </w:tc>
        <w:tc>
          <w:tcPr>
            <w:tcW w:w="2677" w:type="pct"/>
            <w:tcBorders>
              <w:tl2br w:val="nil"/>
              <w:tr2bl w:val="nil"/>
            </w:tcBorders>
            <w:noWrap w:val="0"/>
            <w:vAlign w:val="center"/>
          </w:tcPr>
          <w:p w14:paraId="4A81027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63.13</w:t>
            </w:r>
          </w:p>
        </w:tc>
      </w:tr>
      <w:tr w14:paraId="0037B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622FA9D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D7</w:t>
            </w:r>
            <w:r>
              <w:rPr>
                <w:rFonts w:hint="eastAsia" w:ascii="Times New Roman" w:hAnsi="Times New Roman" w:eastAsia="宋体" w:cs="Times New Roman"/>
                <w:snapToGrid w:val="0"/>
                <w:sz w:val="21"/>
                <w:szCs w:val="21"/>
                <w:highlight w:val="none"/>
                <w:lang w:val="en-US" w:eastAsia="zh-CN"/>
              </w:rPr>
              <w:t>北侧1000米处</w:t>
            </w:r>
            <w:r>
              <w:rPr>
                <w:rFonts w:hint="default" w:ascii="Times New Roman" w:hAnsi="Times New Roman" w:eastAsia="宋体" w:cs="Times New Roman"/>
                <w:snapToGrid w:val="0"/>
                <w:sz w:val="21"/>
                <w:szCs w:val="21"/>
                <w:highlight w:val="none"/>
                <w:lang w:val="en-US" w:eastAsia="zh-CN"/>
              </w:rPr>
              <w:t>童家里居民水井</w:t>
            </w:r>
          </w:p>
        </w:tc>
        <w:tc>
          <w:tcPr>
            <w:tcW w:w="2677" w:type="pct"/>
            <w:tcBorders>
              <w:tl2br w:val="nil"/>
              <w:tr2bl w:val="nil"/>
            </w:tcBorders>
            <w:noWrap w:val="0"/>
            <w:vAlign w:val="center"/>
          </w:tcPr>
          <w:p w14:paraId="57B11DDB">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37.04</w:t>
            </w:r>
          </w:p>
        </w:tc>
      </w:tr>
      <w:tr w14:paraId="25780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14233B1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D8</w:t>
            </w:r>
            <w:r>
              <w:rPr>
                <w:rFonts w:hint="eastAsia" w:ascii="Times New Roman" w:hAnsi="Times New Roman" w:eastAsia="宋体" w:cs="Times New Roman"/>
                <w:snapToGrid w:val="0"/>
                <w:sz w:val="21"/>
                <w:szCs w:val="21"/>
                <w:highlight w:val="none"/>
                <w:lang w:val="en-US" w:eastAsia="zh-CN"/>
              </w:rPr>
              <w:t>东北侧450米处</w:t>
            </w:r>
            <w:r>
              <w:rPr>
                <w:rFonts w:hint="default" w:ascii="Times New Roman" w:hAnsi="Times New Roman" w:eastAsia="宋体" w:cs="Times New Roman"/>
                <w:snapToGrid w:val="0"/>
                <w:sz w:val="21"/>
                <w:szCs w:val="21"/>
                <w:highlight w:val="none"/>
                <w:lang w:val="en-US" w:eastAsia="zh-CN"/>
              </w:rPr>
              <w:t>兰塘四组居民水井</w:t>
            </w:r>
          </w:p>
        </w:tc>
        <w:tc>
          <w:tcPr>
            <w:tcW w:w="2677" w:type="pct"/>
            <w:tcBorders>
              <w:tl2br w:val="nil"/>
              <w:tr2bl w:val="nil"/>
            </w:tcBorders>
            <w:noWrap w:val="0"/>
            <w:vAlign w:val="center"/>
          </w:tcPr>
          <w:p w14:paraId="260EDD9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40.65</w:t>
            </w:r>
          </w:p>
        </w:tc>
      </w:tr>
      <w:tr w14:paraId="49F40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2C99914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D9</w:t>
            </w:r>
            <w:r>
              <w:rPr>
                <w:rFonts w:hint="eastAsia" w:ascii="Times New Roman" w:hAnsi="Times New Roman" w:eastAsia="宋体" w:cs="Times New Roman"/>
                <w:snapToGrid w:val="0"/>
                <w:sz w:val="21"/>
                <w:szCs w:val="21"/>
                <w:highlight w:val="none"/>
                <w:lang w:val="en-US" w:eastAsia="zh-CN"/>
              </w:rPr>
              <w:t>东侧990米处兰塘村居民水井</w:t>
            </w:r>
          </w:p>
        </w:tc>
        <w:tc>
          <w:tcPr>
            <w:tcW w:w="2677" w:type="pct"/>
            <w:tcBorders>
              <w:tl2br w:val="nil"/>
              <w:tr2bl w:val="nil"/>
            </w:tcBorders>
            <w:noWrap w:val="0"/>
            <w:vAlign w:val="center"/>
          </w:tcPr>
          <w:p w14:paraId="62F8635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58.12</w:t>
            </w:r>
          </w:p>
        </w:tc>
      </w:tr>
      <w:tr w14:paraId="5F31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22" w:type="pct"/>
            <w:tcBorders>
              <w:tl2br w:val="nil"/>
              <w:tr2bl w:val="nil"/>
            </w:tcBorders>
            <w:noWrap w:val="0"/>
            <w:vAlign w:val="center"/>
          </w:tcPr>
          <w:p w14:paraId="4A6315D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D10</w:t>
            </w:r>
            <w:r>
              <w:rPr>
                <w:rFonts w:hint="eastAsia" w:ascii="Times New Roman" w:hAnsi="Times New Roman" w:eastAsia="宋体" w:cs="Times New Roman"/>
                <w:snapToGrid w:val="0"/>
                <w:sz w:val="21"/>
                <w:szCs w:val="21"/>
                <w:highlight w:val="none"/>
                <w:lang w:val="en-US" w:eastAsia="zh-CN"/>
              </w:rPr>
              <w:t>南侧620米处</w:t>
            </w:r>
            <w:r>
              <w:rPr>
                <w:rFonts w:hint="default" w:ascii="Times New Roman" w:hAnsi="Times New Roman" w:eastAsia="宋体" w:cs="Times New Roman"/>
                <w:snapToGrid w:val="0"/>
                <w:sz w:val="21"/>
                <w:szCs w:val="21"/>
                <w:highlight w:val="none"/>
                <w:lang w:val="en-US" w:eastAsia="zh-CN"/>
              </w:rPr>
              <w:t>跃进十一组居民水井</w:t>
            </w:r>
          </w:p>
        </w:tc>
        <w:tc>
          <w:tcPr>
            <w:tcW w:w="2677" w:type="pct"/>
            <w:tcBorders>
              <w:tl2br w:val="nil"/>
              <w:tr2bl w:val="nil"/>
            </w:tcBorders>
            <w:noWrap w:val="0"/>
            <w:vAlign w:val="center"/>
          </w:tcPr>
          <w:p w14:paraId="1C9CA9C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58.52</w:t>
            </w:r>
          </w:p>
        </w:tc>
      </w:tr>
    </w:tbl>
    <w:p w14:paraId="54F774B5">
      <w:pPr>
        <w:rPr>
          <w:rFonts w:hint="default" w:ascii="Times New Roman" w:hAnsi="Times New Roman"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根据检测结果，</w:t>
      </w:r>
      <w:r>
        <w:rPr>
          <w:rFonts w:hint="default" w:ascii="Times New Roman" w:hAnsi="Times New Roman" w:eastAsia="宋体" w:cs="Times New Roman"/>
          <w:b w:val="0"/>
          <w:bCs w:val="0"/>
          <w:kern w:val="0"/>
          <w:sz w:val="24"/>
          <w:szCs w:val="24"/>
          <w:highlight w:val="none"/>
          <w:vertAlign w:val="baseline"/>
          <w:lang w:val="en-US" w:eastAsia="zh-CN" w:bidi="ar-SA"/>
        </w:rPr>
        <w:t>项目区域各地下水监测点及监测因子均满足《地下水质量标准》（GB/T14848-2017）中Ⅲ类水质标准。</w:t>
      </w:r>
    </w:p>
    <w:p w14:paraId="6274E1B2">
      <w:pPr>
        <w:pStyle w:val="7"/>
        <w:bidi w:val="0"/>
        <w:rPr>
          <w:rFonts w:hint="eastAsia"/>
          <w:highlight w:val="none"/>
          <w:lang w:val="en-US" w:eastAsia="zh-CN"/>
        </w:rPr>
      </w:pPr>
      <w:bookmarkStart w:id="158" w:name="_Toc3248"/>
      <w:r>
        <w:rPr>
          <w:rFonts w:hint="eastAsia"/>
          <w:highlight w:val="none"/>
          <w:lang w:val="en-US" w:eastAsia="zh-CN"/>
        </w:rPr>
        <w:t>5.2.4 声环境质量现状调查和评价</w:t>
      </w:r>
      <w:bookmarkEnd w:id="158"/>
    </w:p>
    <w:p w14:paraId="24D06C1E">
      <w:pPr>
        <w:spacing w:line="360" w:lineRule="auto"/>
        <w:ind w:firstLine="480" w:firstLineChars="200"/>
        <w:rPr>
          <w:rFonts w:hint="default" w:ascii="Times New Roman" w:hAnsi="Times New Roman" w:eastAsia="宋体" w:cs="Times New Roman"/>
          <w:bCs/>
          <w:color w:val="auto"/>
          <w:sz w:val="24"/>
          <w:szCs w:val="24"/>
          <w:highlight w:val="none"/>
          <w:u w:val="none" w:color="auto"/>
          <w:lang w:val="en-US" w:eastAsia="zh-CN"/>
        </w:rPr>
      </w:pPr>
      <w:r>
        <w:rPr>
          <w:rFonts w:hint="default" w:ascii="Times New Roman" w:hAnsi="Times New Roman" w:eastAsia="宋体" w:cs="Times New Roman"/>
          <w:bCs/>
          <w:color w:val="auto"/>
          <w:sz w:val="24"/>
          <w:szCs w:val="24"/>
          <w:highlight w:val="none"/>
          <w:u w:val="none" w:color="auto"/>
          <w:lang w:val="en-US" w:eastAsia="zh-CN"/>
        </w:rPr>
        <w:t>为了解项目所在区域声环境质量现状，对项目厂界四周在202</w:t>
      </w:r>
      <w:r>
        <w:rPr>
          <w:rFonts w:hint="eastAsia" w:ascii="Times New Roman" w:hAnsi="Times New Roman" w:eastAsia="宋体" w:cs="Times New Roman"/>
          <w:bCs/>
          <w:color w:val="auto"/>
          <w:sz w:val="24"/>
          <w:szCs w:val="24"/>
          <w:highlight w:val="none"/>
          <w:u w:val="none" w:color="auto"/>
          <w:lang w:val="en-US" w:eastAsia="zh-CN"/>
        </w:rPr>
        <w:t>5</w:t>
      </w:r>
      <w:r>
        <w:rPr>
          <w:rFonts w:hint="default" w:ascii="Times New Roman" w:hAnsi="Times New Roman" w:eastAsia="宋体" w:cs="Times New Roman"/>
          <w:bCs/>
          <w:color w:val="auto"/>
          <w:sz w:val="24"/>
          <w:szCs w:val="24"/>
          <w:highlight w:val="none"/>
          <w:u w:val="none" w:color="auto"/>
          <w:lang w:val="en-US" w:eastAsia="zh-CN"/>
        </w:rPr>
        <w:t>年</w:t>
      </w:r>
      <w:r>
        <w:rPr>
          <w:rFonts w:hint="eastAsia" w:ascii="Times New Roman" w:hAnsi="Times New Roman" w:eastAsia="宋体" w:cs="Times New Roman"/>
          <w:bCs/>
          <w:color w:val="auto"/>
          <w:sz w:val="24"/>
          <w:szCs w:val="24"/>
          <w:highlight w:val="none"/>
          <w:u w:val="none" w:color="auto"/>
          <w:lang w:val="en-US" w:eastAsia="zh-CN"/>
        </w:rPr>
        <w:t>3</w:t>
      </w:r>
      <w:r>
        <w:rPr>
          <w:rFonts w:hint="default" w:ascii="Times New Roman" w:hAnsi="Times New Roman" w:eastAsia="宋体" w:cs="Times New Roman"/>
          <w:bCs/>
          <w:color w:val="auto"/>
          <w:sz w:val="24"/>
          <w:szCs w:val="24"/>
          <w:highlight w:val="none"/>
          <w:u w:val="none" w:color="auto"/>
          <w:lang w:val="en-US" w:eastAsia="zh-CN"/>
        </w:rPr>
        <w:t>月</w:t>
      </w:r>
      <w:r>
        <w:rPr>
          <w:rFonts w:hint="eastAsia" w:ascii="Times New Roman" w:hAnsi="Times New Roman" w:eastAsia="宋体" w:cs="Times New Roman"/>
          <w:bCs/>
          <w:color w:val="auto"/>
          <w:sz w:val="24"/>
          <w:szCs w:val="24"/>
          <w:highlight w:val="none"/>
          <w:u w:val="none" w:color="auto"/>
          <w:lang w:val="en-US" w:eastAsia="zh-CN"/>
        </w:rPr>
        <w:t>25  日-</w:t>
      </w:r>
      <w:r>
        <w:rPr>
          <w:rFonts w:hint="default" w:ascii="Times New Roman" w:hAnsi="Times New Roman" w:eastAsia="宋体" w:cs="Times New Roman"/>
          <w:bCs/>
          <w:color w:val="auto"/>
          <w:sz w:val="24"/>
          <w:szCs w:val="24"/>
          <w:highlight w:val="none"/>
          <w:u w:val="none" w:color="auto"/>
          <w:lang w:val="en-US" w:eastAsia="zh-CN"/>
        </w:rPr>
        <w:t>202</w:t>
      </w:r>
      <w:r>
        <w:rPr>
          <w:rFonts w:hint="eastAsia" w:ascii="Times New Roman" w:hAnsi="Times New Roman" w:eastAsia="宋体" w:cs="Times New Roman"/>
          <w:bCs/>
          <w:color w:val="auto"/>
          <w:sz w:val="24"/>
          <w:szCs w:val="24"/>
          <w:highlight w:val="none"/>
          <w:u w:val="none" w:color="auto"/>
          <w:lang w:val="en-US" w:eastAsia="zh-CN"/>
        </w:rPr>
        <w:t>5</w:t>
      </w:r>
      <w:r>
        <w:rPr>
          <w:rFonts w:hint="default" w:ascii="Times New Roman" w:hAnsi="Times New Roman" w:eastAsia="宋体" w:cs="Times New Roman"/>
          <w:bCs/>
          <w:color w:val="auto"/>
          <w:sz w:val="24"/>
          <w:szCs w:val="24"/>
          <w:highlight w:val="none"/>
          <w:u w:val="none" w:color="auto"/>
          <w:lang w:val="en-US" w:eastAsia="zh-CN"/>
        </w:rPr>
        <w:t>年</w:t>
      </w:r>
      <w:r>
        <w:rPr>
          <w:rFonts w:hint="eastAsia" w:ascii="Times New Roman" w:hAnsi="Times New Roman" w:eastAsia="宋体" w:cs="Times New Roman"/>
          <w:bCs/>
          <w:color w:val="auto"/>
          <w:sz w:val="24"/>
          <w:szCs w:val="24"/>
          <w:highlight w:val="none"/>
          <w:u w:val="none" w:color="auto"/>
          <w:lang w:val="en-US" w:eastAsia="zh-CN"/>
        </w:rPr>
        <w:t>3</w:t>
      </w:r>
      <w:r>
        <w:rPr>
          <w:rFonts w:hint="default" w:ascii="Times New Roman" w:hAnsi="Times New Roman" w:eastAsia="宋体" w:cs="Times New Roman"/>
          <w:bCs/>
          <w:color w:val="auto"/>
          <w:sz w:val="24"/>
          <w:szCs w:val="24"/>
          <w:highlight w:val="none"/>
          <w:u w:val="none" w:color="auto"/>
          <w:lang w:val="en-US" w:eastAsia="zh-CN"/>
        </w:rPr>
        <w:t>月</w:t>
      </w:r>
      <w:r>
        <w:rPr>
          <w:rFonts w:hint="eastAsia" w:ascii="Times New Roman" w:hAnsi="Times New Roman" w:eastAsia="宋体" w:cs="Times New Roman"/>
          <w:bCs/>
          <w:color w:val="auto"/>
          <w:sz w:val="24"/>
          <w:szCs w:val="24"/>
          <w:highlight w:val="none"/>
          <w:u w:val="none" w:color="auto"/>
          <w:lang w:val="en-US" w:eastAsia="zh-CN"/>
        </w:rPr>
        <w:t>26 日</w:t>
      </w:r>
      <w:r>
        <w:rPr>
          <w:rFonts w:hint="default" w:ascii="Times New Roman" w:hAnsi="Times New Roman" w:eastAsia="宋体" w:cs="Times New Roman"/>
          <w:bCs/>
          <w:color w:val="auto"/>
          <w:sz w:val="24"/>
          <w:szCs w:val="24"/>
          <w:highlight w:val="none"/>
          <w:u w:val="none" w:color="auto"/>
          <w:lang w:val="en-US" w:eastAsia="zh-CN"/>
        </w:rPr>
        <w:t>对项目区</w:t>
      </w:r>
      <w:r>
        <w:rPr>
          <w:rFonts w:hint="eastAsia" w:ascii="Times New Roman" w:hAnsi="Times New Roman" w:eastAsia="宋体" w:cs="Times New Roman"/>
          <w:bCs/>
          <w:color w:val="auto"/>
          <w:sz w:val="24"/>
          <w:szCs w:val="24"/>
          <w:highlight w:val="none"/>
          <w:u w:val="none" w:color="auto"/>
          <w:lang w:val="en-US" w:eastAsia="zh-CN"/>
        </w:rPr>
        <w:t>域</w:t>
      </w:r>
      <w:r>
        <w:rPr>
          <w:rFonts w:hint="default" w:ascii="Times New Roman" w:hAnsi="Times New Roman" w:eastAsia="宋体" w:cs="Times New Roman"/>
          <w:bCs/>
          <w:color w:val="auto"/>
          <w:sz w:val="24"/>
          <w:szCs w:val="24"/>
          <w:highlight w:val="none"/>
          <w:u w:val="none" w:color="auto"/>
          <w:lang w:val="en-US" w:eastAsia="zh-CN"/>
        </w:rPr>
        <w:t>声环境进行了监测，具体情况如下。</w:t>
      </w:r>
    </w:p>
    <w:p w14:paraId="2B38CEBF">
      <w:pPr>
        <w:numPr>
          <w:ilvl w:val="0"/>
          <w:numId w:val="9"/>
        </w:numPr>
        <w:spacing w:line="360" w:lineRule="auto"/>
        <w:ind w:firstLine="482" w:firstLineChars="200"/>
        <w:rPr>
          <w:rFonts w:hint="eastAsia" w:ascii="Times New Roman" w:hAnsi="Times New Roman" w:eastAsia="宋体" w:cs="Times New Roman"/>
          <w:b/>
          <w:bCs w:val="0"/>
          <w:color w:val="auto"/>
          <w:sz w:val="24"/>
          <w:szCs w:val="24"/>
          <w:highlight w:val="none"/>
          <w:u w:val="none" w:color="auto"/>
          <w:lang w:val="en-US" w:eastAsia="zh-CN"/>
        </w:rPr>
      </w:pPr>
      <w:r>
        <w:rPr>
          <w:rFonts w:hint="eastAsia" w:ascii="Times New Roman" w:hAnsi="Times New Roman" w:eastAsia="宋体" w:cs="Times New Roman"/>
          <w:b/>
          <w:bCs w:val="0"/>
          <w:color w:val="auto"/>
          <w:sz w:val="24"/>
          <w:szCs w:val="24"/>
          <w:highlight w:val="none"/>
          <w:u w:val="none" w:color="auto"/>
          <w:lang w:val="en-US" w:eastAsia="zh-CN"/>
        </w:rPr>
        <w:t>现状调查监测方案</w:t>
      </w:r>
    </w:p>
    <w:p w14:paraId="3CCA67BF">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eastAsia="zh-CN"/>
        </w:rPr>
        <w:t>表</w:t>
      </w:r>
      <w:r>
        <w:rPr>
          <w:rFonts w:hint="eastAsia" w:ascii="Times New Roman" w:hAnsi="Times New Roman"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lang w:eastAsia="zh-CN"/>
        </w:rPr>
        <w:t>.2-</w:t>
      </w:r>
      <w:r>
        <w:rPr>
          <w:rFonts w:hint="eastAsia" w:eastAsia="宋体" w:cs="Times New Roman"/>
          <w:b/>
          <w:bCs/>
          <w:sz w:val="24"/>
          <w:szCs w:val="24"/>
          <w:highlight w:val="none"/>
          <w:lang w:val="en-US" w:eastAsia="zh-CN"/>
        </w:rPr>
        <w:t>10</w:t>
      </w:r>
      <w:r>
        <w:rPr>
          <w:rFonts w:hint="eastAsia" w:ascii="Times New Roman" w:hAnsi="Times New Roman" w:eastAsia="宋体" w:cs="Times New Roman"/>
          <w:b/>
          <w:bCs/>
          <w:sz w:val="24"/>
          <w:szCs w:val="24"/>
          <w:highlight w:val="none"/>
          <w:lang w:val="en-US" w:eastAsia="zh-CN"/>
        </w:rPr>
        <w:t xml:space="preserve">  声环境监测方案</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32"/>
        <w:gridCol w:w="2818"/>
        <w:gridCol w:w="2331"/>
        <w:gridCol w:w="2331"/>
      </w:tblGrid>
      <w:tr w14:paraId="452F2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6" w:type="pct"/>
            <w:tcBorders>
              <w:tl2br w:val="nil"/>
              <w:tr2bl w:val="nil"/>
            </w:tcBorders>
            <w:vAlign w:val="center"/>
          </w:tcPr>
          <w:p w14:paraId="0EE58849">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序号</w:t>
            </w:r>
          </w:p>
        </w:tc>
        <w:tc>
          <w:tcPr>
            <w:tcW w:w="1655" w:type="pct"/>
            <w:tcBorders>
              <w:tl2br w:val="nil"/>
              <w:tr2bl w:val="nil"/>
            </w:tcBorders>
            <w:vAlign w:val="center"/>
          </w:tcPr>
          <w:p w14:paraId="06F2A8BF">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监测点</w:t>
            </w:r>
          </w:p>
        </w:tc>
        <w:tc>
          <w:tcPr>
            <w:tcW w:w="1369" w:type="pct"/>
            <w:tcBorders>
              <w:tl2br w:val="nil"/>
              <w:tr2bl w:val="nil"/>
            </w:tcBorders>
            <w:vAlign w:val="center"/>
          </w:tcPr>
          <w:p w14:paraId="5ECA5791">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监测因子</w:t>
            </w:r>
          </w:p>
        </w:tc>
        <w:tc>
          <w:tcPr>
            <w:tcW w:w="1369" w:type="pct"/>
            <w:tcBorders>
              <w:tl2br w:val="nil"/>
              <w:tr2bl w:val="nil"/>
            </w:tcBorders>
            <w:vAlign w:val="center"/>
          </w:tcPr>
          <w:p w14:paraId="0140AE0E">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监测频次</w:t>
            </w:r>
          </w:p>
        </w:tc>
      </w:tr>
      <w:tr w14:paraId="1B8CC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6" w:type="pct"/>
            <w:tcBorders>
              <w:tl2br w:val="nil"/>
              <w:tr2bl w:val="nil"/>
            </w:tcBorders>
            <w:vAlign w:val="center"/>
          </w:tcPr>
          <w:p w14:paraId="4DC9740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N1</w:t>
            </w:r>
          </w:p>
        </w:tc>
        <w:tc>
          <w:tcPr>
            <w:tcW w:w="1655" w:type="pct"/>
            <w:tcBorders>
              <w:tl2br w:val="nil"/>
              <w:tr2bl w:val="nil"/>
            </w:tcBorders>
            <w:vAlign w:val="center"/>
          </w:tcPr>
          <w:p w14:paraId="2D412B1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雷家屋居民点（位于厂区东北侧165米处）</w:t>
            </w:r>
          </w:p>
        </w:tc>
        <w:tc>
          <w:tcPr>
            <w:tcW w:w="1369" w:type="pct"/>
            <w:vMerge w:val="restart"/>
            <w:tcBorders>
              <w:tl2br w:val="nil"/>
              <w:tr2bl w:val="nil"/>
            </w:tcBorders>
            <w:vAlign w:val="center"/>
          </w:tcPr>
          <w:p w14:paraId="48ACD4C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等效A声级Leq(A)</w:t>
            </w:r>
          </w:p>
        </w:tc>
        <w:tc>
          <w:tcPr>
            <w:tcW w:w="1369" w:type="pct"/>
            <w:vMerge w:val="restart"/>
            <w:tcBorders>
              <w:tl2br w:val="nil"/>
              <w:tr2bl w:val="nil"/>
            </w:tcBorders>
            <w:vAlign w:val="center"/>
          </w:tcPr>
          <w:p w14:paraId="5099A1E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default" w:ascii="Times New Roman" w:hAnsi="Times New Roman" w:eastAsia="宋体" w:cs="Times New Roman"/>
                <w:snapToGrid w:val="0"/>
                <w:sz w:val="21"/>
                <w:szCs w:val="21"/>
                <w:highlight w:val="none"/>
                <w:lang w:val="en-US" w:eastAsia="zh-CN"/>
              </w:rPr>
              <w:t>监测2天，分昼间和夜间两个时段，各测一次</w:t>
            </w:r>
          </w:p>
        </w:tc>
      </w:tr>
      <w:tr w14:paraId="5837E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6" w:type="pct"/>
            <w:tcBorders>
              <w:tl2br w:val="nil"/>
              <w:tr2bl w:val="nil"/>
            </w:tcBorders>
            <w:vAlign w:val="center"/>
          </w:tcPr>
          <w:p w14:paraId="058E88F2">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N2</w:t>
            </w:r>
          </w:p>
        </w:tc>
        <w:tc>
          <w:tcPr>
            <w:tcW w:w="1655" w:type="pct"/>
            <w:tcBorders>
              <w:tl2br w:val="nil"/>
              <w:tr2bl w:val="nil"/>
            </w:tcBorders>
            <w:vAlign w:val="center"/>
          </w:tcPr>
          <w:p w14:paraId="3721C94D">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兰塘八组（位于厂区东侧186米处）</w:t>
            </w:r>
          </w:p>
        </w:tc>
        <w:tc>
          <w:tcPr>
            <w:tcW w:w="1369" w:type="pct"/>
            <w:vMerge w:val="continue"/>
            <w:tcBorders>
              <w:tl2br w:val="nil"/>
              <w:tr2bl w:val="nil"/>
            </w:tcBorders>
            <w:vAlign w:val="center"/>
          </w:tcPr>
          <w:p w14:paraId="5931D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1369" w:type="pct"/>
            <w:vMerge w:val="continue"/>
            <w:tcBorders>
              <w:tl2br w:val="nil"/>
              <w:tr2bl w:val="nil"/>
            </w:tcBorders>
            <w:vAlign w:val="center"/>
          </w:tcPr>
          <w:p w14:paraId="6096B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r>
      <w:tr w14:paraId="16764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6" w:type="pct"/>
            <w:tcBorders>
              <w:tl2br w:val="nil"/>
              <w:tr2bl w:val="nil"/>
            </w:tcBorders>
            <w:vAlign w:val="center"/>
          </w:tcPr>
          <w:p w14:paraId="2BB7C678">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N3</w:t>
            </w:r>
          </w:p>
        </w:tc>
        <w:tc>
          <w:tcPr>
            <w:tcW w:w="1655" w:type="pct"/>
            <w:tcBorders>
              <w:tl2br w:val="nil"/>
              <w:tr2bl w:val="nil"/>
            </w:tcBorders>
            <w:vAlign w:val="center"/>
          </w:tcPr>
          <w:p w14:paraId="2260FB0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东厂界</w:t>
            </w:r>
          </w:p>
        </w:tc>
        <w:tc>
          <w:tcPr>
            <w:tcW w:w="1369" w:type="pct"/>
            <w:vMerge w:val="continue"/>
            <w:tcBorders>
              <w:tl2br w:val="nil"/>
              <w:tr2bl w:val="nil"/>
            </w:tcBorders>
            <w:vAlign w:val="center"/>
          </w:tcPr>
          <w:p w14:paraId="30692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1369" w:type="pct"/>
            <w:vMerge w:val="continue"/>
            <w:tcBorders>
              <w:tl2br w:val="nil"/>
              <w:tr2bl w:val="nil"/>
            </w:tcBorders>
            <w:vAlign w:val="center"/>
          </w:tcPr>
          <w:p w14:paraId="501A5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r>
      <w:tr w14:paraId="77B8C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6" w:type="pct"/>
            <w:tcBorders>
              <w:tl2br w:val="nil"/>
              <w:tr2bl w:val="nil"/>
            </w:tcBorders>
            <w:vAlign w:val="center"/>
          </w:tcPr>
          <w:p w14:paraId="7D480AB6">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N4</w:t>
            </w:r>
          </w:p>
        </w:tc>
        <w:tc>
          <w:tcPr>
            <w:tcW w:w="1655" w:type="pct"/>
            <w:tcBorders>
              <w:tl2br w:val="nil"/>
              <w:tr2bl w:val="nil"/>
            </w:tcBorders>
            <w:vAlign w:val="center"/>
          </w:tcPr>
          <w:p w14:paraId="5993DB9C">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eastAsia"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南厂界</w:t>
            </w:r>
          </w:p>
        </w:tc>
        <w:tc>
          <w:tcPr>
            <w:tcW w:w="1369" w:type="pct"/>
            <w:vMerge w:val="continue"/>
            <w:tcBorders>
              <w:tl2br w:val="nil"/>
              <w:tr2bl w:val="nil"/>
            </w:tcBorders>
            <w:vAlign w:val="center"/>
          </w:tcPr>
          <w:p w14:paraId="61788E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1369" w:type="pct"/>
            <w:vMerge w:val="continue"/>
            <w:tcBorders>
              <w:tl2br w:val="nil"/>
              <w:tr2bl w:val="nil"/>
            </w:tcBorders>
            <w:vAlign w:val="center"/>
          </w:tcPr>
          <w:p w14:paraId="3E8469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r>
      <w:tr w14:paraId="1A4BC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6" w:type="pct"/>
            <w:tcBorders>
              <w:tl2br w:val="nil"/>
              <w:tr2bl w:val="nil"/>
            </w:tcBorders>
            <w:vAlign w:val="center"/>
          </w:tcPr>
          <w:p w14:paraId="66A950D0">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N5</w:t>
            </w:r>
          </w:p>
        </w:tc>
        <w:tc>
          <w:tcPr>
            <w:tcW w:w="1655" w:type="pct"/>
            <w:tcBorders>
              <w:tl2br w:val="nil"/>
              <w:tr2bl w:val="nil"/>
            </w:tcBorders>
            <w:vAlign w:val="center"/>
          </w:tcPr>
          <w:p w14:paraId="4398366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西厂界</w:t>
            </w:r>
          </w:p>
        </w:tc>
        <w:tc>
          <w:tcPr>
            <w:tcW w:w="1369" w:type="pct"/>
            <w:vMerge w:val="continue"/>
            <w:tcBorders>
              <w:tl2br w:val="nil"/>
              <w:tr2bl w:val="nil"/>
            </w:tcBorders>
            <w:vAlign w:val="center"/>
          </w:tcPr>
          <w:p w14:paraId="300C37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1369" w:type="pct"/>
            <w:vMerge w:val="continue"/>
            <w:tcBorders>
              <w:tl2br w:val="nil"/>
              <w:tr2bl w:val="nil"/>
            </w:tcBorders>
            <w:vAlign w:val="center"/>
          </w:tcPr>
          <w:p w14:paraId="3DF1B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r>
      <w:tr w14:paraId="23F6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6" w:type="pct"/>
            <w:tcBorders>
              <w:tl2br w:val="nil"/>
              <w:tr2bl w:val="nil"/>
            </w:tcBorders>
            <w:vAlign w:val="center"/>
          </w:tcPr>
          <w:p w14:paraId="4E794EA5">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N6</w:t>
            </w:r>
          </w:p>
        </w:tc>
        <w:tc>
          <w:tcPr>
            <w:tcW w:w="1655" w:type="pct"/>
            <w:tcBorders>
              <w:tl2br w:val="nil"/>
              <w:tr2bl w:val="nil"/>
            </w:tcBorders>
            <w:vAlign w:val="center"/>
          </w:tcPr>
          <w:p w14:paraId="46CBE8FA">
            <w:pPr>
              <w:keepNext w:val="0"/>
              <w:keepLines w:val="0"/>
              <w:pageBreakBefore w:val="0"/>
              <w:widowControl/>
              <w:kinsoku/>
              <w:wordWrap/>
              <w:overflowPunct/>
              <w:topLinePunct w:val="0"/>
              <w:bidi w:val="0"/>
              <w:adjustRightInd/>
              <w:snapToGrid/>
              <w:spacing w:line="240" w:lineRule="auto"/>
              <w:ind w:left="0" w:right="0" w:firstLine="0" w:firstLineChars="0"/>
              <w:jc w:val="center"/>
              <w:textAlignment w:val="center"/>
              <w:rPr>
                <w:rFonts w:hint="default" w:ascii="Times New Roman" w:hAnsi="Times New Roman" w:eastAsia="宋体" w:cs="Times New Roman"/>
                <w:snapToGrid w:val="0"/>
                <w:sz w:val="21"/>
                <w:szCs w:val="21"/>
                <w:highlight w:val="none"/>
                <w:lang w:val="en-US" w:eastAsia="zh-CN"/>
              </w:rPr>
            </w:pPr>
            <w:r>
              <w:rPr>
                <w:rFonts w:hint="eastAsia" w:ascii="Times New Roman" w:hAnsi="Times New Roman" w:eastAsia="宋体" w:cs="Times New Roman"/>
                <w:snapToGrid w:val="0"/>
                <w:sz w:val="21"/>
                <w:szCs w:val="21"/>
                <w:highlight w:val="none"/>
                <w:lang w:val="en-US" w:eastAsia="zh-CN"/>
              </w:rPr>
              <w:t>北厂界</w:t>
            </w:r>
          </w:p>
        </w:tc>
        <w:tc>
          <w:tcPr>
            <w:tcW w:w="1369" w:type="pct"/>
            <w:vMerge w:val="continue"/>
            <w:tcBorders>
              <w:tl2br w:val="nil"/>
              <w:tr2bl w:val="nil"/>
            </w:tcBorders>
            <w:vAlign w:val="center"/>
          </w:tcPr>
          <w:p w14:paraId="3FCE5E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c>
          <w:tcPr>
            <w:tcW w:w="1369" w:type="pct"/>
            <w:vMerge w:val="continue"/>
            <w:tcBorders>
              <w:tl2br w:val="nil"/>
              <w:tr2bl w:val="nil"/>
            </w:tcBorders>
            <w:vAlign w:val="center"/>
          </w:tcPr>
          <w:p w14:paraId="7982A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highlight w:val="none"/>
              </w:rPr>
            </w:pPr>
          </w:p>
        </w:tc>
      </w:tr>
    </w:tbl>
    <w:p w14:paraId="314C968B">
      <w:pPr>
        <w:numPr>
          <w:ilvl w:val="0"/>
          <w:numId w:val="9"/>
        </w:numPr>
        <w:spacing w:line="360" w:lineRule="auto"/>
        <w:ind w:left="0" w:leftChars="0" w:firstLine="482" w:firstLineChars="200"/>
        <w:rPr>
          <w:rFonts w:hint="default" w:ascii="Times New Roman" w:hAnsi="Times New Roman" w:eastAsia="宋体" w:cs="Times New Roman"/>
          <w:b/>
          <w:bCs/>
          <w:sz w:val="24"/>
          <w:szCs w:val="24"/>
          <w:highlight w:val="none"/>
          <w:lang w:eastAsia="zh-CN"/>
        </w:rPr>
      </w:pPr>
      <w:r>
        <w:rPr>
          <w:rFonts w:hint="eastAsia" w:ascii="Times New Roman" w:hAnsi="Times New Roman" w:eastAsia="宋体" w:cs="Times New Roman"/>
          <w:b/>
          <w:bCs w:val="0"/>
          <w:color w:val="auto"/>
          <w:sz w:val="24"/>
          <w:szCs w:val="24"/>
          <w:highlight w:val="none"/>
          <w:u w:val="none" w:color="auto"/>
          <w:lang w:val="en-US" w:eastAsia="zh-CN"/>
        </w:rPr>
        <w:t>监测结果</w:t>
      </w:r>
    </w:p>
    <w:p w14:paraId="4B36633E">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eastAsia="zh-CN"/>
        </w:rPr>
        <w:t>表</w:t>
      </w:r>
      <w:r>
        <w:rPr>
          <w:rFonts w:hint="eastAsia" w:ascii="Times New Roman" w:hAnsi="Times New Roman" w:eastAsia="宋体" w:cs="Times New Roman"/>
          <w:b/>
          <w:bCs/>
          <w:sz w:val="24"/>
          <w:szCs w:val="24"/>
          <w:highlight w:val="none"/>
          <w:lang w:val="en-US" w:eastAsia="zh-CN"/>
        </w:rPr>
        <w:t>5</w:t>
      </w:r>
      <w:r>
        <w:rPr>
          <w:rFonts w:hint="default" w:ascii="Times New Roman" w:hAnsi="Times New Roman" w:eastAsia="宋体" w:cs="Times New Roman"/>
          <w:b/>
          <w:bCs/>
          <w:sz w:val="24"/>
          <w:szCs w:val="24"/>
          <w:highlight w:val="none"/>
          <w:lang w:eastAsia="zh-CN"/>
        </w:rPr>
        <w:t>.2-</w:t>
      </w:r>
      <w:r>
        <w:rPr>
          <w:rFonts w:hint="eastAsia" w:eastAsia="宋体" w:cs="Times New Roman"/>
          <w:b/>
          <w:bCs/>
          <w:sz w:val="24"/>
          <w:szCs w:val="24"/>
          <w:highlight w:val="none"/>
          <w:lang w:val="en-US" w:eastAsia="zh-CN"/>
        </w:rPr>
        <w:t>11</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eastAsia="zh-CN"/>
        </w:rPr>
        <w:t>声环境现状监测统计结果</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002"/>
        <w:gridCol w:w="1126"/>
        <w:gridCol w:w="1126"/>
        <w:gridCol w:w="2"/>
        <w:gridCol w:w="1124"/>
        <w:gridCol w:w="1132"/>
      </w:tblGrid>
      <w:tr w14:paraId="0A9A1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vMerge w:val="restart"/>
            <w:tcBorders>
              <w:tl2br w:val="nil"/>
              <w:tr2bl w:val="nil"/>
            </w:tcBorders>
            <w:noWrap w:val="0"/>
            <w:vAlign w:val="center"/>
          </w:tcPr>
          <w:p w14:paraId="7EA21CA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检测点位</w:t>
            </w:r>
          </w:p>
        </w:tc>
        <w:tc>
          <w:tcPr>
            <w:tcW w:w="2648" w:type="pct"/>
            <w:gridSpan w:val="5"/>
            <w:tcBorders>
              <w:tl2br w:val="nil"/>
              <w:tr2bl w:val="nil"/>
            </w:tcBorders>
            <w:noWrap w:val="0"/>
            <w:vAlign w:val="center"/>
          </w:tcPr>
          <w:p w14:paraId="40ABDF36">
            <w:pPr>
              <w:pStyle w:val="8"/>
              <w:keepNext w:val="0"/>
              <w:keepLines w:val="0"/>
              <w:pageBreakBefore w:val="0"/>
              <w:widowControl/>
              <w:kinsoku/>
              <w:wordWrap/>
              <w:overflowPunct/>
              <w:topLinePunct w:val="0"/>
              <w:autoSpaceDE/>
              <w:autoSpaceDN/>
              <w:bidi w:val="0"/>
              <w:adjustRightInd/>
              <w:spacing w:before="0" w:after="0"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检测结果（单位：dB(A)）</w:t>
            </w:r>
          </w:p>
        </w:tc>
      </w:tr>
      <w:tr w14:paraId="45267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vMerge w:val="continue"/>
            <w:tcBorders>
              <w:tl2br w:val="nil"/>
              <w:tr2bl w:val="nil"/>
            </w:tcBorders>
            <w:noWrap w:val="0"/>
            <w:vAlign w:val="center"/>
          </w:tcPr>
          <w:p w14:paraId="0A8AAA0C">
            <w:pPr>
              <w:pStyle w:val="22"/>
              <w:keepNext w:val="0"/>
              <w:keepLines w:val="0"/>
              <w:pageBreakBefore w:val="0"/>
              <w:widowControl/>
              <w:kinsoku/>
              <w:wordWrap/>
              <w:overflowPunct/>
              <w:topLinePunct w:val="0"/>
              <w:autoSpaceDE/>
              <w:autoSpaceDN/>
              <w:bidi w:val="0"/>
              <w:adjustRightInd/>
              <w:spacing w:after="0" w:afterLines="0" w:line="240" w:lineRule="auto"/>
              <w:ind w:left="0" w:leftChars="0" w:right="0" w:firstLine="0" w:firstLineChars="0"/>
              <w:jc w:val="center"/>
              <w:textAlignment w:val="center"/>
              <w:rPr>
                <w:rFonts w:hint="default" w:ascii="Times New Roman" w:hAnsi="Times New Roman" w:eastAsia="宋体" w:cs="Times New Roman"/>
                <w:sz w:val="21"/>
                <w:szCs w:val="21"/>
                <w:highlight w:val="none"/>
                <w:lang w:eastAsia="zh-CN"/>
              </w:rPr>
            </w:pPr>
          </w:p>
        </w:tc>
        <w:tc>
          <w:tcPr>
            <w:tcW w:w="1323" w:type="pct"/>
            <w:gridSpan w:val="3"/>
            <w:tcBorders>
              <w:tl2br w:val="nil"/>
              <w:tr2bl w:val="nil"/>
            </w:tcBorders>
            <w:noWrap w:val="0"/>
            <w:vAlign w:val="center"/>
          </w:tcPr>
          <w:p w14:paraId="2868FCA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2025.03.</w:t>
            </w:r>
            <w:r>
              <w:rPr>
                <w:rFonts w:hint="default" w:ascii="Times New Roman" w:hAnsi="Times New Roman" w:eastAsia="宋体" w:cs="Times New Roman"/>
                <w:sz w:val="21"/>
                <w:szCs w:val="21"/>
                <w:highlight w:val="none"/>
                <w:lang w:val="en-US" w:eastAsia="zh-CN"/>
              </w:rPr>
              <w:t>25</w:t>
            </w:r>
          </w:p>
        </w:tc>
        <w:tc>
          <w:tcPr>
            <w:tcW w:w="1324" w:type="pct"/>
            <w:gridSpan w:val="2"/>
            <w:tcBorders>
              <w:tl2br w:val="nil"/>
              <w:tr2bl w:val="nil"/>
            </w:tcBorders>
            <w:noWrap w:val="0"/>
            <w:vAlign w:val="center"/>
          </w:tcPr>
          <w:p w14:paraId="4447E5FC">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2025.03.</w:t>
            </w:r>
            <w:r>
              <w:rPr>
                <w:rFonts w:hint="default" w:ascii="Times New Roman" w:hAnsi="Times New Roman" w:eastAsia="宋体" w:cs="Times New Roman"/>
                <w:sz w:val="21"/>
                <w:szCs w:val="21"/>
                <w:highlight w:val="none"/>
                <w:lang w:val="en-US" w:eastAsia="zh-CN"/>
              </w:rPr>
              <w:t>26</w:t>
            </w:r>
          </w:p>
        </w:tc>
      </w:tr>
      <w:tr w14:paraId="38011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vMerge w:val="continue"/>
            <w:tcBorders>
              <w:tl2br w:val="nil"/>
              <w:tr2bl w:val="nil"/>
            </w:tcBorders>
            <w:noWrap w:val="0"/>
            <w:vAlign w:val="center"/>
          </w:tcPr>
          <w:p w14:paraId="411512F2">
            <w:pPr>
              <w:pStyle w:val="22"/>
              <w:keepNext w:val="0"/>
              <w:keepLines w:val="0"/>
              <w:pageBreakBefore w:val="0"/>
              <w:widowControl/>
              <w:kinsoku/>
              <w:wordWrap/>
              <w:overflowPunct/>
              <w:topLinePunct w:val="0"/>
              <w:autoSpaceDE/>
              <w:autoSpaceDN/>
              <w:bidi w:val="0"/>
              <w:adjustRightInd/>
              <w:spacing w:after="0" w:afterLines="0" w:line="240" w:lineRule="auto"/>
              <w:ind w:left="0" w:leftChars="0" w:right="0" w:firstLine="0" w:firstLineChars="0"/>
              <w:jc w:val="center"/>
              <w:textAlignment w:val="center"/>
              <w:rPr>
                <w:rFonts w:hint="default" w:ascii="Times New Roman" w:hAnsi="Times New Roman" w:eastAsia="宋体" w:cs="Times New Roman"/>
                <w:sz w:val="21"/>
                <w:szCs w:val="21"/>
                <w:highlight w:val="none"/>
                <w:lang w:eastAsia="zh-CN"/>
              </w:rPr>
            </w:pPr>
          </w:p>
        </w:tc>
        <w:tc>
          <w:tcPr>
            <w:tcW w:w="661" w:type="pct"/>
            <w:tcBorders>
              <w:tl2br w:val="nil"/>
              <w:tr2bl w:val="nil"/>
            </w:tcBorders>
            <w:noWrap w:val="0"/>
            <w:vAlign w:val="center"/>
          </w:tcPr>
          <w:p w14:paraId="0964CCE5">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昼间</w:t>
            </w:r>
          </w:p>
        </w:tc>
        <w:tc>
          <w:tcPr>
            <w:tcW w:w="661" w:type="pct"/>
            <w:tcBorders>
              <w:tl2br w:val="nil"/>
              <w:tr2bl w:val="nil"/>
            </w:tcBorders>
            <w:noWrap w:val="0"/>
            <w:vAlign w:val="center"/>
          </w:tcPr>
          <w:p w14:paraId="68EBA075">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夜间</w:t>
            </w:r>
          </w:p>
        </w:tc>
        <w:tc>
          <w:tcPr>
            <w:tcW w:w="661" w:type="pct"/>
            <w:gridSpan w:val="2"/>
            <w:tcBorders>
              <w:tl2br w:val="nil"/>
              <w:tr2bl w:val="nil"/>
            </w:tcBorders>
            <w:noWrap w:val="0"/>
            <w:vAlign w:val="center"/>
          </w:tcPr>
          <w:p w14:paraId="27A43DD9">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昼间</w:t>
            </w:r>
          </w:p>
        </w:tc>
        <w:tc>
          <w:tcPr>
            <w:tcW w:w="664" w:type="pct"/>
            <w:tcBorders>
              <w:tl2br w:val="nil"/>
              <w:tr2bl w:val="nil"/>
            </w:tcBorders>
            <w:noWrap w:val="0"/>
            <w:vAlign w:val="center"/>
          </w:tcPr>
          <w:p w14:paraId="3A3315ED">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夜间</w:t>
            </w:r>
          </w:p>
        </w:tc>
      </w:tr>
      <w:tr w14:paraId="27B7A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6853D187">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N1雷家屋居民点（位于厂区东北侧165米处）</w:t>
            </w:r>
          </w:p>
        </w:tc>
        <w:tc>
          <w:tcPr>
            <w:tcW w:w="661" w:type="pct"/>
            <w:tcBorders>
              <w:tl2br w:val="nil"/>
              <w:tr2bl w:val="nil"/>
            </w:tcBorders>
            <w:noWrap w:val="0"/>
            <w:vAlign w:val="center"/>
          </w:tcPr>
          <w:p w14:paraId="54C46EF9">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52</w:t>
            </w:r>
          </w:p>
        </w:tc>
        <w:tc>
          <w:tcPr>
            <w:tcW w:w="661" w:type="pct"/>
            <w:tcBorders>
              <w:tl2br w:val="nil"/>
              <w:tr2bl w:val="nil"/>
            </w:tcBorders>
            <w:noWrap w:val="0"/>
            <w:vAlign w:val="center"/>
          </w:tcPr>
          <w:p w14:paraId="3C292227">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c>
          <w:tcPr>
            <w:tcW w:w="661" w:type="pct"/>
            <w:gridSpan w:val="2"/>
            <w:tcBorders>
              <w:tl2br w:val="nil"/>
              <w:tr2bl w:val="nil"/>
            </w:tcBorders>
            <w:noWrap w:val="0"/>
            <w:vAlign w:val="center"/>
          </w:tcPr>
          <w:p w14:paraId="0919CFC3">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w:t>
            </w:r>
          </w:p>
        </w:tc>
        <w:tc>
          <w:tcPr>
            <w:tcW w:w="664" w:type="pct"/>
            <w:tcBorders>
              <w:tl2br w:val="nil"/>
              <w:tr2bl w:val="nil"/>
            </w:tcBorders>
            <w:noWrap w:val="0"/>
            <w:vAlign w:val="center"/>
          </w:tcPr>
          <w:p w14:paraId="1CF85BAA">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w:t>
            </w:r>
          </w:p>
        </w:tc>
      </w:tr>
      <w:tr w14:paraId="1D762E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3A7AC888">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N2兰塘八组</w:t>
            </w:r>
            <w:r>
              <w:rPr>
                <w:rFonts w:hint="eastAsia" w:ascii="Times New Roman" w:hAnsi="Times New Roman" w:eastAsia="宋体" w:cs="Times New Roman"/>
                <w:sz w:val="21"/>
                <w:szCs w:val="21"/>
                <w:highlight w:val="none"/>
                <w:lang w:val="en-US" w:eastAsia="zh-CN"/>
              </w:rPr>
              <w:t>居民点</w:t>
            </w:r>
            <w:r>
              <w:rPr>
                <w:rFonts w:hint="default" w:ascii="Times New Roman" w:hAnsi="Times New Roman" w:eastAsia="宋体" w:cs="Times New Roman"/>
                <w:sz w:val="21"/>
                <w:szCs w:val="21"/>
                <w:highlight w:val="none"/>
                <w:lang w:val="en-US" w:eastAsia="zh-CN"/>
              </w:rPr>
              <w:t>（位于厂区东侧186米处）</w:t>
            </w:r>
          </w:p>
        </w:tc>
        <w:tc>
          <w:tcPr>
            <w:tcW w:w="661" w:type="pct"/>
            <w:tcBorders>
              <w:tl2br w:val="nil"/>
              <w:tr2bl w:val="nil"/>
            </w:tcBorders>
            <w:noWrap w:val="0"/>
            <w:vAlign w:val="center"/>
          </w:tcPr>
          <w:p w14:paraId="2C44C235">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53</w:t>
            </w:r>
          </w:p>
        </w:tc>
        <w:tc>
          <w:tcPr>
            <w:tcW w:w="661" w:type="pct"/>
            <w:tcBorders>
              <w:tl2br w:val="nil"/>
              <w:tr2bl w:val="nil"/>
            </w:tcBorders>
            <w:noWrap w:val="0"/>
            <w:vAlign w:val="center"/>
          </w:tcPr>
          <w:p w14:paraId="35BA8159">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42</w:t>
            </w:r>
          </w:p>
        </w:tc>
        <w:tc>
          <w:tcPr>
            <w:tcW w:w="661" w:type="pct"/>
            <w:gridSpan w:val="2"/>
            <w:tcBorders>
              <w:tl2br w:val="nil"/>
              <w:tr2bl w:val="nil"/>
            </w:tcBorders>
            <w:noWrap w:val="0"/>
            <w:vAlign w:val="center"/>
          </w:tcPr>
          <w:p w14:paraId="204B1B76">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w:t>
            </w:r>
          </w:p>
        </w:tc>
        <w:tc>
          <w:tcPr>
            <w:tcW w:w="664" w:type="pct"/>
            <w:tcBorders>
              <w:tl2br w:val="nil"/>
              <w:tr2bl w:val="nil"/>
            </w:tcBorders>
            <w:noWrap w:val="0"/>
            <w:vAlign w:val="center"/>
          </w:tcPr>
          <w:p w14:paraId="0B1F5BA7">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r>
      <w:tr w14:paraId="3E1AD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14923BE2">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参考</w:t>
            </w:r>
            <w:r>
              <w:rPr>
                <w:rFonts w:hint="default" w:ascii="Times New Roman" w:hAnsi="Times New Roman" w:eastAsia="宋体" w:cs="Times New Roman"/>
                <w:b/>
                <w:bCs/>
                <w:sz w:val="21"/>
                <w:szCs w:val="21"/>
                <w:highlight w:val="none"/>
                <w:lang w:val="en-US" w:eastAsia="zh-CN"/>
              </w:rPr>
              <w:t>限值</w:t>
            </w:r>
            <w:r>
              <w:rPr>
                <w:rFonts w:hint="eastAsia" w:eastAsia="宋体" w:cs="Times New Roman"/>
                <w:b/>
                <w:bCs/>
                <w:sz w:val="21"/>
                <w:szCs w:val="21"/>
                <w:highlight w:val="none"/>
                <w:lang w:val="en-US" w:eastAsia="zh-CN"/>
              </w:rPr>
              <w:t>（</w:t>
            </w:r>
            <w:r>
              <w:rPr>
                <w:rFonts w:hint="default" w:ascii="Times New Roman" w:hAnsi="Times New Roman" w:eastAsia="宋体" w:cs="Times New Roman"/>
                <w:bCs/>
                <w:color w:val="auto"/>
                <w:sz w:val="24"/>
                <w:szCs w:val="24"/>
                <w:highlight w:val="none"/>
                <w:u w:val="none" w:color="auto"/>
                <w:lang w:val="en-US" w:eastAsia="zh-CN"/>
              </w:rPr>
              <w:t>2 类</w:t>
            </w:r>
            <w:r>
              <w:rPr>
                <w:rFonts w:hint="eastAsia" w:eastAsia="宋体" w:cs="Times New Roman"/>
                <w:b/>
                <w:bCs/>
                <w:sz w:val="21"/>
                <w:szCs w:val="21"/>
                <w:highlight w:val="none"/>
                <w:lang w:val="en-US" w:eastAsia="zh-CN"/>
              </w:rPr>
              <w:t>）</w:t>
            </w:r>
          </w:p>
        </w:tc>
        <w:tc>
          <w:tcPr>
            <w:tcW w:w="661" w:type="pct"/>
            <w:tcBorders>
              <w:tl2br w:val="nil"/>
              <w:tr2bl w:val="nil"/>
            </w:tcBorders>
            <w:noWrap w:val="0"/>
            <w:vAlign w:val="center"/>
          </w:tcPr>
          <w:p w14:paraId="2D9CF3A5">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661" w:type="pct"/>
            <w:tcBorders>
              <w:tl2br w:val="nil"/>
              <w:tr2bl w:val="nil"/>
            </w:tcBorders>
            <w:noWrap w:val="0"/>
            <w:vAlign w:val="center"/>
          </w:tcPr>
          <w:p w14:paraId="0B46F2FD">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661" w:type="pct"/>
            <w:gridSpan w:val="2"/>
            <w:tcBorders>
              <w:tl2br w:val="nil"/>
              <w:tr2bl w:val="nil"/>
            </w:tcBorders>
            <w:noWrap w:val="0"/>
            <w:vAlign w:val="center"/>
          </w:tcPr>
          <w:p w14:paraId="1E21B1A2">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664" w:type="pct"/>
            <w:tcBorders>
              <w:tl2br w:val="nil"/>
              <w:tr2bl w:val="nil"/>
            </w:tcBorders>
            <w:noWrap w:val="0"/>
            <w:vAlign w:val="center"/>
          </w:tcPr>
          <w:p w14:paraId="159D18B0">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r>
      <w:tr w14:paraId="6D251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3C656A43">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N3东厂界</w:t>
            </w:r>
          </w:p>
        </w:tc>
        <w:tc>
          <w:tcPr>
            <w:tcW w:w="661" w:type="pct"/>
            <w:tcBorders>
              <w:tl2br w:val="nil"/>
              <w:tr2bl w:val="nil"/>
            </w:tcBorders>
            <w:noWrap w:val="0"/>
            <w:vAlign w:val="center"/>
          </w:tcPr>
          <w:p w14:paraId="570B96C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56</w:t>
            </w:r>
          </w:p>
        </w:tc>
        <w:tc>
          <w:tcPr>
            <w:tcW w:w="661" w:type="pct"/>
            <w:tcBorders>
              <w:tl2br w:val="nil"/>
              <w:tr2bl w:val="nil"/>
            </w:tcBorders>
            <w:noWrap w:val="0"/>
            <w:vAlign w:val="center"/>
          </w:tcPr>
          <w:p w14:paraId="5D82A39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43</w:t>
            </w:r>
          </w:p>
        </w:tc>
        <w:tc>
          <w:tcPr>
            <w:tcW w:w="661" w:type="pct"/>
            <w:gridSpan w:val="2"/>
            <w:tcBorders>
              <w:tl2br w:val="nil"/>
              <w:tr2bl w:val="nil"/>
            </w:tcBorders>
            <w:noWrap w:val="0"/>
            <w:vAlign w:val="center"/>
          </w:tcPr>
          <w:p w14:paraId="3963A615">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55</w:t>
            </w:r>
          </w:p>
        </w:tc>
        <w:tc>
          <w:tcPr>
            <w:tcW w:w="664" w:type="pct"/>
            <w:tcBorders>
              <w:tl2br w:val="nil"/>
              <w:tr2bl w:val="nil"/>
            </w:tcBorders>
            <w:noWrap w:val="0"/>
            <w:vAlign w:val="center"/>
          </w:tcPr>
          <w:p w14:paraId="166682E8">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42</w:t>
            </w:r>
          </w:p>
        </w:tc>
      </w:tr>
      <w:tr w14:paraId="3C5C5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3B88F899">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N4南厂界</w:t>
            </w:r>
          </w:p>
        </w:tc>
        <w:tc>
          <w:tcPr>
            <w:tcW w:w="661" w:type="pct"/>
            <w:tcBorders>
              <w:tl2br w:val="nil"/>
              <w:tr2bl w:val="nil"/>
            </w:tcBorders>
            <w:noWrap w:val="0"/>
            <w:vAlign w:val="center"/>
          </w:tcPr>
          <w:p w14:paraId="094AF2B2">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55</w:t>
            </w:r>
          </w:p>
        </w:tc>
        <w:tc>
          <w:tcPr>
            <w:tcW w:w="661" w:type="pct"/>
            <w:tcBorders>
              <w:tl2br w:val="nil"/>
              <w:tr2bl w:val="nil"/>
            </w:tcBorders>
            <w:noWrap w:val="0"/>
            <w:vAlign w:val="center"/>
          </w:tcPr>
          <w:p w14:paraId="7FDA173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44</w:t>
            </w:r>
          </w:p>
        </w:tc>
        <w:tc>
          <w:tcPr>
            <w:tcW w:w="661" w:type="pct"/>
            <w:gridSpan w:val="2"/>
            <w:tcBorders>
              <w:tl2br w:val="nil"/>
              <w:tr2bl w:val="nil"/>
            </w:tcBorders>
            <w:noWrap w:val="0"/>
            <w:vAlign w:val="center"/>
          </w:tcPr>
          <w:p w14:paraId="0AD449EE">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57</w:t>
            </w:r>
          </w:p>
        </w:tc>
        <w:tc>
          <w:tcPr>
            <w:tcW w:w="664" w:type="pct"/>
            <w:tcBorders>
              <w:tl2br w:val="nil"/>
              <w:tr2bl w:val="nil"/>
            </w:tcBorders>
            <w:noWrap w:val="0"/>
            <w:vAlign w:val="center"/>
          </w:tcPr>
          <w:p w14:paraId="63EEF220">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43</w:t>
            </w:r>
          </w:p>
        </w:tc>
      </w:tr>
      <w:tr w14:paraId="7BDA85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center"/>
          </w:tcPr>
          <w:p w14:paraId="55647F90">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N6北厂界</w:t>
            </w:r>
          </w:p>
        </w:tc>
        <w:tc>
          <w:tcPr>
            <w:tcW w:w="661" w:type="pct"/>
            <w:tcBorders>
              <w:tl2br w:val="nil"/>
              <w:tr2bl w:val="nil"/>
            </w:tcBorders>
            <w:noWrap w:val="0"/>
            <w:vAlign w:val="center"/>
          </w:tcPr>
          <w:p w14:paraId="65662931">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55</w:t>
            </w:r>
          </w:p>
        </w:tc>
        <w:tc>
          <w:tcPr>
            <w:tcW w:w="661" w:type="pct"/>
            <w:tcBorders>
              <w:tl2br w:val="nil"/>
              <w:tr2bl w:val="nil"/>
            </w:tcBorders>
            <w:noWrap w:val="0"/>
            <w:vAlign w:val="center"/>
          </w:tcPr>
          <w:p w14:paraId="4119FAAE">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42</w:t>
            </w:r>
          </w:p>
        </w:tc>
        <w:tc>
          <w:tcPr>
            <w:tcW w:w="661" w:type="pct"/>
            <w:gridSpan w:val="2"/>
            <w:tcBorders>
              <w:tl2br w:val="nil"/>
              <w:tr2bl w:val="nil"/>
            </w:tcBorders>
            <w:noWrap w:val="0"/>
            <w:vAlign w:val="center"/>
          </w:tcPr>
          <w:p w14:paraId="5301F0DE">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56</w:t>
            </w:r>
          </w:p>
        </w:tc>
        <w:tc>
          <w:tcPr>
            <w:tcW w:w="664" w:type="pct"/>
            <w:tcBorders>
              <w:tl2br w:val="nil"/>
              <w:tr2bl w:val="nil"/>
            </w:tcBorders>
            <w:noWrap w:val="0"/>
            <w:vAlign w:val="center"/>
          </w:tcPr>
          <w:p w14:paraId="7D699F74">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w:t>
            </w:r>
          </w:p>
        </w:tc>
      </w:tr>
      <w:tr w14:paraId="49F6B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top"/>
          </w:tcPr>
          <w:p w14:paraId="74AD9D80">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b/>
                <w:bCs/>
                <w:sz w:val="21"/>
                <w:szCs w:val="21"/>
                <w:highlight w:val="none"/>
                <w:lang w:val="en-US" w:eastAsia="zh-CN"/>
              </w:rPr>
              <w:t>参考</w:t>
            </w:r>
            <w:r>
              <w:rPr>
                <w:rFonts w:hint="default" w:ascii="Times New Roman" w:hAnsi="Times New Roman" w:eastAsia="宋体" w:cs="Times New Roman"/>
                <w:b/>
                <w:bCs/>
                <w:sz w:val="21"/>
                <w:szCs w:val="21"/>
                <w:highlight w:val="none"/>
                <w:lang w:eastAsia="zh-CN"/>
              </w:rPr>
              <w:t>限值</w:t>
            </w:r>
            <w:r>
              <w:rPr>
                <w:rFonts w:hint="eastAsia" w:eastAsia="宋体" w:cs="Times New Roman"/>
                <w:b/>
                <w:bCs/>
                <w:sz w:val="21"/>
                <w:szCs w:val="21"/>
                <w:highlight w:val="none"/>
                <w:lang w:eastAsia="zh-CN"/>
              </w:rPr>
              <w:t>（</w:t>
            </w:r>
            <w:r>
              <w:rPr>
                <w:rFonts w:hint="default" w:ascii="Times New Roman" w:hAnsi="Times New Roman" w:eastAsia="宋体" w:cs="Times New Roman"/>
                <w:bCs/>
                <w:color w:val="auto"/>
                <w:sz w:val="24"/>
                <w:szCs w:val="24"/>
                <w:highlight w:val="none"/>
                <w:u w:val="none" w:color="auto"/>
                <w:lang w:val="en-US" w:eastAsia="zh-CN"/>
              </w:rPr>
              <w:t>3 类</w:t>
            </w:r>
            <w:r>
              <w:rPr>
                <w:rFonts w:hint="eastAsia" w:eastAsia="宋体" w:cs="Times New Roman"/>
                <w:b/>
                <w:bCs/>
                <w:sz w:val="21"/>
                <w:szCs w:val="21"/>
                <w:highlight w:val="none"/>
                <w:lang w:eastAsia="zh-CN"/>
              </w:rPr>
              <w:t>）</w:t>
            </w:r>
          </w:p>
        </w:tc>
        <w:tc>
          <w:tcPr>
            <w:tcW w:w="661" w:type="pct"/>
            <w:tcBorders>
              <w:tl2br w:val="nil"/>
              <w:tr2bl w:val="nil"/>
            </w:tcBorders>
            <w:noWrap w:val="0"/>
            <w:vAlign w:val="center"/>
          </w:tcPr>
          <w:p w14:paraId="25D46C0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65</w:t>
            </w:r>
          </w:p>
        </w:tc>
        <w:tc>
          <w:tcPr>
            <w:tcW w:w="661" w:type="pct"/>
            <w:tcBorders>
              <w:tl2br w:val="nil"/>
              <w:tr2bl w:val="nil"/>
            </w:tcBorders>
            <w:noWrap w:val="0"/>
            <w:vAlign w:val="center"/>
          </w:tcPr>
          <w:p w14:paraId="20905D16">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55</w:t>
            </w:r>
          </w:p>
        </w:tc>
        <w:tc>
          <w:tcPr>
            <w:tcW w:w="661" w:type="pct"/>
            <w:gridSpan w:val="2"/>
            <w:tcBorders>
              <w:tl2br w:val="nil"/>
              <w:tr2bl w:val="nil"/>
            </w:tcBorders>
            <w:noWrap w:val="0"/>
            <w:vAlign w:val="center"/>
          </w:tcPr>
          <w:p w14:paraId="58E9E189">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65</w:t>
            </w:r>
          </w:p>
        </w:tc>
        <w:tc>
          <w:tcPr>
            <w:tcW w:w="664" w:type="pct"/>
            <w:tcBorders>
              <w:tl2br w:val="nil"/>
              <w:tr2bl w:val="nil"/>
            </w:tcBorders>
            <w:noWrap w:val="0"/>
            <w:vAlign w:val="center"/>
          </w:tcPr>
          <w:p w14:paraId="64BAF058">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55</w:t>
            </w:r>
          </w:p>
        </w:tc>
      </w:tr>
      <w:tr w14:paraId="33F94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top"/>
          </w:tcPr>
          <w:p w14:paraId="29209DE0">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N4西厂界</w:t>
            </w:r>
          </w:p>
        </w:tc>
        <w:tc>
          <w:tcPr>
            <w:tcW w:w="661" w:type="pct"/>
            <w:tcBorders>
              <w:tl2br w:val="nil"/>
              <w:tr2bl w:val="nil"/>
            </w:tcBorders>
            <w:noWrap w:val="0"/>
            <w:vAlign w:val="center"/>
          </w:tcPr>
          <w:p w14:paraId="5DA56CD6">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58</w:t>
            </w:r>
          </w:p>
        </w:tc>
        <w:tc>
          <w:tcPr>
            <w:tcW w:w="661" w:type="pct"/>
            <w:tcBorders>
              <w:tl2br w:val="nil"/>
              <w:tr2bl w:val="nil"/>
            </w:tcBorders>
            <w:noWrap w:val="0"/>
            <w:vAlign w:val="center"/>
          </w:tcPr>
          <w:p w14:paraId="5CF304A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46</w:t>
            </w:r>
          </w:p>
        </w:tc>
        <w:tc>
          <w:tcPr>
            <w:tcW w:w="661" w:type="pct"/>
            <w:gridSpan w:val="2"/>
            <w:tcBorders>
              <w:tl2br w:val="nil"/>
              <w:tr2bl w:val="nil"/>
            </w:tcBorders>
            <w:noWrap w:val="0"/>
            <w:vAlign w:val="center"/>
          </w:tcPr>
          <w:p w14:paraId="32B41650">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59</w:t>
            </w:r>
          </w:p>
        </w:tc>
        <w:tc>
          <w:tcPr>
            <w:tcW w:w="664" w:type="pct"/>
            <w:tcBorders>
              <w:tl2br w:val="nil"/>
              <w:tr2bl w:val="nil"/>
            </w:tcBorders>
            <w:noWrap w:val="0"/>
            <w:vAlign w:val="center"/>
          </w:tcPr>
          <w:p w14:paraId="2B04F0C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w:t>
            </w:r>
          </w:p>
        </w:tc>
      </w:tr>
      <w:tr w14:paraId="36D67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51" w:type="pct"/>
            <w:tcBorders>
              <w:tl2br w:val="nil"/>
              <w:tr2bl w:val="nil"/>
            </w:tcBorders>
            <w:noWrap w:val="0"/>
            <w:vAlign w:val="top"/>
          </w:tcPr>
          <w:p w14:paraId="6D902034">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参考</w:t>
            </w:r>
            <w:r>
              <w:rPr>
                <w:rFonts w:hint="default" w:ascii="Times New Roman" w:hAnsi="Times New Roman" w:eastAsia="宋体" w:cs="Times New Roman"/>
                <w:b/>
                <w:bCs/>
                <w:sz w:val="21"/>
                <w:szCs w:val="21"/>
                <w:highlight w:val="none"/>
                <w:lang w:val="en-US" w:eastAsia="zh-CN"/>
              </w:rPr>
              <w:t>限值</w:t>
            </w:r>
            <w:r>
              <w:rPr>
                <w:rFonts w:hint="eastAsia" w:eastAsia="宋体" w:cs="Times New Roman"/>
                <w:b/>
                <w:bCs/>
                <w:sz w:val="21"/>
                <w:szCs w:val="21"/>
                <w:highlight w:val="none"/>
                <w:lang w:val="en-US" w:eastAsia="zh-CN"/>
              </w:rPr>
              <w:t>（</w:t>
            </w:r>
            <w:r>
              <w:rPr>
                <w:rFonts w:hint="default" w:ascii="Times New Roman" w:hAnsi="Times New Roman" w:eastAsia="宋体" w:cs="Times New Roman"/>
                <w:bCs/>
                <w:color w:val="auto"/>
                <w:sz w:val="24"/>
                <w:szCs w:val="24"/>
                <w:highlight w:val="none"/>
                <w:u w:val="none" w:color="auto"/>
                <w:lang w:val="en-US" w:eastAsia="zh-CN"/>
              </w:rPr>
              <w:t>4b</w:t>
            </w:r>
            <w:r>
              <w:rPr>
                <w:rFonts w:hint="eastAsia" w:eastAsia="宋体" w:cs="Times New Roman"/>
                <w:b/>
                <w:bCs/>
                <w:sz w:val="21"/>
                <w:szCs w:val="21"/>
                <w:highlight w:val="none"/>
                <w:lang w:val="en-US" w:eastAsia="zh-CN"/>
              </w:rPr>
              <w:t>）</w:t>
            </w:r>
          </w:p>
        </w:tc>
        <w:tc>
          <w:tcPr>
            <w:tcW w:w="661" w:type="pct"/>
            <w:tcBorders>
              <w:tl2br w:val="nil"/>
              <w:tr2bl w:val="nil"/>
            </w:tcBorders>
            <w:noWrap w:val="0"/>
            <w:vAlign w:val="center"/>
          </w:tcPr>
          <w:p w14:paraId="00625D94">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70</w:t>
            </w:r>
          </w:p>
        </w:tc>
        <w:tc>
          <w:tcPr>
            <w:tcW w:w="661" w:type="pct"/>
            <w:tcBorders>
              <w:tl2br w:val="nil"/>
              <w:tr2bl w:val="nil"/>
            </w:tcBorders>
            <w:noWrap w:val="0"/>
            <w:vAlign w:val="center"/>
          </w:tcPr>
          <w:p w14:paraId="10265B5D">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55</w:t>
            </w:r>
          </w:p>
        </w:tc>
        <w:tc>
          <w:tcPr>
            <w:tcW w:w="661" w:type="pct"/>
            <w:gridSpan w:val="2"/>
            <w:tcBorders>
              <w:tl2br w:val="nil"/>
              <w:tr2bl w:val="nil"/>
            </w:tcBorders>
            <w:noWrap w:val="0"/>
            <w:vAlign w:val="center"/>
          </w:tcPr>
          <w:p w14:paraId="31FAD97D">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70</w:t>
            </w:r>
          </w:p>
        </w:tc>
        <w:tc>
          <w:tcPr>
            <w:tcW w:w="664" w:type="pct"/>
            <w:tcBorders>
              <w:tl2br w:val="nil"/>
              <w:tr2bl w:val="nil"/>
            </w:tcBorders>
            <w:noWrap w:val="0"/>
            <w:vAlign w:val="center"/>
          </w:tcPr>
          <w:p w14:paraId="585ECA7F">
            <w:pPr>
              <w:keepNext w:val="0"/>
              <w:keepLines w:val="0"/>
              <w:pageBreakBefore w:val="0"/>
              <w:widowControl/>
              <w:kinsoku/>
              <w:wordWrap/>
              <w:overflowPunct/>
              <w:topLinePunct w:val="0"/>
              <w:autoSpaceDE/>
              <w:autoSpaceDN/>
              <w:bidi w:val="0"/>
              <w:adjustRightInd/>
              <w:spacing w:line="240" w:lineRule="auto"/>
              <w:ind w:right="0"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55</w:t>
            </w:r>
          </w:p>
        </w:tc>
      </w:tr>
    </w:tbl>
    <w:p w14:paraId="7559D84B">
      <w:pPr>
        <w:spacing w:line="360" w:lineRule="auto"/>
        <w:ind w:firstLine="480" w:firstLineChars="200"/>
        <w:rPr>
          <w:rFonts w:hint="default"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根据检测结果，项目地</w:t>
      </w:r>
      <w:r>
        <w:rPr>
          <w:rFonts w:hint="default" w:ascii="Times New Roman" w:hAnsi="Times New Roman" w:eastAsia="宋体" w:cs="Times New Roman"/>
          <w:bCs/>
          <w:color w:val="auto"/>
          <w:sz w:val="24"/>
          <w:szCs w:val="24"/>
          <w:highlight w:val="none"/>
          <w:u w:val="none" w:color="auto"/>
          <w:lang w:val="en-US" w:eastAsia="zh-CN"/>
        </w:rPr>
        <w:t>东</w:t>
      </w:r>
      <w:r>
        <w:rPr>
          <w:rFonts w:hint="eastAsia" w:ascii="Times New Roman" w:hAnsi="Times New Roman" w:eastAsia="宋体" w:cs="Times New Roman"/>
          <w:bCs/>
          <w:color w:val="auto"/>
          <w:sz w:val="24"/>
          <w:szCs w:val="24"/>
          <w:highlight w:val="none"/>
          <w:u w:val="none" w:color="auto"/>
          <w:lang w:val="en-US" w:eastAsia="zh-CN"/>
        </w:rPr>
        <w:t>、南、北</w:t>
      </w:r>
      <w:r>
        <w:rPr>
          <w:rFonts w:hint="default" w:ascii="Times New Roman" w:hAnsi="Times New Roman" w:eastAsia="宋体" w:cs="Times New Roman"/>
          <w:bCs/>
          <w:color w:val="auto"/>
          <w:sz w:val="24"/>
          <w:szCs w:val="24"/>
          <w:highlight w:val="none"/>
          <w:u w:val="none" w:color="auto"/>
          <w:lang w:val="en-US" w:eastAsia="zh-CN"/>
        </w:rPr>
        <w:t>厂界声环境质量</w:t>
      </w:r>
      <w:r>
        <w:rPr>
          <w:rFonts w:hint="eastAsia" w:ascii="Times New Roman" w:hAnsi="Times New Roman" w:eastAsia="宋体" w:cs="Times New Roman"/>
          <w:bCs/>
          <w:color w:val="auto"/>
          <w:sz w:val="24"/>
          <w:szCs w:val="24"/>
          <w:highlight w:val="none"/>
          <w:u w:val="none" w:color="auto"/>
          <w:lang w:val="en-US" w:eastAsia="zh-CN"/>
        </w:rPr>
        <w:t>满足</w:t>
      </w:r>
      <w:r>
        <w:rPr>
          <w:rFonts w:hint="default" w:ascii="Times New Roman" w:hAnsi="Times New Roman" w:eastAsia="宋体" w:cs="Times New Roman"/>
          <w:bCs/>
          <w:color w:val="auto"/>
          <w:sz w:val="24"/>
          <w:szCs w:val="24"/>
          <w:highlight w:val="none"/>
          <w:u w:val="none" w:color="auto"/>
          <w:lang w:val="en-US" w:eastAsia="zh-CN"/>
        </w:rPr>
        <w:t>《声环境质量标准》（GB3096-2008）中的3 类区标准</w:t>
      </w:r>
      <w:r>
        <w:rPr>
          <w:rFonts w:hint="eastAsia" w:ascii="Times New Roman" w:hAnsi="Times New Roman" w:eastAsia="宋体" w:cs="Times New Roman"/>
          <w:bCs/>
          <w:color w:val="auto"/>
          <w:sz w:val="24"/>
          <w:szCs w:val="24"/>
          <w:highlight w:val="none"/>
          <w:u w:val="none" w:color="auto"/>
          <w:lang w:val="en-US" w:eastAsia="zh-CN"/>
        </w:rPr>
        <w:t>；</w:t>
      </w:r>
      <w:r>
        <w:rPr>
          <w:rFonts w:hint="default" w:ascii="Times New Roman" w:hAnsi="Times New Roman" w:eastAsia="宋体" w:cs="Times New Roman"/>
          <w:bCs/>
          <w:color w:val="auto"/>
          <w:sz w:val="24"/>
          <w:szCs w:val="24"/>
          <w:highlight w:val="none"/>
          <w:u w:val="none" w:color="auto"/>
          <w:lang w:val="en-US" w:eastAsia="zh-CN"/>
        </w:rPr>
        <w:t>西厂界靠近二级公路和高铁铁路干线，西厂界声环境质量</w:t>
      </w:r>
      <w:r>
        <w:rPr>
          <w:rFonts w:hint="eastAsia" w:ascii="Times New Roman" w:hAnsi="Times New Roman" w:eastAsia="宋体" w:cs="Times New Roman"/>
          <w:bCs/>
          <w:color w:val="auto"/>
          <w:sz w:val="24"/>
          <w:szCs w:val="24"/>
          <w:highlight w:val="none"/>
          <w:u w:val="none" w:color="auto"/>
          <w:lang w:val="en-US" w:eastAsia="zh-CN"/>
        </w:rPr>
        <w:t>满足</w:t>
      </w:r>
      <w:r>
        <w:rPr>
          <w:rFonts w:hint="default" w:ascii="Times New Roman" w:hAnsi="Times New Roman" w:eastAsia="宋体" w:cs="Times New Roman"/>
          <w:bCs/>
          <w:color w:val="auto"/>
          <w:sz w:val="24"/>
          <w:szCs w:val="24"/>
          <w:highlight w:val="none"/>
          <w:u w:val="none" w:color="auto"/>
          <w:lang w:val="en-US" w:eastAsia="zh-CN"/>
        </w:rPr>
        <w:t>《声环境质量标准》（GB3096-2008）中的4b类区标准</w:t>
      </w:r>
      <w:r>
        <w:rPr>
          <w:rFonts w:hint="eastAsia" w:ascii="Times New Roman" w:hAnsi="Times New Roman" w:eastAsia="宋体" w:cs="Times New Roman"/>
          <w:bCs/>
          <w:color w:val="auto"/>
          <w:sz w:val="24"/>
          <w:szCs w:val="24"/>
          <w:highlight w:val="none"/>
          <w:u w:val="none" w:color="auto"/>
          <w:lang w:val="en-US" w:eastAsia="zh-CN"/>
        </w:rPr>
        <w:t>；</w:t>
      </w:r>
      <w:r>
        <w:rPr>
          <w:rFonts w:hint="default" w:ascii="Times New Roman" w:hAnsi="Times New Roman" w:eastAsia="宋体" w:cs="Times New Roman"/>
          <w:bCs/>
          <w:color w:val="auto"/>
          <w:sz w:val="24"/>
          <w:szCs w:val="24"/>
          <w:highlight w:val="none"/>
          <w:u w:val="none" w:color="auto"/>
          <w:lang w:val="en-US" w:eastAsia="zh-CN"/>
        </w:rPr>
        <w:t>居民敏感点</w:t>
      </w:r>
      <w:r>
        <w:rPr>
          <w:rFonts w:hint="eastAsia" w:ascii="Times New Roman" w:hAnsi="Times New Roman" w:eastAsia="宋体" w:cs="Times New Roman"/>
          <w:bCs/>
          <w:color w:val="auto"/>
          <w:sz w:val="24"/>
          <w:szCs w:val="24"/>
          <w:highlight w:val="none"/>
          <w:u w:val="none" w:color="auto"/>
          <w:lang w:val="en-US" w:eastAsia="zh-CN"/>
        </w:rPr>
        <w:t>满足</w:t>
      </w:r>
      <w:r>
        <w:rPr>
          <w:rFonts w:hint="default" w:ascii="Times New Roman" w:hAnsi="Times New Roman" w:eastAsia="宋体" w:cs="Times New Roman"/>
          <w:bCs/>
          <w:color w:val="auto"/>
          <w:sz w:val="24"/>
          <w:szCs w:val="24"/>
          <w:highlight w:val="none"/>
          <w:u w:val="none" w:color="auto"/>
          <w:lang w:val="en-US" w:eastAsia="zh-CN"/>
        </w:rPr>
        <w:t>《声环境质量标准》（GB3096-2008）中的 2 类标准</w:t>
      </w:r>
      <w:r>
        <w:rPr>
          <w:rFonts w:hint="eastAsia" w:ascii="Times New Roman" w:hAnsi="Times New Roman" w:eastAsia="宋体" w:cs="Times New Roman"/>
          <w:bCs/>
          <w:color w:val="auto"/>
          <w:sz w:val="24"/>
          <w:szCs w:val="24"/>
          <w:highlight w:val="none"/>
          <w:u w:val="none" w:color="auto"/>
          <w:lang w:val="en-US" w:eastAsia="zh-CN"/>
        </w:rPr>
        <w:t>。</w:t>
      </w:r>
    </w:p>
    <w:p w14:paraId="0388FC1D">
      <w:pPr>
        <w:pStyle w:val="7"/>
        <w:bidi w:val="0"/>
        <w:rPr>
          <w:rFonts w:hint="eastAsia"/>
          <w:highlight w:val="none"/>
          <w:lang w:val="en-US" w:eastAsia="zh-CN"/>
        </w:rPr>
      </w:pPr>
      <w:bookmarkStart w:id="159" w:name="_Toc19322"/>
      <w:r>
        <w:rPr>
          <w:rFonts w:hint="eastAsia"/>
          <w:highlight w:val="none"/>
          <w:lang w:val="en-US" w:eastAsia="zh-CN"/>
        </w:rPr>
        <w:t>5.2.5 土壤环境质量现状调查和评价</w:t>
      </w:r>
      <w:bookmarkEnd w:id="159"/>
    </w:p>
    <w:p w14:paraId="4AA8C5F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eastAsia="宋体" w:cs="Times New Roman"/>
          <w:b/>
          <w:bCs/>
          <w:color w:val="auto"/>
          <w:sz w:val="24"/>
          <w:szCs w:val="24"/>
          <w:highlight w:val="none"/>
          <w:u w:val="none" w:color="auto"/>
          <w:lang w:val="en-US" w:eastAsia="zh-CN"/>
        </w:rPr>
      </w:pPr>
      <w:bookmarkStart w:id="160" w:name="_Toc20343"/>
      <w:bookmarkStart w:id="161" w:name="_Toc7586"/>
      <w:bookmarkStart w:id="162" w:name="_Toc26588"/>
      <w:bookmarkStart w:id="163" w:name="_Toc4095"/>
      <w:r>
        <w:rPr>
          <w:rFonts w:hint="eastAsia" w:ascii="Times New Roman" w:hAnsi="Times New Roman" w:eastAsia="宋体" w:cs="Times New Roman"/>
          <w:b/>
          <w:bCs/>
          <w:color w:val="auto"/>
          <w:sz w:val="24"/>
          <w:szCs w:val="24"/>
          <w:highlight w:val="none"/>
          <w:u w:val="none" w:color="auto"/>
          <w:lang w:val="en-US" w:eastAsia="zh-CN"/>
        </w:rPr>
        <w:t>1、</w:t>
      </w:r>
      <w:r>
        <w:rPr>
          <w:rFonts w:hint="default" w:ascii="Times New Roman" w:hAnsi="Times New Roman" w:eastAsia="宋体" w:cs="Times New Roman"/>
          <w:b/>
          <w:bCs/>
          <w:color w:val="auto"/>
          <w:sz w:val="24"/>
          <w:szCs w:val="24"/>
          <w:highlight w:val="none"/>
          <w:u w:val="none" w:color="auto"/>
          <w:lang w:val="en-US" w:eastAsia="zh-CN"/>
        </w:rPr>
        <w:t>监测布点及监测因子</w:t>
      </w:r>
      <w:bookmarkEnd w:id="160"/>
      <w:bookmarkEnd w:id="161"/>
      <w:bookmarkEnd w:id="162"/>
      <w:bookmarkEnd w:id="163"/>
    </w:p>
    <w:p w14:paraId="41E4FB1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根据《环境影响评价技术导则土壤环境（试行）》（HJ964-2018）</w:t>
      </w:r>
      <w:r>
        <w:rPr>
          <w:rFonts w:hint="eastAsia" w:eastAsia="宋体" w:cs="Times New Roman"/>
          <w:color w:val="auto"/>
          <w:sz w:val="24"/>
          <w:szCs w:val="24"/>
          <w:highlight w:val="none"/>
          <w:u w:val="none" w:color="auto"/>
          <w:lang w:eastAsia="zh-CN"/>
        </w:rPr>
        <w:t>，</w:t>
      </w:r>
      <w:r>
        <w:rPr>
          <w:rFonts w:hint="eastAsia" w:eastAsia="宋体" w:cs="Times New Roman"/>
          <w:color w:val="auto"/>
          <w:sz w:val="24"/>
          <w:szCs w:val="24"/>
          <w:highlight w:val="none"/>
          <w:u w:val="none" w:color="auto"/>
          <w:lang w:val="en-US" w:eastAsia="zh-CN"/>
        </w:rPr>
        <w:t>本项目</w:t>
      </w:r>
      <w:r>
        <w:rPr>
          <w:rFonts w:hint="eastAsia" w:eastAsia="宋体" w:cs="Times New Roman"/>
          <w:color w:val="auto"/>
          <w:sz w:val="24"/>
          <w:szCs w:val="24"/>
          <w:highlight w:val="none"/>
          <w:u w:val="none" w:color="auto"/>
          <w:lang w:eastAsia="zh-CN"/>
        </w:rPr>
        <w:t>土壤环境影响评价等级为二级，</w:t>
      </w:r>
      <w:r>
        <w:rPr>
          <w:rFonts w:hint="eastAsia" w:eastAsia="宋体" w:cs="Times New Roman"/>
          <w:color w:val="auto"/>
          <w:sz w:val="24"/>
          <w:szCs w:val="24"/>
          <w:highlight w:val="none"/>
          <w:u w:val="none" w:color="auto"/>
          <w:lang w:val="en-US" w:eastAsia="zh-CN"/>
        </w:rPr>
        <w:t>属于污染影响型项目。</w:t>
      </w:r>
    </w:p>
    <w:p w14:paraId="48C20CF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为了解项目所在区域</w:t>
      </w:r>
      <w:r>
        <w:rPr>
          <w:rFonts w:hint="default" w:ascii="Times New Roman" w:hAnsi="Times New Roman" w:eastAsia="宋体" w:cs="Times New Roman"/>
          <w:color w:val="auto"/>
          <w:sz w:val="24"/>
          <w:szCs w:val="24"/>
          <w:highlight w:val="none"/>
          <w:u w:val="none" w:color="auto"/>
          <w:lang w:val="en-US" w:eastAsia="zh-CN"/>
        </w:rPr>
        <w:t>土壤</w:t>
      </w:r>
      <w:r>
        <w:rPr>
          <w:rFonts w:hint="default" w:ascii="Times New Roman" w:hAnsi="Times New Roman" w:eastAsia="宋体" w:cs="Times New Roman"/>
          <w:color w:val="auto"/>
          <w:sz w:val="24"/>
          <w:szCs w:val="24"/>
          <w:highlight w:val="none"/>
          <w:u w:val="none" w:color="auto"/>
        </w:rPr>
        <w:t>环境质量现状，</w:t>
      </w:r>
      <w:r>
        <w:rPr>
          <w:rFonts w:hint="default" w:ascii="Times New Roman" w:hAnsi="Times New Roman" w:eastAsia="宋体" w:cs="Times New Roman"/>
          <w:color w:val="auto"/>
          <w:sz w:val="24"/>
          <w:szCs w:val="24"/>
          <w:highlight w:val="none"/>
          <w:u w:val="none" w:color="auto"/>
          <w:lang w:val="en-US" w:eastAsia="zh-CN"/>
        </w:rPr>
        <w:t>对项目厂界四周在</w:t>
      </w:r>
      <w:r>
        <w:rPr>
          <w:rFonts w:hint="default" w:ascii="Times New Roman" w:hAnsi="Times New Roman" w:eastAsia="宋体" w:cs="Times New Roman"/>
          <w:bCs/>
          <w:color w:val="auto"/>
          <w:sz w:val="24"/>
          <w:szCs w:val="24"/>
          <w:highlight w:val="none"/>
          <w:u w:val="none" w:color="auto"/>
        </w:rPr>
        <w:t>20</w:t>
      </w:r>
      <w:r>
        <w:rPr>
          <w:rFonts w:hint="default" w:ascii="Times New Roman" w:hAnsi="Times New Roman" w:eastAsia="宋体" w:cs="Times New Roman"/>
          <w:bCs/>
          <w:color w:val="auto"/>
          <w:sz w:val="24"/>
          <w:szCs w:val="24"/>
          <w:highlight w:val="none"/>
          <w:u w:val="none" w:color="auto"/>
          <w:lang w:val="en-US" w:eastAsia="zh-CN"/>
        </w:rPr>
        <w:t>25</w:t>
      </w:r>
      <w:r>
        <w:rPr>
          <w:rFonts w:hint="default" w:ascii="Times New Roman" w:hAnsi="Times New Roman" w:eastAsia="宋体" w:cs="Times New Roman"/>
          <w:bCs/>
          <w:color w:val="auto"/>
          <w:sz w:val="24"/>
          <w:szCs w:val="24"/>
          <w:highlight w:val="none"/>
          <w:u w:val="none" w:color="auto"/>
        </w:rPr>
        <w:t>年</w:t>
      </w:r>
      <w:r>
        <w:rPr>
          <w:rFonts w:hint="eastAsia" w:eastAsia="宋体" w:cs="Times New Roman"/>
          <w:bCs/>
          <w:color w:val="auto"/>
          <w:sz w:val="24"/>
          <w:szCs w:val="24"/>
          <w:highlight w:val="none"/>
          <w:u w:val="none" w:color="auto"/>
          <w:lang w:val="en-US" w:eastAsia="zh-CN"/>
        </w:rPr>
        <w:t>3</w:t>
      </w:r>
      <w:r>
        <w:rPr>
          <w:rFonts w:hint="default" w:ascii="Times New Roman" w:hAnsi="Times New Roman" w:eastAsia="宋体" w:cs="Times New Roman"/>
          <w:bCs/>
          <w:color w:val="auto"/>
          <w:sz w:val="24"/>
          <w:szCs w:val="24"/>
          <w:highlight w:val="none"/>
          <w:u w:val="none" w:color="auto"/>
        </w:rPr>
        <w:t>月</w:t>
      </w:r>
      <w:r>
        <w:rPr>
          <w:rFonts w:hint="eastAsia" w:eastAsia="宋体" w:cs="Times New Roman"/>
          <w:bCs/>
          <w:color w:val="auto"/>
          <w:sz w:val="24"/>
          <w:szCs w:val="24"/>
          <w:highlight w:val="none"/>
          <w:u w:val="none" w:color="auto"/>
          <w:lang w:val="en-US" w:eastAsia="zh-CN"/>
        </w:rPr>
        <w:t>25</w:t>
      </w:r>
      <w:r>
        <w:rPr>
          <w:rFonts w:hint="default" w:ascii="Times New Roman" w:hAnsi="Times New Roman" w:eastAsia="宋体" w:cs="Times New Roman"/>
          <w:bCs/>
          <w:color w:val="auto"/>
          <w:sz w:val="24"/>
          <w:szCs w:val="24"/>
          <w:highlight w:val="none"/>
          <w:u w:val="none" w:color="auto"/>
          <w:lang w:val="en-US" w:eastAsia="zh-CN"/>
        </w:rPr>
        <w:t xml:space="preserve">  日</w:t>
      </w:r>
      <w:r>
        <w:rPr>
          <w:rFonts w:hint="default" w:ascii="Times New Roman" w:hAnsi="Times New Roman" w:eastAsia="宋体" w:cs="Times New Roman"/>
          <w:bCs/>
          <w:color w:val="auto"/>
          <w:sz w:val="24"/>
          <w:szCs w:val="24"/>
          <w:highlight w:val="none"/>
          <w:u w:val="none" w:color="auto"/>
        </w:rPr>
        <w:t>对项目区</w:t>
      </w:r>
      <w:r>
        <w:rPr>
          <w:rFonts w:hint="default" w:ascii="Times New Roman" w:hAnsi="Times New Roman" w:eastAsia="宋体" w:cs="Times New Roman"/>
          <w:bCs/>
          <w:color w:val="auto"/>
          <w:sz w:val="24"/>
          <w:szCs w:val="24"/>
          <w:highlight w:val="none"/>
          <w:u w:val="none" w:color="auto"/>
          <w:lang w:eastAsia="zh-CN"/>
        </w:rPr>
        <w:t>土壤</w:t>
      </w:r>
      <w:r>
        <w:rPr>
          <w:rFonts w:hint="default" w:ascii="Times New Roman" w:hAnsi="Times New Roman" w:eastAsia="宋体" w:cs="Times New Roman"/>
          <w:bCs/>
          <w:color w:val="auto"/>
          <w:sz w:val="24"/>
          <w:szCs w:val="24"/>
          <w:highlight w:val="none"/>
          <w:u w:val="none" w:color="auto"/>
        </w:rPr>
        <w:t>进行了监测</w:t>
      </w:r>
      <w:r>
        <w:rPr>
          <w:rFonts w:hint="default" w:ascii="Times New Roman" w:hAnsi="Times New Roman" w:eastAsia="宋体" w:cs="Times New Roman"/>
          <w:bCs/>
          <w:color w:val="auto"/>
          <w:sz w:val="24"/>
          <w:szCs w:val="24"/>
          <w:highlight w:val="none"/>
          <w:u w:val="none" w:color="auto"/>
          <w:lang w:eastAsia="zh-CN"/>
        </w:rPr>
        <w:t>。</w:t>
      </w:r>
      <w:r>
        <w:rPr>
          <w:rFonts w:hint="default" w:ascii="Times New Roman" w:hAnsi="Times New Roman" w:eastAsia="宋体" w:cs="Times New Roman"/>
          <w:bCs/>
          <w:color w:val="auto"/>
          <w:sz w:val="24"/>
          <w:szCs w:val="24"/>
          <w:highlight w:val="none"/>
          <w:u w:val="none" w:color="auto"/>
          <w:lang w:val="en-US" w:eastAsia="zh-CN"/>
        </w:rPr>
        <w:t>监测点位</w:t>
      </w:r>
      <w:r>
        <w:rPr>
          <w:rFonts w:hint="default" w:ascii="Times New Roman" w:hAnsi="Times New Roman" w:eastAsia="宋体" w:cs="Times New Roman"/>
          <w:kern w:val="2"/>
          <w:sz w:val="24"/>
          <w:szCs w:val="24"/>
          <w:highlight w:val="none"/>
          <w:lang w:val="en-US" w:eastAsia="zh-CN" w:bidi="ar-SA"/>
        </w:rPr>
        <w:t>设置：①厂内3个柱状样（</w:t>
      </w:r>
      <w:r>
        <w:rPr>
          <w:rFonts w:hint="default" w:ascii="Times New Roman" w:hAnsi="Times New Roman" w:eastAsia="宋体" w:cs="Times New Roman"/>
          <w:sz w:val="24"/>
          <w:szCs w:val="24"/>
          <w:highlight w:val="none"/>
        </w:rPr>
        <w:t>0~0.5m、0.5~1.5m、1.5~3m分别取样</w:t>
      </w:r>
      <w:r>
        <w:rPr>
          <w:rFonts w:hint="default" w:ascii="Times New Roman" w:hAnsi="Times New Roman" w:eastAsia="宋体" w:cs="Times New Roman"/>
          <w:kern w:val="2"/>
          <w:sz w:val="24"/>
          <w:szCs w:val="24"/>
          <w:highlight w:val="none"/>
          <w:lang w:val="en-US" w:eastAsia="zh-CN" w:bidi="ar-SA"/>
        </w:rPr>
        <w:t>），1个表层样点</w:t>
      </w:r>
      <w:r>
        <w:rPr>
          <w:rFonts w:hint="default" w:ascii="Times New Roman" w:hAnsi="Times New Roman" w:eastAsia="宋体" w:cs="Times New Roman"/>
          <w:spacing w:val="-1"/>
          <w:sz w:val="24"/>
          <w:szCs w:val="24"/>
          <w:highlight w:val="none"/>
        </w:rPr>
        <w:t>（0-0.2m</w:t>
      </w:r>
      <w:r>
        <w:rPr>
          <w:rFonts w:hint="default" w:ascii="Times New Roman" w:hAnsi="Times New Roman" w:eastAsia="宋体" w:cs="Times New Roman"/>
          <w:spacing w:val="-2"/>
          <w:sz w:val="24"/>
          <w:szCs w:val="24"/>
          <w:highlight w:val="none"/>
        </w:rPr>
        <w:t>）</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kern w:val="2"/>
          <w:sz w:val="24"/>
          <w:szCs w:val="24"/>
          <w:highlight w:val="none"/>
          <w:lang w:val="en-US" w:eastAsia="zh-CN" w:bidi="ar-SA"/>
        </w:rPr>
        <w:t>②厂外2个表层样点</w:t>
      </w:r>
      <w:r>
        <w:rPr>
          <w:rFonts w:hint="default" w:ascii="Times New Roman" w:hAnsi="Times New Roman" w:eastAsia="宋体" w:cs="Times New Roman"/>
          <w:spacing w:val="-1"/>
          <w:sz w:val="24"/>
          <w:szCs w:val="24"/>
          <w:highlight w:val="none"/>
        </w:rPr>
        <w:t>（0-0.2m</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kern w:val="2"/>
          <w:sz w:val="24"/>
          <w:szCs w:val="24"/>
          <w:highlight w:val="none"/>
          <w:lang w:val="en-US" w:eastAsia="zh-CN" w:bidi="ar-SA"/>
        </w:rPr>
        <w:t>。</w:t>
      </w:r>
    </w:p>
    <w:p w14:paraId="2F9AF2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Cs/>
          <w:color w:val="auto"/>
          <w:sz w:val="24"/>
          <w:szCs w:val="24"/>
          <w:highlight w:val="none"/>
          <w:u w:val="none" w:color="auto"/>
        </w:rPr>
        <w:t>土壤监测点</w:t>
      </w:r>
      <w:r>
        <w:rPr>
          <w:rFonts w:hint="eastAsia" w:eastAsia="宋体" w:cs="Times New Roman"/>
          <w:bCs/>
          <w:color w:val="auto"/>
          <w:sz w:val="24"/>
          <w:szCs w:val="24"/>
          <w:highlight w:val="none"/>
          <w:u w:val="none" w:color="auto"/>
          <w:lang w:val="en-US" w:eastAsia="zh-CN"/>
        </w:rPr>
        <w:t>信息</w:t>
      </w:r>
      <w:r>
        <w:rPr>
          <w:rFonts w:hint="default" w:ascii="Times New Roman" w:hAnsi="Times New Roman" w:eastAsia="宋体" w:cs="Times New Roman"/>
          <w:bCs/>
          <w:color w:val="auto"/>
          <w:sz w:val="24"/>
          <w:szCs w:val="24"/>
          <w:highlight w:val="none"/>
          <w:u w:val="none" w:color="auto"/>
        </w:rPr>
        <w:t>见</w:t>
      </w:r>
      <w:r>
        <w:rPr>
          <w:rFonts w:hint="default" w:ascii="Times New Roman" w:hAnsi="Times New Roman" w:eastAsia="宋体" w:cs="Times New Roman"/>
          <w:bCs/>
          <w:color w:val="auto"/>
          <w:sz w:val="24"/>
          <w:szCs w:val="24"/>
          <w:highlight w:val="none"/>
          <w:u w:val="none" w:color="auto"/>
          <w:lang w:eastAsia="zh-CN"/>
        </w:rPr>
        <w:t>下表</w:t>
      </w:r>
      <w:r>
        <w:rPr>
          <w:rFonts w:hint="eastAsia" w:eastAsia="宋体" w:cs="Times New Roman"/>
          <w:bCs/>
          <w:color w:val="auto"/>
          <w:sz w:val="24"/>
          <w:szCs w:val="24"/>
          <w:highlight w:val="none"/>
          <w:u w:val="none" w:color="auto"/>
          <w:lang w:eastAsia="zh-CN"/>
        </w:rPr>
        <w:t>。</w:t>
      </w:r>
      <w:r>
        <w:rPr>
          <w:rFonts w:hint="eastAsia" w:eastAsia="宋体" w:cs="Times New Roman"/>
          <w:bCs/>
          <w:color w:val="auto"/>
          <w:sz w:val="24"/>
          <w:szCs w:val="24"/>
          <w:highlight w:val="none"/>
          <w:u w:val="none" w:color="auto"/>
          <w:lang w:val="en-US" w:eastAsia="zh-CN"/>
        </w:rPr>
        <w:t>T5为占地范围外主导风向上风向点位，T6为下风向点位。</w:t>
      </w:r>
    </w:p>
    <w:p w14:paraId="2463048D">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表5</w:t>
      </w:r>
      <w:r>
        <w:rPr>
          <w:rFonts w:hint="default" w:ascii="Times New Roman" w:hAnsi="Times New Roman" w:eastAsia="宋体" w:cs="Times New Roman"/>
          <w:b/>
          <w:bCs/>
          <w:sz w:val="24"/>
          <w:szCs w:val="24"/>
          <w:highlight w:val="none"/>
          <w:lang w:eastAsia="zh-CN"/>
        </w:rPr>
        <w:t>.2-</w:t>
      </w:r>
      <w:r>
        <w:rPr>
          <w:rFonts w:hint="eastAsia" w:ascii="Times New Roman" w:hAnsi="Times New Roman" w:eastAsia="宋体" w:cs="Times New Roman"/>
          <w:b/>
          <w:bCs/>
          <w:sz w:val="24"/>
          <w:szCs w:val="24"/>
          <w:highlight w:val="none"/>
          <w:lang w:val="en-US" w:eastAsia="zh-CN"/>
        </w:rPr>
        <w:t>1</w:t>
      </w:r>
      <w:r>
        <w:rPr>
          <w:rFonts w:hint="eastAsia" w:eastAsia="宋体" w:cs="Times New Roman"/>
          <w:b/>
          <w:bCs/>
          <w:sz w:val="24"/>
          <w:szCs w:val="24"/>
          <w:highlight w:val="none"/>
          <w:lang w:val="en-US" w:eastAsia="zh-CN"/>
        </w:rPr>
        <w:t>2</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lang w:eastAsia="zh-CN"/>
        </w:rPr>
        <w:t>土壤质量现状监测点位</w:t>
      </w:r>
      <w:r>
        <w:rPr>
          <w:rFonts w:hint="eastAsia" w:ascii="Times New Roman" w:hAnsi="Times New Roman" w:eastAsia="宋体" w:cs="Times New Roman"/>
          <w:b/>
          <w:bCs/>
          <w:sz w:val="24"/>
          <w:szCs w:val="24"/>
          <w:highlight w:val="none"/>
          <w:lang w:val="en-US" w:eastAsia="zh-CN"/>
        </w:rPr>
        <w:t>及监测因子</w:t>
      </w:r>
    </w:p>
    <w:tbl>
      <w:tblPr>
        <w:tblStyle w:val="2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3286"/>
        <w:gridCol w:w="3813"/>
      </w:tblGrid>
      <w:tr w14:paraId="688B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0" w:type="pct"/>
            <w:tcBorders>
              <w:tl2br w:val="nil"/>
              <w:tr2bl w:val="nil"/>
            </w:tcBorders>
            <w:vAlign w:val="center"/>
          </w:tcPr>
          <w:p w14:paraId="23211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序号</w:t>
            </w:r>
          </w:p>
        </w:tc>
        <w:tc>
          <w:tcPr>
            <w:tcW w:w="1930" w:type="pct"/>
            <w:tcBorders>
              <w:tl2br w:val="nil"/>
              <w:tr2bl w:val="nil"/>
            </w:tcBorders>
            <w:vAlign w:val="center"/>
          </w:tcPr>
          <w:p w14:paraId="4D51A8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监测点</w:t>
            </w:r>
          </w:p>
        </w:tc>
        <w:tc>
          <w:tcPr>
            <w:tcW w:w="2239" w:type="pct"/>
            <w:tcBorders>
              <w:tl2br w:val="nil"/>
              <w:tr2bl w:val="nil"/>
            </w:tcBorders>
            <w:vAlign w:val="center"/>
          </w:tcPr>
          <w:p w14:paraId="085D12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监测因子</w:t>
            </w:r>
          </w:p>
        </w:tc>
      </w:tr>
      <w:tr w14:paraId="2A806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0" w:type="pct"/>
            <w:tcBorders>
              <w:tl2br w:val="nil"/>
              <w:tr2bl w:val="nil"/>
            </w:tcBorders>
            <w:vAlign w:val="center"/>
          </w:tcPr>
          <w:p w14:paraId="2BFF78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T1</w:t>
            </w:r>
          </w:p>
        </w:tc>
        <w:tc>
          <w:tcPr>
            <w:tcW w:w="1930" w:type="pct"/>
            <w:tcBorders>
              <w:tl2br w:val="nil"/>
              <w:tr2bl w:val="nil"/>
            </w:tcBorders>
            <w:vAlign w:val="center"/>
          </w:tcPr>
          <w:p w14:paraId="19271A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厂区</w:t>
            </w:r>
            <w:r>
              <w:rPr>
                <w:rFonts w:hint="eastAsia" w:eastAsia="宋体" w:cs="Times New Roman"/>
                <w:sz w:val="21"/>
                <w:szCs w:val="21"/>
                <w:highlight w:val="none"/>
                <w:lang w:val="en-US" w:eastAsia="zh-CN"/>
              </w:rPr>
              <w:t>南出</w:t>
            </w:r>
            <w:r>
              <w:rPr>
                <w:rFonts w:hint="default" w:ascii="Times New Roman" w:hAnsi="Times New Roman" w:eastAsia="宋体" w:cs="Times New Roman"/>
                <w:sz w:val="21"/>
                <w:szCs w:val="21"/>
                <w:highlight w:val="none"/>
                <w:lang w:val="en-US" w:eastAsia="zh-CN"/>
              </w:rPr>
              <w:t>口柱状样土壤</w:t>
            </w:r>
            <w:r>
              <w:rPr>
                <w:rFonts w:hint="eastAsia" w:eastAsia="宋体" w:cs="Times New Roman"/>
                <w:sz w:val="21"/>
                <w:szCs w:val="21"/>
                <w:highlight w:val="none"/>
                <w:lang w:val="en-US" w:eastAsia="zh-CN"/>
              </w:rPr>
              <w:t>（厂内）</w:t>
            </w:r>
          </w:p>
        </w:tc>
        <w:tc>
          <w:tcPr>
            <w:tcW w:w="2239" w:type="pct"/>
            <w:tcBorders>
              <w:tl2br w:val="nil"/>
              <w:tr2bl w:val="nil"/>
            </w:tcBorders>
            <w:vAlign w:val="center"/>
          </w:tcPr>
          <w:p w14:paraId="1ECD0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rPr>
            </w:pPr>
            <w:r>
              <w:rPr>
                <w:rFonts w:hint="eastAsia" w:eastAsia="宋体" w:cs="Times New Roman"/>
                <w:sz w:val="21"/>
                <w:szCs w:val="21"/>
                <w:highlight w:val="none"/>
                <w:lang w:val="en-US" w:eastAsia="zh-CN"/>
              </w:rPr>
              <w:t>pH、石油烃（C10-C40）</w:t>
            </w:r>
          </w:p>
        </w:tc>
      </w:tr>
      <w:tr w14:paraId="41E89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0" w:type="pct"/>
            <w:tcBorders>
              <w:tl2br w:val="nil"/>
              <w:tr2bl w:val="nil"/>
            </w:tcBorders>
            <w:vAlign w:val="center"/>
          </w:tcPr>
          <w:p w14:paraId="01088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T2</w:t>
            </w:r>
          </w:p>
        </w:tc>
        <w:tc>
          <w:tcPr>
            <w:tcW w:w="1930" w:type="pct"/>
            <w:tcBorders>
              <w:tl2br w:val="nil"/>
              <w:tr2bl w:val="nil"/>
            </w:tcBorders>
            <w:vAlign w:val="center"/>
          </w:tcPr>
          <w:p w14:paraId="255499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厂房东侧</w:t>
            </w:r>
            <w:r>
              <w:rPr>
                <w:rFonts w:hint="default" w:ascii="Times New Roman" w:hAnsi="Times New Roman" w:eastAsia="宋体" w:cs="Times New Roman"/>
                <w:sz w:val="21"/>
                <w:szCs w:val="21"/>
                <w:highlight w:val="none"/>
                <w:lang w:val="en-US" w:eastAsia="zh-CN"/>
              </w:rPr>
              <w:t>柱状样土壤</w:t>
            </w:r>
            <w:r>
              <w:rPr>
                <w:rFonts w:hint="eastAsia" w:eastAsia="宋体" w:cs="Times New Roman"/>
                <w:sz w:val="21"/>
                <w:szCs w:val="21"/>
                <w:highlight w:val="none"/>
                <w:lang w:val="en-US" w:eastAsia="zh-CN"/>
              </w:rPr>
              <w:t>（厂内）</w:t>
            </w:r>
          </w:p>
        </w:tc>
        <w:tc>
          <w:tcPr>
            <w:tcW w:w="2239" w:type="pct"/>
            <w:tcBorders>
              <w:tl2br w:val="nil"/>
              <w:tr2bl w:val="nil"/>
            </w:tcBorders>
            <w:vAlign w:val="center"/>
          </w:tcPr>
          <w:p w14:paraId="67BB0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GB36600-2018表1中</w:t>
            </w:r>
            <w:r>
              <w:rPr>
                <w:rFonts w:hint="eastAsia" w:eastAsia="宋体" w:cs="Times New Roman"/>
                <w:sz w:val="21"/>
                <w:szCs w:val="21"/>
                <w:highlight w:val="none"/>
                <w:lang w:val="en-US" w:eastAsia="zh-CN"/>
              </w:rPr>
              <w:t>基本因子45项；以及pH、石油烃（C10-C40）</w:t>
            </w:r>
          </w:p>
        </w:tc>
      </w:tr>
      <w:tr w14:paraId="357B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0" w:type="pct"/>
            <w:tcBorders>
              <w:tl2br w:val="nil"/>
              <w:tr2bl w:val="nil"/>
            </w:tcBorders>
            <w:vAlign w:val="center"/>
          </w:tcPr>
          <w:p w14:paraId="20A56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T3</w:t>
            </w:r>
          </w:p>
        </w:tc>
        <w:tc>
          <w:tcPr>
            <w:tcW w:w="1930" w:type="pct"/>
            <w:tcBorders>
              <w:tl2br w:val="nil"/>
              <w:tr2bl w:val="nil"/>
            </w:tcBorders>
            <w:vAlign w:val="center"/>
          </w:tcPr>
          <w:p w14:paraId="4AD782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厂房北侧柱状样土壤（厂内）</w:t>
            </w:r>
          </w:p>
        </w:tc>
        <w:tc>
          <w:tcPr>
            <w:tcW w:w="2239" w:type="pct"/>
            <w:tcBorders>
              <w:tl2br w:val="nil"/>
              <w:tr2bl w:val="nil"/>
            </w:tcBorders>
            <w:vAlign w:val="center"/>
          </w:tcPr>
          <w:p w14:paraId="3FED5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rPr>
            </w:pPr>
            <w:r>
              <w:rPr>
                <w:rFonts w:hint="eastAsia" w:eastAsia="宋体" w:cs="Times New Roman"/>
                <w:sz w:val="21"/>
                <w:szCs w:val="21"/>
                <w:highlight w:val="none"/>
                <w:lang w:val="en-US" w:eastAsia="zh-CN"/>
              </w:rPr>
              <w:t>pH、石油烃（C10-C40）</w:t>
            </w:r>
          </w:p>
        </w:tc>
      </w:tr>
      <w:tr w14:paraId="6C1496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0" w:type="pct"/>
            <w:tcBorders>
              <w:tl2br w:val="nil"/>
              <w:tr2bl w:val="nil"/>
            </w:tcBorders>
            <w:vAlign w:val="center"/>
          </w:tcPr>
          <w:p w14:paraId="6E130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T4</w:t>
            </w:r>
          </w:p>
        </w:tc>
        <w:tc>
          <w:tcPr>
            <w:tcW w:w="1930" w:type="pct"/>
            <w:tcBorders>
              <w:tl2br w:val="nil"/>
              <w:tr2bl w:val="nil"/>
            </w:tcBorders>
            <w:vAlign w:val="center"/>
          </w:tcPr>
          <w:p w14:paraId="4AC827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宋体" w:cs="Times New Roman"/>
                <w:sz w:val="21"/>
                <w:szCs w:val="21"/>
                <w:highlight w:val="none"/>
                <w:lang w:val="en-US" w:eastAsia="zh-CN"/>
              </w:rPr>
            </w:pPr>
            <w:r>
              <w:rPr>
                <w:rFonts w:hint="eastAsia" w:eastAsia="宋体" w:cs="Times New Roman"/>
                <w:sz w:val="21"/>
                <w:szCs w:val="21"/>
                <w:highlight w:val="none"/>
                <w:lang w:val="en-US" w:eastAsia="zh-CN"/>
              </w:rPr>
              <w:t>厂房西侧表层土壤</w:t>
            </w:r>
          </w:p>
          <w:p w14:paraId="69302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（厂内）</w:t>
            </w:r>
          </w:p>
        </w:tc>
        <w:tc>
          <w:tcPr>
            <w:tcW w:w="2239" w:type="pct"/>
            <w:tcBorders>
              <w:tl2br w:val="nil"/>
              <w:tr2bl w:val="nil"/>
            </w:tcBorders>
            <w:vAlign w:val="center"/>
          </w:tcPr>
          <w:p w14:paraId="104F8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GB36600-2018表1中</w:t>
            </w:r>
            <w:r>
              <w:rPr>
                <w:rFonts w:hint="eastAsia" w:eastAsia="宋体" w:cs="Times New Roman"/>
                <w:sz w:val="21"/>
                <w:szCs w:val="21"/>
                <w:highlight w:val="none"/>
                <w:lang w:val="en-US" w:eastAsia="zh-CN"/>
              </w:rPr>
              <w:t>基本因子45项；以及pH、石油烃（C10-C40）</w:t>
            </w:r>
          </w:p>
        </w:tc>
      </w:tr>
      <w:tr w14:paraId="05A2E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0" w:type="pct"/>
            <w:tcBorders>
              <w:tl2br w:val="nil"/>
              <w:tr2bl w:val="nil"/>
            </w:tcBorders>
            <w:vAlign w:val="center"/>
          </w:tcPr>
          <w:p w14:paraId="14E532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T5</w:t>
            </w:r>
          </w:p>
        </w:tc>
        <w:tc>
          <w:tcPr>
            <w:tcW w:w="1930" w:type="pct"/>
            <w:tcBorders>
              <w:tl2br w:val="nil"/>
              <w:tr2bl w:val="nil"/>
            </w:tcBorders>
            <w:vAlign w:val="center"/>
          </w:tcPr>
          <w:p w14:paraId="36D113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雷家屋居民点表层土壤（</w:t>
            </w:r>
            <w:r>
              <w:rPr>
                <w:rFonts w:hint="default" w:ascii="Times New Roman" w:hAnsi="Times New Roman" w:eastAsia="宋体" w:cs="Times New Roman"/>
                <w:sz w:val="21"/>
                <w:szCs w:val="21"/>
                <w:highlight w:val="none"/>
                <w:lang w:val="en-US" w:eastAsia="zh-CN"/>
              </w:rPr>
              <w:t>厂区范围外上风向</w:t>
            </w:r>
            <w:r>
              <w:rPr>
                <w:rFonts w:hint="eastAsia" w:eastAsia="宋体" w:cs="Times New Roman"/>
                <w:sz w:val="21"/>
                <w:szCs w:val="21"/>
                <w:highlight w:val="none"/>
                <w:lang w:val="en-US" w:eastAsia="zh-CN"/>
              </w:rPr>
              <w:t>距离厂界230米处）</w:t>
            </w:r>
          </w:p>
        </w:tc>
        <w:tc>
          <w:tcPr>
            <w:tcW w:w="2239" w:type="pct"/>
            <w:vMerge w:val="restart"/>
            <w:tcBorders>
              <w:tl2br w:val="nil"/>
              <w:tr2bl w:val="nil"/>
            </w:tcBorders>
            <w:vAlign w:val="center"/>
          </w:tcPr>
          <w:p w14:paraId="6E075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GB15618-2018表1中镉、汞、砷、</w:t>
            </w:r>
          </w:p>
          <w:p w14:paraId="22DC6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铅、铬</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六价</w:t>
            </w:r>
            <w:r>
              <w:rPr>
                <w:rFonts w:hint="eastAsia" w:ascii="宋体" w:hAnsi="宋体" w:eastAsia="宋体" w:cs="宋体"/>
                <w:color w:val="000000"/>
                <w:sz w:val="21"/>
                <w:szCs w:val="21"/>
                <w:highlight w:val="none"/>
                <w:lang w:eastAsia="zh-CN"/>
              </w:rPr>
              <w:t>）</w:t>
            </w:r>
            <w:r>
              <w:rPr>
                <w:rFonts w:hint="default" w:ascii="Times New Roman" w:hAnsi="Times New Roman" w:eastAsia="宋体" w:cs="Times New Roman"/>
                <w:sz w:val="21"/>
                <w:szCs w:val="21"/>
                <w:highlight w:val="none"/>
              </w:rPr>
              <w:t>、铜、镍、锌8项基本项目</w:t>
            </w:r>
            <w:r>
              <w:rPr>
                <w:rFonts w:hint="eastAsia" w:eastAsia="宋体" w:cs="Times New Roman"/>
                <w:sz w:val="21"/>
                <w:szCs w:val="21"/>
                <w:highlight w:val="none"/>
                <w:lang w:eastAsia="zh-CN"/>
              </w:rPr>
              <w:t>；</w:t>
            </w:r>
            <w:r>
              <w:rPr>
                <w:rFonts w:hint="eastAsia" w:eastAsia="宋体" w:cs="Times New Roman"/>
                <w:sz w:val="21"/>
                <w:szCs w:val="21"/>
                <w:highlight w:val="none"/>
                <w:lang w:val="en-US" w:eastAsia="zh-CN"/>
              </w:rPr>
              <w:t>PH、石油类；</w:t>
            </w:r>
          </w:p>
        </w:tc>
      </w:tr>
      <w:tr w14:paraId="1890AA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0" w:type="pct"/>
            <w:tcBorders>
              <w:tl2br w:val="nil"/>
              <w:tr2bl w:val="nil"/>
            </w:tcBorders>
            <w:vAlign w:val="center"/>
          </w:tcPr>
          <w:p w14:paraId="507F17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T6</w:t>
            </w:r>
          </w:p>
        </w:tc>
        <w:tc>
          <w:tcPr>
            <w:tcW w:w="1930" w:type="pct"/>
            <w:tcBorders>
              <w:tl2br w:val="nil"/>
              <w:tr2bl w:val="nil"/>
            </w:tcBorders>
            <w:vAlign w:val="center"/>
          </w:tcPr>
          <w:p w14:paraId="026077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新邹家农田表层土壤（</w:t>
            </w:r>
            <w:r>
              <w:rPr>
                <w:rFonts w:hint="default" w:ascii="Times New Roman" w:hAnsi="Times New Roman" w:eastAsia="宋体" w:cs="Times New Roman"/>
                <w:sz w:val="21"/>
                <w:szCs w:val="21"/>
                <w:highlight w:val="none"/>
                <w:lang w:val="en-US" w:eastAsia="zh-CN"/>
              </w:rPr>
              <w:t>厂区范围外</w:t>
            </w:r>
            <w:r>
              <w:rPr>
                <w:rFonts w:hint="eastAsia" w:eastAsia="宋体" w:cs="Times New Roman"/>
                <w:sz w:val="21"/>
                <w:szCs w:val="21"/>
                <w:highlight w:val="none"/>
                <w:lang w:val="en-US" w:eastAsia="zh-CN"/>
              </w:rPr>
              <w:t>下</w:t>
            </w:r>
            <w:r>
              <w:rPr>
                <w:rFonts w:hint="default" w:ascii="Times New Roman" w:hAnsi="Times New Roman" w:eastAsia="宋体" w:cs="Times New Roman"/>
                <w:sz w:val="21"/>
                <w:szCs w:val="21"/>
                <w:highlight w:val="none"/>
                <w:lang w:val="en-US" w:eastAsia="zh-CN"/>
              </w:rPr>
              <w:t>风向</w:t>
            </w:r>
            <w:r>
              <w:rPr>
                <w:rFonts w:hint="eastAsia" w:eastAsia="宋体" w:cs="Times New Roman"/>
                <w:sz w:val="21"/>
                <w:szCs w:val="21"/>
                <w:highlight w:val="none"/>
                <w:lang w:val="en-US" w:eastAsia="zh-CN"/>
              </w:rPr>
              <w:t>距离厂界164米处）</w:t>
            </w:r>
          </w:p>
        </w:tc>
        <w:tc>
          <w:tcPr>
            <w:tcW w:w="2239" w:type="pct"/>
            <w:vMerge w:val="continue"/>
            <w:tcBorders>
              <w:tl2br w:val="nil"/>
              <w:tr2bl w:val="nil"/>
            </w:tcBorders>
            <w:vAlign w:val="center"/>
          </w:tcPr>
          <w:p w14:paraId="15978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highlight w:val="none"/>
                <w:lang w:val="en-US" w:eastAsia="zh-CN"/>
              </w:rPr>
            </w:pPr>
          </w:p>
        </w:tc>
      </w:tr>
    </w:tbl>
    <w:p w14:paraId="1139BC2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2、监测时间与采样频次</w:t>
      </w:r>
    </w:p>
    <w:p w14:paraId="77D277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202</w:t>
      </w:r>
      <w:r>
        <w:rPr>
          <w:rFonts w:hint="eastAsia" w:ascii="Times New Roman" w:hAnsi="Times New Roman" w:eastAsia="宋体" w:cs="Times New Roman"/>
          <w:kern w:val="2"/>
          <w:sz w:val="24"/>
          <w:szCs w:val="24"/>
          <w:highlight w:val="none"/>
          <w:lang w:val="en-US" w:eastAsia="zh-CN" w:bidi="ar-SA"/>
        </w:rPr>
        <w:t>5</w:t>
      </w:r>
      <w:r>
        <w:rPr>
          <w:rFonts w:hint="default" w:ascii="Times New Roman" w:hAnsi="Times New Roman" w:eastAsia="宋体" w:cs="Times New Roman"/>
          <w:kern w:val="2"/>
          <w:sz w:val="24"/>
          <w:szCs w:val="24"/>
          <w:highlight w:val="none"/>
          <w:lang w:val="en-US" w:eastAsia="zh-CN" w:bidi="ar-SA"/>
        </w:rPr>
        <w:t>年</w:t>
      </w:r>
      <w:r>
        <w:rPr>
          <w:rFonts w:hint="eastAsia" w:ascii="Times New Roman" w:hAnsi="Times New Roman" w:eastAsia="宋体" w:cs="Times New Roman"/>
          <w:kern w:val="2"/>
          <w:sz w:val="24"/>
          <w:szCs w:val="24"/>
          <w:highlight w:val="none"/>
          <w:lang w:val="en-US" w:eastAsia="zh-CN" w:bidi="ar-SA"/>
        </w:rPr>
        <w:t>3</w:t>
      </w:r>
      <w:r>
        <w:rPr>
          <w:rFonts w:hint="default" w:ascii="Times New Roman" w:hAnsi="Times New Roman" w:eastAsia="宋体" w:cs="Times New Roman"/>
          <w:kern w:val="2"/>
          <w:sz w:val="24"/>
          <w:szCs w:val="24"/>
          <w:highlight w:val="none"/>
          <w:lang w:val="en-US" w:eastAsia="zh-CN" w:bidi="ar-SA"/>
        </w:rPr>
        <w:t>月</w:t>
      </w:r>
      <w:r>
        <w:rPr>
          <w:rFonts w:hint="eastAsia" w:ascii="Times New Roman" w:hAnsi="Times New Roman" w:eastAsia="宋体" w:cs="Times New Roman"/>
          <w:kern w:val="2"/>
          <w:sz w:val="24"/>
          <w:szCs w:val="24"/>
          <w:highlight w:val="none"/>
          <w:lang w:val="en-US" w:eastAsia="zh-CN" w:bidi="ar-SA"/>
        </w:rPr>
        <w:t xml:space="preserve"> 25 日</w:t>
      </w:r>
      <w:r>
        <w:rPr>
          <w:rFonts w:hint="default" w:ascii="Times New Roman" w:hAnsi="Times New Roman" w:eastAsia="宋体" w:cs="Times New Roman"/>
          <w:kern w:val="2"/>
          <w:sz w:val="24"/>
          <w:szCs w:val="24"/>
          <w:highlight w:val="none"/>
          <w:lang w:val="en-US" w:eastAsia="zh-CN" w:bidi="ar-SA"/>
        </w:rPr>
        <w:t>监测 1 天，监测一次。</w:t>
      </w:r>
    </w:p>
    <w:p w14:paraId="3380FA9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3、评价标准及评价方法</w:t>
      </w:r>
    </w:p>
    <w:p w14:paraId="405D5A4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（1）评价标准</w:t>
      </w:r>
    </w:p>
    <w:p w14:paraId="4CE65B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厂区内土壤执行《土壤环境质量建设用地土壤污染风险管控标准（试行）（GB36600-2018）</w:t>
      </w:r>
      <w:r>
        <w:rPr>
          <w:rFonts w:hint="default" w:ascii="Times New Roman" w:hAnsi="Times New Roman" w:eastAsia="宋体" w:cs="Times New Roman"/>
          <w:kern w:val="2"/>
          <w:sz w:val="24"/>
          <w:szCs w:val="24"/>
          <w:highlight w:val="none"/>
          <w:lang w:val="en-US" w:eastAsia="zh-CN" w:bidi="ar-SA"/>
        </w:rPr>
        <w:t>第</w:t>
      </w:r>
      <w:r>
        <w:rPr>
          <w:rFonts w:hint="eastAsia" w:ascii="Times New Roman" w:hAnsi="Times New Roman" w:eastAsia="宋体" w:cs="Times New Roman"/>
          <w:kern w:val="2"/>
          <w:sz w:val="24"/>
          <w:szCs w:val="24"/>
          <w:highlight w:val="none"/>
          <w:lang w:val="en-US" w:eastAsia="zh-CN" w:bidi="ar-SA"/>
        </w:rPr>
        <w:t>二</w:t>
      </w:r>
      <w:r>
        <w:rPr>
          <w:rFonts w:hint="default" w:ascii="Times New Roman" w:hAnsi="Times New Roman" w:eastAsia="宋体" w:cs="Times New Roman"/>
          <w:kern w:val="2"/>
          <w:sz w:val="24"/>
          <w:szCs w:val="24"/>
          <w:highlight w:val="none"/>
          <w:lang w:val="en-US" w:eastAsia="zh-CN" w:bidi="ar-SA"/>
        </w:rPr>
        <w:t>类用地筛选值标准；厂区外</w:t>
      </w:r>
      <w:r>
        <w:rPr>
          <w:rFonts w:hint="eastAsia" w:ascii="Times New Roman" w:hAnsi="Times New Roman" w:eastAsia="宋体" w:cs="Times New Roman"/>
          <w:kern w:val="2"/>
          <w:sz w:val="24"/>
          <w:szCs w:val="24"/>
          <w:highlight w:val="none"/>
          <w:lang w:val="en-US" w:eastAsia="zh-CN" w:bidi="ar-SA"/>
        </w:rPr>
        <w:t>农田</w:t>
      </w:r>
      <w:r>
        <w:rPr>
          <w:rFonts w:hint="default" w:ascii="Times New Roman" w:hAnsi="Times New Roman" w:eastAsia="宋体" w:cs="Times New Roman"/>
          <w:kern w:val="2"/>
          <w:sz w:val="24"/>
          <w:szCs w:val="24"/>
          <w:highlight w:val="none"/>
          <w:lang w:val="en-US" w:eastAsia="zh-CN" w:bidi="ar-SA"/>
        </w:rPr>
        <w:t>土壤执行《土壤环境质量 农用地土壤污染风险管控标准（试行）》（GB15618-2018）筛选值标准</w:t>
      </w:r>
      <w:r>
        <w:rPr>
          <w:rFonts w:hint="eastAsia" w:ascii="Times New Roman" w:hAnsi="Times New Roman" w:eastAsia="宋体" w:cs="Times New Roman"/>
          <w:kern w:val="2"/>
          <w:sz w:val="24"/>
          <w:szCs w:val="24"/>
          <w:highlight w:val="none"/>
          <w:lang w:val="en-US" w:eastAsia="zh-CN" w:bidi="ar-SA"/>
        </w:rPr>
        <w:t>。</w:t>
      </w:r>
    </w:p>
    <w:p w14:paraId="3870FFE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（2）评价方法</w:t>
      </w:r>
    </w:p>
    <w:p w14:paraId="181C72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kern w:val="2"/>
          <w:sz w:val="24"/>
          <w:szCs w:val="24"/>
          <w:highlight w:val="none"/>
          <w:lang w:val="en-US" w:eastAsia="zh-CN" w:bidi="ar-SA"/>
        </w:rPr>
        <w:t>各监测点的监测值与评价标准限值进行比较。</w:t>
      </w:r>
      <w:r>
        <w:rPr>
          <w:rFonts w:hint="default" w:ascii="Times New Roman" w:hAnsi="Times New Roman" w:eastAsia="宋体" w:cs="Times New Roman"/>
          <w:color w:val="auto"/>
          <w:sz w:val="24"/>
          <w:szCs w:val="24"/>
          <w:highlight w:val="none"/>
          <w:u w:val="none" w:color="auto"/>
        </w:rPr>
        <w:t>采用单项标准指数法进行评价，其计算公式如下</w:t>
      </w:r>
      <w:r>
        <w:rPr>
          <w:rFonts w:hint="default" w:ascii="Times New Roman" w:hAnsi="Times New Roman" w:eastAsia="宋体" w:cs="Times New Roman"/>
          <w:color w:val="auto"/>
          <w:sz w:val="24"/>
          <w:szCs w:val="24"/>
          <w:highlight w:val="none"/>
          <w:u w:val="none" w:color="auto"/>
          <w:lang w:eastAsia="zh-CN"/>
        </w:rPr>
        <w:t>：</w:t>
      </w:r>
    </w:p>
    <w:p w14:paraId="68755798">
      <w:pPr>
        <w:spacing w:line="360" w:lineRule="auto"/>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drawing>
          <wp:inline distT="0" distB="0" distL="114300" distR="114300">
            <wp:extent cx="510540" cy="436245"/>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10540" cy="436245"/>
                    </a:xfrm>
                    <a:prstGeom prst="rect">
                      <a:avLst/>
                    </a:prstGeom>
                    <a:noFill/>
                    <a:ln>
                      <a:noFill/>
                    </a:ln>
                  </pic:spPr>
                </pic:pic>
              </a:graphicData>
            </a:graphic>
          </wp:inline>
        </w:drawing>
      </w:r>
    </w:p>
    <w:p w14:paraId="17F67B1E">
      <w:pPr>
        <w:spacing w:line="360" w:lineRule="auto"/>
        <w:ind w:firstLine="480" w:firstLineChars="200"/>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式中</w:t>
      </w:r>
      <w:r>
        <w:rPr>
          <w:rFonts w:hint="default" w:ascii="Times New Roman" w:hAnsi="Times New Roman" w:eastAsia="宋体" w:cs="Times New Roman"/>
          <w:color w:val="auto"/>
          <w:sz w:val="24"/>
          <w:szCs w:val="24"/>
          <w:highlight w:val="none"/>
          <w:u w:val="none" w:color="auto"/>
          <w:lang w:eastAsia="zh-CN"/>
        </w:rPr>
        <w:t>：</w:t>
      </w:r>
    </w:p>
    <w:p w14:paraId="41F29040">
      <w:pPr>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I</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 xml:space="preserve"> ——某污染物的单项质量指数；</w:t>
      </w:r>
    </w:p>
    <w:p w14:paraId="34242974">
      <w:pPr>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 xml:space="preserve"> ——某污染物的实测浓度，mg/m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w:t>
      </w:r>
    </w:p>
    <w:p w14:paraId="787160C3">
      <w:pPr>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C</w:t>
      </w:r>
      <w:r>
        <w:rPr>
          <w:rFonts w:hint="default" w:ascii="Times New Roman" w:hAnsi="Times New Roman" w:eastAsia="宋体" w:cs="Times New Roman"/>
          <w:color w:val="auto"/>
          <w:sz w:val="24"/>
          <w:szCs w:val="24"/>
          <w:highlight w:val="none"/>
          <w:u w:val="none" w:color="auto"/>
          <w:vertAlign w:val="subscript"/>
        </w:rPr>
        <w:t>oi</w:t>
      </w:r>
      <w:r>
        <w:rPr>
          <w:rFonts w:hint="default" w:ascii="Times New Roman" w:hAnsi="Times New Roman" w:eastAsia="宋体" w:cs="Times New Roman"/>
          <w:color w:val="auto"/>
          <w:sz w:val="24"/>
          <w:szCs w:val="24"/>
          <w:highlight w:val="none"/>
          <w:u w:val="none" w:color="auto"/>
        </w:rPr>
        <w:t xml:space="preserve"> ——某污染物的评价标准，mg/m</w:t>
      </w:r>
      <w:r>
        <w:rPr>
          <w:rFonts w:hint="default" w:ascii="Times New Roman" w:hAnsi="Times New Roman" w:eastAsia="宋体" w:cs="Times New Roman"/>
          <w:color w:val="auto"/>
          <w:sz w:val="24"/>
          <w:szCs w:val="24"/>
          <w:highlight w:val="none"/>
          <w:u w:val="none" w:color="auto"/>
          <w:vertAlign w:val="superscript"/>
        </w:rPr>
        <w:t>3</w:t>
      </w:r>
      <w:r>
        <w:rPr>
          <w:rFonts w:hint="default" w:ascii="Times New Roman" w:hAnsi="Times New Roman" w:eastAsia="宋体" w:cs="Times New Roman"/>
          <w:color w:val="auto"/>
          <w:sz w:val="24"/>
          <w:szCs w:val="24"/>
          <w:highlight w:val="none"/>
          <w:u w:val="none" w:color="auto"/>
        </w:rPr>
        <w:t>。</w:t>
      </w:r>
    </w:p>
    <w:p w14:paraId="26C02C13">
      <w:pPr>
        <w:spacing w:line="360" w:lineRule="auto"/>
        <w:ind w:firstLine="480" w:firstLineChars="200"/>
        <w:rPr>
          <w:highlight w:val="none"/>
        </w:rPr>
      </w:pPr>
      <w:r>
        <w:rPr>
          <w:rFonts w:hint="default" w:ascii="Times New Roman" w:hAnsi="Times New Roman" w:eastAsia="宋体" w:cs="Times New Roman"/>
          <w:color w:val="auto"/>
          <w:sz w:val="24"/>
          <w:szCs w:val="24"/>
          <w:highlight w:val="none"/>
          <w:u w:val="none" w:color="auto"/>
        </w:rPr>
        <w:t>当</w:t>
      </w:r>
      <w:r>
        <w:rPr>
          <w:rFonts w:hint="default" w:ascii="Times New Roman" w:hAnsi="Times New Roman" w:eastAsia="宋体" w:cs="Times New Roman"/>
          <w:i/>
          <w:color w:val="auto"/>
          <w:sz w:val="24"/>
          <w:szCs w:val="24"/>
          <w:highlight w:val="none"/>
          <w:u w:val="none" w:color="auto"/>
        </w:rPr>
        <w:t>Ii</w:t>
      </w:r>
      <w:r>
        <w:rPr>
          <w:rFonts w:hint="default" w:ascii="Times New Roman" w:hAnsi="Times New Roman" w:eastAsia="宋体" w:cs="Times New Roman"/>
          <w:color w:val="auto"/>
          <w:sz w:val="24"/>
          <w:szCs w:val="24"/>
          <w:highlight w:val="none"/>
          <w:u w:val="none" w:color="auto"/>
        </w:rPr>
        <w:t>≥1时，表示i污染物超标，</w:t>
      </w:r>
      <w:r>
        <w:rPr>
          <w:rFonts w:hint="default" w:ascii="Times New Roman" w:hAnsi="Times New Roman" w:eastAsia="宋体" w:cs="Times New Roman"/>
          <w:i/>
          <w:color w:val="auto"/>
          <w:sz w:val="24"/>
          <w:szCs w:val="24"/>
          <w:highlight w:val="none"/>
          <w:u w:val="none" w:color="auto"/>
        </w:rPr>
        <w:t>Ii</w:t>
      </w:r>
      <w:r>
        <w:rPr>
          <w:rFonts w:hint="default" w:ascii="Times New Roman" w:hAnsi="Times New Roman" w:eastAsia="宋体" w:cs="Times New Roman"/>
          <w:color w:val="auto"/>
          <w:sz w:val="24"/>
          <w:szCs w:val="24"/>
          <w:highlight w:val="none"/>
          <w:u w:val="none" w:color="auto"/>
        </w:rPr>
        <w:t>＜1时，表示i污染物未超标。</w:t>
      </w:r>
    </w:p>
    <w:p w14:paraId="320851E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4 、监测结果及分析</w:t>
      </w:r>
    </w:p>
    <w:p w14:paraId="56E3ABF6">
      <w:pPr>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土壤现状评价结果见表</w:t>
      </w:r>
      <w:r>
        <w:rPr>
          <w:rFonts w:hint="eastAsia" w:ascii="Times New Roman" w:hAnsi="Times New Roman" w:eastAsia="宋体" w:cs="Times New Roman"/>
          <w:color w:val="auto"/>
          <w:sz w:val="24"/>
          <w:szCs w:val="24"/>
          <w:highlight w:val="none"/>
          <w:u w:val="none" w:color="auto"/>
          <w:lang w:val="en-US" w:eastAsia="zh-CN"/>
        </w:rPr>
        <w:t>5.2-</w:t>
      </w:r>
      <w:r>
        <w:rPr>
          <w:rFonts w:hint="eastAsia" w:eastAsia="宋体" w:cs="Times New Roman"/>
          <w:color w:val="auto"/>
          <w:sz w:val="24"/>
          <w:szCs w:val="24"/>
          <w:highlight w:val="none"/>
          <w:u w:val="none" w:color="auto"/>
          <w:lang w:val="en-US" w:eastAsia="zh-CN"/>
        </w:rPr>
        <w:t>13、</w:t>
      </w:r>
      <w:r>
        <w:rPr>
          <w:rFonts w:hint="default" w:ascii="Times New Roman" w:hAnsi="Times New Roman" w:eastAsia="宋体" w:cs="Times New Roman"/>
          <w:color w:val="auto"/>
          <w:sz w:val="24"/>
          <w:szCs w:val="24"/>
          <w:highlight w:val="none"/>
          <w:u w:val="none" w:color="auto"/>
        </w:rPr>
        <w:t>表</w:t>
      </w:r>
      <w:r>
        <w:rPr>
          <w:rFonts w:hint="eastAsia" w:ascii="Times New Roman" w:hAnsi="Times New Roman" w:eastAsia="宋体" w:cs="Times New Roman"/>
          <w:color w:val="auto"/>
          <w:sz w:val="24"/>
          <w:szCs w:val="24"/>
          <w:highlight w:val="none"/>
          <w:u w:val="none" w:color="auto"/>
          <w:lang w:val="en-US" w:eastAsia="zh-CN"/>
        </w:rPr>
        <w:t>5.2-1</w:t>
      </w:r>
      <w:r>
        <w:rPr>
          <w:rFonts w:hint="eastAsia"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w:t>
      </w:r>
    </w:p>
    <w:p w14:paraId="08CBF698">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表5</w:t>
      </w:r>
      <w:r>
        <w:rPr>
          <w:rFonts w:hint="default" w:ascii="Times New Roman" w:hAnsi="Times New Roman" w:eastAsia="宋体" w:cs="Times New Roman"/>
          <w:b/>
          <w:bCs/>
          <w:sz w:val="24"/>
          <w:szCs w:val="24"/>
          <w:highlight w:val="none"/>
          <w:lang w:val="en-US" w:eastAsia="zh-CN"/>
        </w:rPr>
        <w:t>.2-</w:t>
      </w:r>
      <w:r>
        <w:rPr>
          <w:rFonts w:hint="eastAsia" w:ascii="Times New Roman" w:hAnsi="Times New Roman" w:eastAsia="宋体" w:cs="Times New Roman"/>
          <w:b/>
          <w:bCs/>
          <w:sz w:val="24"/>
          <w:szCs w:val="24"/>
          <w:highlight w:val="none"/>
          <w:lang w:val="en-US" w:eastAsia="zh-CN"/>
        </w:rPr>
        <w:t>1</w:t>
      </w:r>
      <w:r>
        <w:rPr>
          <w:rFonts w:hint="eastAsia" w:eastAsia="宋体" w:cs="Times New Roman"/>
          <w:b/>
          <w:bCs/>
          <w:sz w:val="24"/>
          <w:szCs w:val="24"/>
          <w:highlight w:val="none"/>
          <w:lang w:val="en-US" w:eastAsia="zh-CN"/>
        </w:rPr>
        <w:t>3</w:t>
      </w:r>
      <w:r>
        <w:rPr>
          <w:rFonts w:hint="eastAsia" w:ascii="Times New Roman" w:hAnsi="Times New Roman" w:eastAsia="宋体" w:cs="Times New Roman"/>
          <w:b/>
          <w:bCs/>
          <w:sz w:val="24"/>
          <w:szCs w:val="24"/>
          <w:highlight w:val="none"/>
          <w:lang w:val="en-US" w:eastAsia="zh-CN"/>
        </w:rPr>
        <w:t>土壤柱状样检测结果</w:t>
      </w:r>
    </w:p>
    <w:tbl>
      <w:tblPr>
        <w:tblStyle w:val="23"/>
        <w:tblpPr w:leftFromText="180" w:rightFromText="180" w:vertAnchor="text" w:tblpXSpec="center" w:tblpY="1"/>
        <w:tblOverlap w:val="never"/>
        <w:tblW w:w="493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48"/>
        <w:gridCol w:w="1535"/>
        <w:gridCol w:w="1146"/>
        <w:gridCol w:w="1285"/>
        <w:gridCol w:w="1175"/>
        <w:gridCol w:w="1063"/>
        <w:gridCol w:w="1056"/>
      </w:tblGrid>
      <w:tr w14:paraId="3B4A5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restart"/>
            <w:tcBorders>
              <w:tl2br w:val="nil"/>
              <w:tr2bl w:val="nil"/>
            </w:tcBorders>
            <w:noWrap w:val="0"/>
            <w:vAlign w:val="center"/>
          </w:tcPr>
          <w:p w14:paraId="0F9F46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检测点位</w:t>
            </w:r>
          </w:p>
        </w:tc>
        <w:tc>
          <w:tcPr>
            <w:tcW w:w="912" w:type="pct"/>
            <w:vMerge w:val="restart"/>
            <w:tcBorders>
              <w:tl2br w:val="nil"/>
              <w:tr2bl w:val="nil"/>
            </w:tcBorders>
            <w:noWrap w:val="0"/>
            <w:vAlign w:val="center"/>
          </w:tcPr>
          <w:p w14:paraId="71BCAD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检测因子</w:t>
            </w:r>
          </w:p>
        </w:tc>
        <w:tc>
          <w:tcPr>
            <w:tcW w:w="2145" w:type="pct"/>
            <w:gridSpan w:val="3"/>
            <w:tcBorders>
              <w:tl2br w:val="nil"/>
              <w:tr2bl w:val="nil"/>
            </w:tcBorders>
            <w:noWrap w:val="0"/>
            <w:vAlign w:val="center"/>
          </w:tcPr>
          <w:p w14:paraId="697737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采样日期及检测结果（单位：mg/kg，pH无量纲）</w:t>
            </w:r>
          </w:p>
        </w:tc>
        <w:tc>
          <w:tcPr>
            <w:tcW w:w="632" w:type="pct"/>
            <w:vMerge w:val="restart"/>
            <w:tcBorders>
              <w:tl2br w:val="nil"/>
              <w:tr2bl w:val="nil"/>
            </w:tcBorders>
            <w:noWrap w:val="0"/>
            <w:vAlign w:val="center"/>
          </w:tcPr>
          <w:p w14:paraId="3AE83F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限值</w:t>
            </w:r>
          </w:p>
        </w:tc>
        <w:tc>
          <w:tcPr>
            <w:tcW w:w="626" w:type="pct"/>
            <w:vMerge w:val="restart"/>
            <w:tcBorders>
              <w:tl2br w:val="nil"/>
              <w:tr2bl w:val="nil"/>
            </w:tcBorders>
            <w:noWrap w:val="0"/>
            <w:vAlign w:val="center"/>
          </w:tcPr>
          <w:p w14:paraId="19A95B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是否达标</w:t>
            </w:r>
          </w:p>
        </w:tc>
      </w:tr>
      <w:tr w14:paraId="2EA7C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5F9B22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vMerge w:val="continue"/>
            <w:tcBorders>
              <w:tl2br w:val="nil"/>
              <w:tr2bl w:val="nil"/>
            </w:tcBorders>
            <w:noWrap w:val="0"/>
            <w:vAlign w:val="center"/>
          </w:tcPr>
          <w:p w14:paraId="6641A4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2145" w:type="pct"/>
            <w:gridSpan w:val="3"/>
            <w:tcBorders>
              <w:tl2br w:val="nil"/>
              <w:tr2bl w:val="nil"/>
            </w:tcBorders>
            <w:noWrap w:val="0"/>
            <w:vAlign w:val="center"/>
          </w:tcPr>
          <w:p w14:paraId="61022F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2025.03.</w:t>
            </w:r>
            <w:r>
              <w:rPr>
                <w:rFonts w:hint="default" w:ascii="Times New Roman" w:hAnsi="Times New Roman" w:eastAsia="宋体" w:cs="Times New Roman"/>
                <w:sz w:val="21"/>
                <w:szCs w:val="21"/>
                <w:highlight w:val="none"/>
                <w:lang w:val="en-US" w:eastAsia="zh-CN"/>
              </w:rPr>
              <w:t>25</w:t>
            </w:r>
          </w:p>
        </w:tc>
        <w:tc>
          <w:tcPr>
            <w:tcW w:w="632" w:type="pct"/>
            <w:vMerge w:val="continue"/>
            <w:tcBorders>
              <w:tl2br w:val="nil"/>
              <w:tr2bl w:val="nil"/>
            </w:tcBorders>
            <w:noWrap w:val="0"/>
            <w:vAlign w:val="center"/>
          </w:tcPr>
          <w:p w14:paraId="20E7F5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626" w:type="pct"/>
            <w:vMerge w:val="continue"/>
            <w:tcBorders>
              <w:tl2br w:val="nil"/>
              <w:tr2bl w:val="nil"/>
            </w:tcBorders>
            <w:noWrap w:val="0"/>
            <w:vAlign w:val="center"/>
          </w:tcPr>
          <w:p w14:paraId="77029F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r>
      <w:tr w14:paraId="66AC02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3FA1CA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c>
          <w:tcPr>
            <w:tcW w:w="912" w:type="pct"/>
            <w:vMerge w:val="continue"/>
            <w:tcBorders>
              <w:tl2br w:val="nil"/>
              <w:tr2bl w:val="nil"/>
            </w:tcBorders>
            <w:noWrap w:val="0"/>
            <w:vAlign w:val="center"/>
          </w:tcPr>
          <w:p w14:paraId="3DC120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c>
          <w:tcPr>
            <w:tcW w:w="682" w:type="pct"/>
            <w:tcBorders>
              <w:tl2br w:val="nil"/>
              <w:tr2bl w:val="nil"/>
            </w:tcBorders>
            <w:noWrap w:val="0"/>
            <w:vAlign w:val="center"/>
          </w:tcPr>
          <w:p w14:paraId="7709BB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0~0.5m</w:t>
            </w:r>
          </w:p>
        </w:tc>
        <w:tc>
          <w:tcPr>
            <w:tcW w:w="764" w:type="pct"/>
            <w:tcBorders>
              <w:tl2br w:val="nil"/>
              <w:tr2bl w:val="nil"/>
            </w:tcBorders>
            <w:noWrap w:val="0"/>
            <w:vAlign w:val="center"/>
          </w:tcPr>
          <w:p w14:paraId="4E3574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0.5~1.5m</w:t>
            </w:r>
          </w:p>
        </w:tc>
        <w:tc>
          <w:tcPr>
            <w:tcW w:w="698" w:type="pct"/>
            <w:tcBorders>
              <w:tl2br w:val="nil"/>
              <w:tr2bl w:val="nil"/>
            </w:tcBorders>
            <w:noWrap w:val="0"/>
            <w:vAlign w:val="center"/>
          </w:tcPr>
          <w:p w14:paraId="60367D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1.5~3m</w:t>
            </w:r>
          </w:p>
        </w:tc>
        <w:tc>
          <w:tcPr>
            <w:tcW w:w="632" w:type="pct"/>
            <w:tcBorders>
              <w:tl2br w:val="nil"/>
              <w:tr2bl w:val="nil"/>
            </w:tcBorders>
            <w:noWrap w:val="0"/>
            <w:vAlign w:val="center"/>
          </w:tcPr>
          <w:p w14:paraId="1094B3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626" w:type="pct"/>
            <w:vMerge w:val="continue"/>
            <w:tcBorders>
              <w:tl2br w:val="nil"/>
              <w:tr2bl w:val="nil"/>
            </w:tcBorders>
            <w:noWrap w:val="0"/>
            <w:vAlign w:val="center"/>
          </w:tcPr>
          <w:p w14:paraId="585A0A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r>
      <w:tr w14:paraId="651D3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restart"/>
            <w:tcBorders>
              <w:tl2br w:val="nil"/>
              <w:tr2bl w:val="nil"/>
            </w:tcBorders>
            <w:noWrap w:val="0"/>
            <w:vAlign w:val="center"/>
          </w:tcPr>
          <w:p w14:paraId="57893E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T1厂区南出口柱状样土壤（厂内）</w:t>
            </w:r>
          </w:p>
        </w:tc>
        <w:tc>
          <w:tcPr>
            <w:tcW w:w="912" w:type="pct"/>
            <w:tcBorders>
              <w:tl2br w:val="nil"/>
              <w:tr2bl w:val="nil"/>
            </w:tcBorders>
            <w:noWrap w:val="0"/>
            <w:vAlign w:val="center"/>
          </w:tcPr>
          <w:p w14:paraId="0BEF98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pH</w:t>
            </w:r>
          </w:p>
        </w:tc>
        <w:tc>
          <w:tcPr>
            <w:tcW w:w="682" w:type="pct"/>
            <w:tcBorders>
              <w:tl2br w:val="nil"/>
              <w:tr2bl w:val="nil"/>
            </w:tcBorders>
            <w:noWrap w:val="0"/>
            <w:vAlign w:val="center"/>
          </w:tcPr>
          <w:p w14:paraId="432C60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6.42</w:t>
            </w:r>
          </w:p>
        </w:tc>
        <w:tc>
          <w:tcPr>
            <w:tcW w:w="764" w:type="pct"/>
            <w:tcBorders>
              <w:tl2br w:val="nil"/>
              <w:tr2bl w:val="nil"/>
            </w:tcBorders>
            <w:noWrap w:val="0"/>
            <w:vAlign w:val="center"/>
          </w:tcPr>
          <w:p w14:paraId="14201C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6.39</w:t>
            </w:r>
          </w:p>
        </w:tc>
        <w:tc>
          <w:tcPr>
            <w:tcW w:w="698" w:type="pct"/>
            <w:tcBorders>
              <w:tl2br w:val="nil"/>
              <w:tr2bl w:val="nil"/>
            </w:tcBorders>
            <w:noWrap w:val="0"/>
            <w:vAlign w:val="center"/>
          </w:tcPr>
          <w:p w14:paraId="298572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6.77</w:t>
            </w:r>
          </w:p>
        </w:tc>
        <w:tc>
          <w:tcPr>
            <w:tcW w:w="632" w:type="pct"/>
            <w:tcBorders>
              <w:tl2br w:val="nil"/>
              <w:tr2bl w:val="nil"/>
            </w:tcBorders>
            <w:noWrap w:val="0"/>
            <w:vAlign w:val="center"/>
          </w:tcPr>
          <w:p w14:paraId="510BF4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626" w:type="pct"/>
            <w:tcBorders>
              <w:tl2br w:val="nil"/>
              <w:tr2bl w:val="nil"/>
            </w:tcBorders>
            <w:noWrap w:val="0"/>
            <w:vAlign w:val="center"/>
          </w:tcPr>
          <w:p w14:paraId="3CF04E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43C18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396A9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c>
          <w:tcPr>
            <w:tcW w:w="912" w:type="pct"/>
            <w:tcBorders>
              <w:tl2br w:val="nil"/>
              <w:tr2bl w:val="nil"/>
            </w:tcBorders>
            <w:noWrap w:val="0"/>
            <w:vAlign w:val="center"/>
          </w:tcPr>
          <w:p w14:paraId="7E910E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石油烃（C</w:t>
            </w:r>
            <w:r>
              <w:rPr>
                <w:rFonts w:hint="default" w:ascii="Times New Roman" w:hAnsi="Times New Roman" w:eastAsia="宋体" w:cs="Times New Roman"/>
                <w:sz w:val="21"/>
                <w:szCs w:val="21"/>
                <w:highlight w:val="none"/>
                <w:vertAlign w:val="subscript"/>
                <w:lang w:eastAsia="zh-CN"/>
              </w:rPr>
              <w:t>10</w:t>
            </w:r>
            <w:r>
              <w:rPr>
                <w:rFonts w:hint="default" w:ascii="Times New Roman" w:hAnsi="Times New Roman" w:eastAsia="宋体" w:cs="Times New Roman"/>
                <w:sz w:val="21"/>
                <w:szCs w:val="21"/>
                <w:highlight w:val="none"/>
                <w:lang w:eastAsia="zh-CN"/>
              </w:rPr>
              <w:t>-C</w:t>
            </w:r>
            <w:r>
              <w:rPr>
                <w:rFonts w:hint="default" w:ascii="Times New Roman" w:hAnsi="Times New Roman" w:eastAsia="宋体" w:cs="Times New Roman"/>
                <w:sz w:val="21"/>
                <w:szCs w:val="21"/>
                <w:highlight w:val="none"/>
                <w:vertAlign w:val="subscript"/>
                <w:lang w:eastAsia="zh-CN"/>
              </w:rPr>
              <w:t>40</w:t>
            </w:r>
            <w:r>
              <w:rPr>
                <w:rFonts w:hint="default" w:ascii="Times New Roman" w:hAnsi="Times New Roman" w:eastAsia="宋体" w:cs="Times New Roman"/>
                <w:sz w:val="21"/>
                <w:szCs w:val="21"/>
                <w:highlight w:val="none"/>
                <w:lang w:eastAsia="zh-CN"/>
              </w:rPr>
              <w:t>）</w:t>
            </w:r>
          </w:p>
        </w:tc>
        <w:tc>
          <w:tcPr>
            <w:tcW w:w="682" w:type="pct"/>
            <w:tcBorders>
              <w:tl2br w:val="nil"/>
              <w:tr2bl w:val="nil"/>
            </w:tcBorders>
            <w:noWrap w:val="0"/>
            <w:vAlign w:val="center"/>
          </w:tcPr>
          <w:p w14:paraId="2DCE6B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34</w:t>
            </w:r>
          </w:p>
        </w:tc>
        <w:tc>
          <w:tcPr>
            <w:tcW w:w="764" w:type="pct"/>
            <w:tcBorders>
              <w:tl2br w:val="nil"/>
              <w:tr2bl w:val="nil"/>
            </w:tcBorders>
            <w:noWrap w:val="0"/>
            <w:vAlign w:val="center"/>
          </w:tcPr>
          <w:p w14:paraId="67C32B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41</w:t>
            </w:r>
          </w:p>
        </w:tc>
        <w:tc>
          <w:tcPr>
            <w:tcW w:w="698" w:type="pct"/>
            <w:tcBorders>
              <w:tl2br w:val="nil"/>
              <w:tr2bl w:val="nil"/>
            </w:tcBorders>
            <w:noWrap w:val="0"/>
            <w:vAlign w:val="center"/>
          </w:tcPr>
          <w:p w14:paraId="5A6C29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30</w:t>
            </w:r>
          </w:p>
        </w:tc>
        <w:tc>
          <w:tcPr>
            <w:tcW w:w="632" w:type="pct"/>
            <w:tcBorders>
              <w:tl2br w:val="nil"/>
              <w:tr2bl w:val="nil"/>
            </w:tcBorders>
            <w:noWrap w:val="0"/>
            <w:vAlign w:val="center"/>
          </w:tcPr>
          <w:p w14:paraId="053E43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4500</w:t>
            </w:r>
          </w:p>
        </w:tc>
        <w:tc>
          <w:tcPr>
            <w:tcW w:w="626" w:type="pct"/>
            <w:tcBorders>
              <w:tl2br w:val="nil"/>
              <w:tr2bl w:val="nil"/>
            </w:tcBorders>
            <w:noWrap w:val="0"/>
            <w:vAlign w:val="center"/>
          </w:tcPr>
          <w:p w14:paraId="660964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61473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restart"/>
            <w:tcBorders>
              <w:tl2br w:val="nil"/>
              <w:tr2bl w:val="nil"/>
            </w:tcBorders>
            <w:noWrap w:val="0"/>
            <w:vAlign w:val="center"/>
          </w:tcPr>
          <w:p w14:paraId="0C78CE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T2厂房东侧柱状样土壤（厂内）</w:t>
            </w:r>
          </w:p>
        </w:tc>
        <w:tc>
          <w:tcPr>
            <w:tcW w:w="912" w:type="pct"/>
            <w:tcBorders>
              <w:tl2br w:val="nil"/>
              <w:tr2bl w:val="nil"/>
            </w:tcBorders>
            <w:noWrap w:val="0"/>
            <w:vAlign w:val="center"/>
          </w:tcPr>
          <w:p w14:paraId="670FD2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pH</w:t>
            </w:r>
          </w:p>
        </w:tc>
        <w:tc>
          <w:tcPr>
            <w:tcW w:w="682" w:type="pct"/>
            <w:tcBorders>
              <w:tl2br w:val="nil"/>
              <w:tr2bl w:val="nil"/>
            </w:tcBorders>
            <w:noWrap w:val="0"/>
            <w:vAlign w:val="center"/>
          </w:tcPr>
          <w:p w14:paraId="0B171D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6.85</w:t>
            </w:r>
          </w:p>
        </w:tc>
        <w:tc>
          <w:tcPr>
            <w:tcW w:w="764" w:type="pct"/>
            <w:tcBorders>
              <w:tl2br w:val="nil"/>
              <w:tr2bl w:val="nil"/>
            </w:tcBorders>
            <w:noWrap w:val="0"/>
            <w:vAlign w:val="center"/>
          </w:tcPr>
          <w:p w14:paraId="768C26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6.60</w:t>
            </w:r>
          </w:p>
        </w:tc>
        <w:tc>
          <w:tcPr>
            <w:tcW w:w="698" w:type="pct"/>
            <w:tcBorders>
              <w:tl2br w:val="nil"/>
              <w:tr2bl w:val="nil"/>
            </w:tcBorders>
            <w:noWrap w:val="0"/>
            <w:vAlign w:val="center"/>
          </w:tcPr>
          <w:p w14:paraId="60BB48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6.32</w:t>
            </w:r>
          </w:p>
        </w:tc>
        <w:tc>
          <w:tcPr>
            <w:tcW w:w="632" w:type="pct"/>
            <w:tcBorders>
              <w:tl2br w:val="nil"/>
              <w:tr2bl w:val="nil"/>
            </w:tcBorders>
            <w:noWrap w:val="0"/>
            <w:vAlign w:val="center"/>
          </w:tcPr>
          <w:p w14:paraId="065274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626" w:type="pct"/>
            <w:tcBorders>
              <w:tl2br w:val="nil"/>
              <w:tr2bl w:val="nil"/>
            </w:tcBorders>
            <w:noWrap w:val="0"/>
            <w:vAlign w:val="center"/>
          </w:tcPr>
          <w:p w14:paraId="2C72B6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4A134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34FCC1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0C2190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石油烃（C</w:t>
            </w:r>
            <w:r>
              <w:rPr>
                <w:rFonts w:hint="default" w:ascii="Times New Roman" w:hAnsi="Times New Roman" w:eastAsia="宋体" w:cs="Times New Roman"/>
                <w:sz w:val="21"/>
                <w:szCs w:val="21"/>
                <w:highlight w:val="none"/>
                <w:vertAlign w:val="subscript"/>
                <w:lang w:eastAsia="zh-CN"/>
              </w:rPr>
              <w:t>10</w:t>
            </w:r>
            <w:r>
              <w:rPr>
                <w:rFonts w:hint="default" w:ascii="Times New Roman" w:hAnsi="Times New Roman" w:eastAsia="宋体" w:cs="Times New Roman"/>
                <w:sz w:val="21"/>
                <w:szCs w:val="21"/>
                <w:highlight w:val="none"/>
                <w:lang w:eastAsia="zh-CN"/>
              </w:rPr>
              <w:t>-C</w:t>
            </w:r>
            <w:r>
              <w:rPr>
                <w:rFonts w:hint="default" w:ascii="Times New Roman" w:hAnsi="Times New Roman" w:eastAsia="宋体" w:cs="Times New Roman"/>
                <w:sz w:val="21"/>
                <w:szCs w:val="21"/>
                <w:highlight w:val="none"/>
                <w:vertAlign w:val="subscript"/>
                <w:lang w:eastAsia="zh-CN"/>
              </w:rPr>
              <w:t>40</w:t>
            </w:r>
            <w:r>
              <w:rPr>
                <w:rFonts w:hint="default" w:ascii="Times New Roman" w:hAnsi="Times New Roman" w:eastAsia="宋体" w:cs="Times New Roman"/>
                <w:sz w:val="21"/>
                <w:szCs w:val="21"/>
                <w:highlight w:val="none"/>
                <w:lang w:eastAsia="zh-CN"/>
              </w:rPr>
              <w:t>）</w:t>
            </w:r>
          </w:p>
        </w:tc>
        <w:tc>
          <w:tcPr>
            <w:tcW w:w="682" w:type="pct"/>
            <w:tcBorders>
              <w:tl2br w:val="nil"/>
              <w:tr2bl w:val="nil"/>
            </w:tcBorders>
            <w:noWrap w:val="0"/>
            <w:vAlign w:val="center"/>
          </w:tcPr>
          <w:p w14:paraId="3134D5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w:t>
            </w:r>
          </w:p>
        </w:tc>
        <w:tc>
          <w:tcPr>
            <w:tcW w:w="764" w:type="pct"/>
            <w:tcBorders>
              <w:tl2br w:val="nil"/>
              <w:tr2bl w:val="nil"/>
            </w:tcBorders>
            <w:noWrap w:val="0"/>
            <w:vAlign w:val="center"/>
          </w:tcPr>
          <w:p w14:paraId="1D18E0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60</w:t>
            </w:r>
          </w:p>
        </w:tc>
        <w:tc>
          <w:tcPr>
            <w:tcW w:w="698" w:type="pct"/>
            <w:tcBorders>
              <w:tl2br w:val="nil"/>
              <w:tr2bl w:val="nil"/>
            </w:tcBorders>
            <w:noWrap w:val="0"/>
            <w:vAlign w:val="center"/>
          </w:tcPr>
          <w:p w14:paraId="04B4C5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51</w:t>
            </w:r>
          </w:p>
        </w:tc>
        <w:tc>
          <w:tcPr>
            <w:tcW w:w="632" w:type="pct"/>
            <w:tcBorders>
              <w:tl2br w:val="nil"/>
              <w:tr2bl w:val="nil"/>
            </w:tcBorders>
            <w:noWrap w:val="0"/>
            <w:vAlign w:val="center"/>
          </w:tcPr>
          <w:p w14:paraId="603E70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4500</w:t>
            </w:r>
          </w:p>
        </w:tc>
        <w:tc>
          <w:tcPr>
            <w:tcW w:w="626" w:type="pct"/>
            <w:tcBorders>
              <w:tl2br w:val="nil"/>
              <w:tr2bl w:val="nil"/>
            </w:tcBorders>
            <w:noWrap w:val="0"/>
            <w:vAlign w:val="center"/>
          </w:tcPr>
          <w:p w14:paraId="57CC8C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3B90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032BE1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3833D9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铜</w:t>
            </w:r>
          </w:p>
        </w:tc>
        <w:tc>
          <w:tcPr>
            <w:tcW w:w="682" w:type="pct"/>
            <w:tcBorders>
              <w:tl2br w:val="nil"/>
              <w:tr2bl w:val="nil"/>
            </w:tcBorders>
            <w:noWrap w:val="0"/>
            <w:vAlign w:val="center"/>
          </w:tcPr>
          <w:p w14:paraId="39ABE2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38</w:t>
            </w:r>
          </w:p>
        </w:tc>
        <w:tc>
          <w:tcPr>
            <w:tcW w:w="764" w:type="pct"/>
            <w:tcBorders>
              <w:tl2br w:val="nil"/>
              <w:tr2bl w:val="nil"/>
            </w:tcBorders>
            <w:noWrap w:val="0"/>
            <w:vAlign w:val="center"/>
          </w:tcPr>
          <w:p w14:paraId="5696AB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w:t>
            </w:r>
          </w:p>
        </w:tc>
        <w:tc>
          <w:tcPr>
            <w:tcW w:w="698" w:type="pct"/>
            <w:tcBorders>
              <w:tl2br w:val="nil"/>
              <w:tr2bl w:val="nil"/>
            </w:tcBorders>
            <w:noWrap w:val="0"/>
            <w:vAlign w:val="center"/>
          </w:tcPr>
          <w:p w14:paraId="229593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c>
          <w:tcPr>
            <w:tcW w:w="632" w:type="pct"/>
            <w:tcBorders>
              <w:tl2br w:val="nil"/>
              <w:tr2bl w:val="nil"/>
            </w:tcBorders>
            <w:noWrap w:val="0"/>
            <w:vAlign w:val="center"/>
          </w:tcPr>
          <w:p w14:paraId="702369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18000</w:t>
            </w:r>
          </w:p>
        </w:tc>
        <w:tc>
          <w:tcPr>
            <w:tcW w:w="626" w:type="pct"/>
            <w:tcBorders>
              <w:tl2br w:val="nil"/>
              <w:tr2bl w:val="nil"/>
            </w:tcBorders>
            <w:noWrap w:val="0"/>
            <w:vAlign w:val="center"/>
          </w:tcPr>
          <w:p w14:paraId="562094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8D11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4DA4D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25009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镉</w:t>
            </w:r>
          </w:p>
        </w:tc>
        <w:tc>
          <w:tcPr>
            <w:tcW w:w="682" w:type="pct"/>
            <w:tcBorders>
              <w:tl2br w:val="nil"/>
              <w:tr2bl w:val="nil"/>
            </w:tcBorders>
            <w:noWrap w:val="0"/>
            <w:vAlign w:val="center"/>
          </w:tcPr>
          <w:p w14:paraId="35A9E2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0.1</w:t>
            </w:r>
            <w:r>
              <w:rPr>
                <w:rFonts w:hint="default" w:ascii="Times New Roman" w:hAnsi="Times New Roman" w:eastAsia="宋体" w:cs="Times New Roman"/>
                <w:sz w:val="21"/>
                <w:szCs w:val="21"/>
                <w:highlight w:val="none"/>
                <w:lang w:val="en-US" w:eastAsia="zh-CN"/>
              </w:rPr>
              <w:t>7</w:t>
            </w:r>
          </w:p>
        </w:tc>
        <w:tc>
          <w:tcPr>
            <w:tcW w:w="764" w:type="pct"/>
            <w:tcBorders>
              <w:tl2br w:val="nil"/>
              <w:tr2bl w:val="nil"/>
            </w:tcBorders>
            <w:noWrap w:val="0"/>
            <w:vAlign w:val="center"/>
          </w:tcPr>
          <w:p w14:paraId="3D3C2E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0.12</w:t>
            </w:r>
          </w:p>
        </w:tc>
        <w:tc>
          <w:tcPr>
            <w:tcW w:w="698" w:type="pct"/>
            <w:tcBorders>
              <w:tl2br w:val="nil"/>
              <w:tr2bl w:val="nil"/>
            </w:tcBorders>
            <w:noWrap w:val="0"/>
            <w:vAlign w:val="center"/>
          </w:tcPr>
          <w:p w14:paraId="46EA22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0.13</w:t>
            </w:r>
          </w:p>
        </w:tc>
        <w:tc>
          <w:tcPr>
            <w:tcW w:w="632" w:type="pct"/>
            <w:tcBorders>
              <w:tl2br w:val="nil"/>
              <w:tr2bl w:val="nil"/>
            </w:tcBorders>
            <w:noWrap w:val="0"/>
            <w:vAlign w:val="center"/>
          </w:tcPr>
          <w:p w14:paraId="40605D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65</w:t>
            </w:r>
          </w:p>
        </w:tc>
        <w:tc>
          <w:tcPr>
            <w:tcW w:w="626" w:type="pct"/>
            <w:tcBorders>
              <w:tl2br w:val="nil"/>
              <w:tr2bl w:val="nil"/>
            </w:tcBorders>
            <w:noWrap w:val="0"/>
            <w:vAlign w:val="center"/>
          </w:tcPr>
          <w:p w14:paraId="0001E5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AAC7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943C1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6C2CEF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六价铬</w:t>
            </w:r>
          </w:p>
        </w:tc>
        <w:tc>
          <w:tcPr>
            <w:tcW w:w="682" w:type="pct"/>
            <w:tcBorders>
              <w:tl2br w:val="nil"/>
              <w:tr2bl w:val="nil"/>
            </w:tcBorders>
            <w:noWrap w:val="0"/>
            <w:vAlign w:val="center"/>
          </w:tcPr>
          <w:p w14:paraId="0BA8DF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41888D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627EE1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4A5EB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5.7</w:t>
            </w:r>
          </w:p>
        </w:tc>
        <w:tc>
          <w:tcPr>
            <w:tcW w:w="626" w:type="pct"/>
            <w:tcBorders>
              <w:tl2br w:val="nil"/>
              <w:tr2bl w:val="nil"/>
            </w:tcBorders>
            <w:noWrap w:val="0"/>
            <w:vAlign w:val="center"/>
          </w:tcPr>
          <w:p w14:paraId="0D65DF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341A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40DB3E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3C60FA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砷</w:t>
            </w:r>
          </w:p>
        </w:tc>
        <w:tc>
          <w:tcPr>
            <w:tcW w:w="682" w:type="pct"/>
            <w:tcBorders>
              <w:tl2br w:val="nil"/>
              <w:tr2bl w:val="nil"/>
            </w:tcBorders>
            <w:noWrap w:val="0"/>
            <w:vAlign w:val="center"/>
          </w:tcPr>
          <w:p w14:paraId="60681A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18.5</w:t>
            </w:r>
          </w:p>
        </w:tc>
        <w:tc>
          <w:tcPr>
            <w:tcW w:w="764" w:type="pct"/>
            <w:tcBorders>
              <w:tl2br w:val="nil"/>
              <w:tr2bl w:val="nil"/>
            </w:tcBorders>
            <w:noWrap w:val="0"/>
            <w:vAlign w:val="center"/>
          </w:tcPr>
          <w:p w14:paraId="7DF57B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13.6</w:t>
            </w:r>
          </w:p>
        </w:tc>
        <w:tc>
          <w:tcPr>
            <w:tcW w:w="698" w:type="pct"/>
            <w:tcBorders>
              <w:tl2br w:val="nil"/>
              <w:tr2bl w:val="nil"/>
            </w:tcBorders>
            <w:noWrap w:val="0"/>
            <w:vAlign w:val="center"/>
          </w:tcPr>
          <w:p w14:paraId="47F23D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16.0</w:t>
            </w:r>
          </w:p>
        </w:tc>
        <w:tc>
          <w:tcPr>
            <w:tcW w:w="632" w:type="pct"/>
            <w:tcBorders>
              <w:tl2br w:val="nil"/>
              <w:tr2bl w:val="nil"/>
            </w:tcBorders>
            <w:noWrap w:val="0"/>
            <w:vAlign w:val="center"/>
          </w:tcPr>
          <w:p w14:paraId="4DCED8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60</w:t>
            </w:r>
          </w:p>
        </w:tc>
        <w:tc>
          <w:tcPr>
            <w:tcW w:w="626" w:type="pct"/>
            <w:tcBorders>
              <w:tl2br w:val="nil"/>
              <w:tr2bl w:val="nil"/>
            </w:tcBorders>
            <w:noWrap w:val="0"/>
            <w:vAlign w:val="center"/>
          </w:tcPr>
          <w:p w14:paraId="5BEDE9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09FF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18D83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8AAE1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汞</w:t>
            </w:r>
          </w:p>
        </w:tc>
        <w:tc>
          <w:tcPr>
            <w:tcW w:w="682" w:type="pct"/>
            <w:tcBorders>
              <w:tl2br w:val="nil"/>
              <w:tr2bl w:val="nil"/>
            </w:tcBorders>
            <w:noWrap w:val="0"/>
            <w:vAlign w:val="center"/>
          </w:tcPr>
          <w:p w14:paraId="57B872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0.1</w:t>
            </w:r>
            <w:r>
              <w:rPr>
                <w:rFonts w:hint="default" w:ascii="Times New Roman" w:hAnsi="Times New Roman" w:eastAsia="宋体" w:cs="Times New Roman"/>
                <w:sz w:val="21"/>
                <w:szCs w:val="21"/>
                <w:highlight w:val="none"/>
                <w:lang w:val="en-US" w:eastAsia="zh-CN"/>
              </w:rPr>
              <w:t>78</w:t>
            </w:r>
          </w:p>
        </w:tc>
        <w:tc>
          <w:tcPr>
            <w:tcW w:w="764" w:type="pct"/>
            <w:tcBorders>
              <w:tl2br w:val="nil"/>
              <w:tr2bl w:val="nil"/>
            </w:tcBorders>
            <w:noWrap w:val="0"/>
            <w:vAlign w:val="center"/>
          </w:tcPr>
          <w:p w14:paraId="3C0587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0.166</w:t>
            </w:r>
          </w:p>
        </w:tc>
        <w:tc>
          <w:tcPr>
            <w:tcW w:w="698" w:type="pct"/>
            <w:tcBorders>
              <w:tl2br w:val="nil"/>
              <w:tr2bl w:val="nil"/>
            </w:tcBorders>
            <w:noWrap w:val="0"/>
            <w:vAlign w:val="center"/>
          </w:tcPr>
          <w:p w14:paraId="02AC15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0.210</w:t>
            </w:r>
          </w:p>
        </w:tc>
        <w:tc>
          <w:tcPr>
            <w:tcW w:w="632" w:type="pct"/>
            <w:tcBorders>
              <w:tl2br w:val="nil"/>
              <w:tr2bl w:val="nil"/>
            </w:tcBorders>
            <w:noWrap w:val="0"/>
            <w:vAlign w:val="center"/>
          </w:tcPr>
          <w:p w14:paraId="6F86A0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38</w:t>
            </w:r>
          </w:p>
        </w:tc>
        <w:tc>
          <w:tcPr>
            <w:tcW w:w="626" w:type="pct"/>
            <w:tcBorders>
              <w:tl2br w:val="nil"/>
              <w:tr2bl w:val="nil"/>
            </w:tcBorders>
            <w:noWrap w:val="0"/>
            <w:vAlign w:val="center"/>
          </w:tcPr>
          <w:p w14:paraId="7FB59D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D3BE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06EA4C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622E0E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镍</w:t>
            </w:r>
          </w:p>
        </w:tc>
        <w:tc>
          <w:tcPr>
            <w:tcW w:w="682" w:type="pct"/>
            <w:tcBorders>
              <w:tl2br w:val="nil"/>
              <w:tr2bl w:val="nil"/>
            </w:tcBorders>
            <w:noWrap w:val="0"/>
            <w:vAlign w:val="center"/>
          </w:tcPr>
          <w:p w14:paraId="6CFD3C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3</w:t>
            </w:r>
            <w:r>
              <w:rPr>
                <w:rFonts w:hint="default" w:ascii="Times New Roman" w:hAnsi="Times New Roman" w:eastAsia="宋体" w:cs="Times New Roman"/>
                <w:sz w:val="21"/>
                <w:szCs w:val="21"/>
                <w:highlight w:val="none"/>
                <w:lang w:val="en-US" w:eastAsia="zh-CN"/>
              </w:rPr>
              <w:t>0</w:t>
            </w:r>
          </w:p>
        </w:tc>
        <w:tc>
          <w:tcPr>
            <w:tcW w:w="764" w:type="pct"/>
            <w:tcBorders>
              <w:tl2br w:val="nil"/>
              <w:tr2bl w:val="nil"/>
            </w:tcBorders>
            <w:noWrap w:val="0"/>
            <w:vAlign w:val="center"/>
          </w:tcPr>
          <w:p w14:paraId="5ACC1F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38</w:t>
            </w:r>
          </w:p>
        </w:tc>
        <w:tc>
          <w:tcPr>
            <w:tcW w:w="698" w:type="pct"/>
            <w:tcBorders>
              <w:tl2br w:val="nil"/>
              <w:tr2bl w:val="nil"/>
            </w:tcBorders>
            <w:noWrap w:val="0"/>
            <w:vAlign w:val="center"/>
          </w:tcPr>
          <w:p w14:paraId="799604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29</w:t>
            </w:r>
          </w:p>
        </w:tc>
        <w:tc>
          <w:tcPr>
            <w:tcW w:w="632" w:type="pct"/>
            <w:tcBorders>
              <w:tl2br w:val="nil"/>
              <w:tr2bl w:val="nil"/>
            </w:tcBorders>
            <w:noWrap w:val="0"/>
            <w:vAlign w:val="center"/>
          </w:tcPr>
          <w:p w14:paraId="061513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900</w:t>
            </w:r>
          </w:p>
        </w:tc>
        <w:tc>
          <w:tcPr>
            <w:tcW w:w="626" w:type="pct"/>
            <w:tcBorders>
              <w:tl2br w:val="nil"/>
              <w:tr2bl w:val="nil"/>
            </w:tcBorders>
            <w:noWrap w:val="0"/>
            <w:vAlign w:val="center"/>
          </w:tcPr>
          <w:p w14:paraId="4442AE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8F54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683" w:type="pct"/>
            <w:vMerge w:val="continue"/>
            <w:tcBorders>
              <w:tl2br w:val="nil"/>
              <w:tr2bl w:val="nil"/>
            </w:tcBorders>
            <w:noWrap w:val="0"/>
            <w:vAlign w:val="center"/>
          </w:tcPr>
          <w:p w14:paraId="3D5198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044D07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铅</w:t>
            </w:r>
          </w:p>
        </w:tc>
        <w:tc>
          <w:tcPr>
            <w:tcW w:w="682" w:type="pct"/>
            <w:tcBorders>
              <w:tl2br w:val="nil"/>
              <w:tr2bl w:val="nil"/>
            </w:tcBorders>
            <w:noWrap w:val="0"/>
            <w:vAlign w:val="center"/>
          </w:tcPr>
          <w:p w14:paraId="2E55C2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w:t>
            </w:r>
          </w:p>
        </w:tc>
        <w:tc>
          <w:tcPr>
            <w:tcW w:w="764" w:type="pct"/>
            <w:tcBorders>
              <w:tl2br w:val="nil"/>
              <w:tr2bl w:val="nil"/>
            </w:tcBorders>
            <w:noWrap w:val="0"/>
            <w:vAlign w:val="center"/>
          </w:tcPr>
          <w:p w14:paraId="41E947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33</w:t>
            </w:r>
          </w:p>
        </w:tc>
        <w:tc>
          <w:tcPr>
            <w:tcW w:w="698" w:type="pct"/>
            <w:tcBorders>
              <w:tl2br w:val="nil"/>
              <w:tr2bl w:val="nil"/>
            </w:tcBorders>
            <w:noWrap w:val="0"/>
            <w:vAlign w:val="center"/>
          </w:tcPr>
          <w:p w14:paraId="255CDD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25</w:t>
            </w:r>
          </w:p>
        </w:tc>
        <w:tc>
          <w:tcPr>
            <w:tcW w:w="632" w:type="pct"/>
            <w:tcBorders>
              <w:tl2br w:val="nil"/>
              <w:tr2bl w:val="nil"/>
            </w:tcBorders>
            <w:noWrap w:val="0"/>
            <w:vAlign w:val="center"/>
          </w:tcPr>
          <w:p w14:paraId="79C4A5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800</w:t>
            </w:r>
          </w:p>
        </w:tc>
        <w:tc>
          <w:tcPr>
            <w:tcW w:w="626" w:type="pct"/>
            <w:tcBorders>
              <w:tl2br w:val="nil"/>
              <w:tr2bl w:val="nil"/>
            </w:tcBorders>
            <w:noWrap w:val="0"/>
            <w:vAlign w:val="center"/>
          </w:tcPr>
          <w:p w14:paraId="7CAB37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82F3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42B5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215C8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四氯化碳</w:t>
            </w:r>
          </w:p>
        </w:tc>
        <w:tc>
          <w:tcPr>
            <w:tcW w:w="682" w:type="pct"/>
            <w:tcBorders>
              <w:tl2br w:val="nil"/>
              <w:tr2bl w:val="nil"/>
            </w:tcBorders>
            <w:noWrap w:val="0"/>
            <w:vAlign w:val="center"/>
          </w:tcPr>
          <w:p w14:paraId="7C0378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28BFD2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C596D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4CA122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626" w:type="pct"/>
            <w:tcBorders>
              <w:tl2br w:val="nil"/>
              <w:tr2bl w:val="nil"/>
            </w:tcBorders>
            <w:noWrap w:val="0"/>
            <w:vAlign w:val="center"/>
          </w:tcPr>
          <w:p w14:paraId="02B6E3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699F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33CD95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69F145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氯仿</w:t>
            </w:r>
          </w:p>
        </w:tc>
        <w:tc>
          <w:tcPr>
            <w:tcW w:w="682" w:type="pct"/>
            <w:tcBorders>
              <w:tl2br w:val="nil"/>
              <w:tr2bl w:val="nil"/>
            </w:tcBorders>
            <w:noWrap w:val="0"/>
            <w:vAlign w:val="center"/>
          </w:tcPr>
          <w:p w14:paraId="7214C9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297082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45B08C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57AC25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0.9</w:t>
            </w:r>
          </w:p>
        </w:tc>
        <w:tc>
          <w:tcPr>
            <w:tcW w:w="626" w:type="pct"/>
            <w:tcBorders>
              <w:tl2br w:val="nil"/>
              <w:tr2bl w:val="nil"/>
            </w:tcBorders>
            <w:noWrap w:val="0"/>
            <w:vAlign w:val="center"/>
          </w:tcPr>
          <w:p w14:paraId="34C485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44D2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00D4F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557BC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氯甲烷</w:t>
            </w:r>
          </w:p>
        </w:tc>
        <w:tc>
          <w:tcPr>
            <w:tcW w:w="682" w:type="pct"/>
            <w:tcBorders>
              <w:tl2br w:val="nil"/>
              <w:tr2bl w:val="nil"/>
            </w:tcBorders>
            <w:noWrap w:val="0"/>
            <w:vAlign w:val="center"/>
          </w:tcPr>
          <w:p w14:paraId="5D40AE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231D89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0CDE9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5916AA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37</w:t>
            </w:r>
          </w:p>
        </w:tc>
        <w:tc>
          <w:tcPr>
            <w:tcW w:w="626" w:type="pct"/>
            <w:tcBorders>
              <w:tl2br w:val="nil"/>
              <w:tr2bl w:val="nil"/>
            </w:tcBorders>
            <w:noWrap w:val="0"/>
            <w:vAlign w:val="center"/>
          </w:tcPr>
          <w:p w14:paraId="68DA2B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3769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1FC43C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268D0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1,1-二氯乙烷</w:t>
            </w:r>
          </w:p>
        </w:tc>
        <w:tc>
          <w:tcPr>
            <w:tcW w:w="682" w:type="pct"/>
            <w:tcBorders>
              <w:tl2br w:val="nil"/>
              <w:tr2bl w:val="nil"/>
            </w:tcBorders>
            <w:noWrap w:val="0"/>
            <w:vAlign w:val="center"/>
          </w:tcPr>
          <w:p w14:paraId="037E91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536D31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572EBC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25EE93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9</w:t>
            </w:r>
          </w:p>
        </w:tc>
        <w:tc>
          <w:tcPr>
            <w:tcW w:w="626" w:type="pct"/>
            <w:tcBorders>
              <w:tl2br w:val="nil"/>
              <w:tr2bl w:val="nil"/>
            </w:tcBorders>
            <w:noWrap w:val="0"/>
            <w:vAlign w:val="center"/>
          </w:tcPr>
          <w:p w14:paraId="1B68FB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83AC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C860B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CE428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1,2-二氯乙烷</w:t>
            </w:r>
          </w:p>
        </w:tc>
        <w:tc>
          <w:tcPr>
            <w:tcW w:w="682" w:type="pct"/>
            <w:tcBorders>
              <w:tl2br w:val="nil"/>
              <w:tr2bl w:val="nil"/>
            </w:tcBorders>
            <w:noWrap w:val="0"/>
            <w:vAlign w:val="center"/>
          </w:tcPr>
          <w:p w14:paraId="55EBF7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29424D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F2721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7BC304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w:t>
            </w:r>
          </w:p>
        </w:tc>
        <w:tc>
          <w:tcPr>
            <w:tcW w:w="626" w:type="pct"/>
            <w:tcBorders>
              <w:tl2br w:val="nil"/>
              <w:tr2bl w:val="nil"/>
            </w:tcBorders>
            <w:noWrap w:val="0"/>
            <w:vAlign w:val="center"/>
          </w:tcPr>
          <w:p w14:paraId="645176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4913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397196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6911E6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1,1-二氯乙烯</w:t>
            </w:r>
          </w:p>
        </w:tc>
        <w:tc>
          <w:tcPr>
            <w:tcW w:w="682" w:type="pct"/>
            <w:tcBorders>
              <w:tl2br w:val="nil"/>
              <w:tr2bl w:val="nil"/>
            </w:tcBorders>
            <w:noWrap w:val="0"/>
            <w:vAlign w:val="center"/>
          </w:tcPr>
          <w:p w14:paraId="794C35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456341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7F455F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77CB9D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66</w:t>
            </w:r>
          </w:p>
        </w:tc>
        <w:tc>
          <w:tcPr>
            <w:tcW w:w="626" w:type="pct"/>
            <w:tcBorders>
              <w:tl2br w:val="nil"/>
              <w:tr2bl w:val="nil"/>
            </w:tcBorders>
            <w:noWrap w:val="0"/>
            <w:vAlign w:val="center"/>
          </w:tcPr>
          <w:p w14:paraId="49CC2F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5EC4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67ACB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4DFB95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顺-1,2-二氯乙烯</w:t>
            </w:r>
          </w:p>
        </w:tc>
        <w:tc>
          <w:tcPr>
            <w:tcW w:w="682" w:type="pct"/>
            <w:tcBorders>
              <w:tl2br w:val="nil"/>
              <w:tr2bl w:val="nil"/>
            </w:tcBorders>
            <w:noWrap w:val="0"/>
            <w:vAlign w:val="center"/>
          </w:tcPr>
          <w:p w14:paraId="173A17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2CDF8A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F041A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1C7499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596</w:t>
            </w:r>
          </w:p>
        </w:tc>
        <w:tc>
          <w:tcPr>
            <w:tcW w:w="626" w:type="pct"/>
            <w:tcBorders>
              <w:tl2br w:val="nil"/>
              <w:tr2bl w:val="nil"/>
            </w:tcBorders>
            <w:noWrap w:val="0"/>
            <w:vAlign w:val="center"/>
          </w:tcPr>
          <w:p w14:paraId="358647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42589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5E70E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5438F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反-1,2-二氯乙烯</w:t>
            </w:r>
          </w:p>
        </w:tc>
        <w:tc>
          <w:tcPr>
            <w:tcW w:w="682" w:type="pct"/>
            <w:tcBorders>
              <w:tl2br w:val="nil"/>
              <w:tr2bl w:val="nil"/>
            </w:tcBorders>
            <w:noWrap w:val="0"/>
            <w:vAlign w:val="center"/>
          </w:tcPr>
          <w:p w14:paraId="7B2217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4D4F51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1EC0C2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5520DE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54</w:t>
            </w:r>
          </w:p>
        </w:tc>
        <w:tc>
          <w:tcPr>
            <w:tcW w:w="626" w:type="pct"/>
            <w:tcBorders>
              <w:tl2br w:val="nil"/>
              <w:tr2bl w:val="nil"/>
            </w:tcBorders>
            <w:noWrap w:val="0"/>
            <w:vAlign w:val="center"/>
          </w:tcPr>
          <w:p w14:paraId="74BB97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1F2E9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58DB3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4699C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二氯甲烷</w:t>
            </w:r>
          </w:p>
        </w:tc>
        <w:tc>
          <w:tcPr>
            <w:tcW w:w="682" w:type="pct"/>
            <w:tcBorders>
              <w:tl2br w:val="nil"/>
              <w:tr2bl w:val="nil"/>
            </w:tcBorders>
            <w:noWrap w:val="0"/>
            <w:vAlign w:val="center"/>
          </w:tcPr>
          <w:p w14:paraId="501DFF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5FC007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2A6105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3C2908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616</w:t>
            </w:r>
          </w:p>
        </w:tc>
        <w:tc>
          <w:tcPr>
            <w:tcW w:w="626" w:type="pct"/>
            <w:tcBorders>
              <w:tl2br w:val="nil"/>
              <w:tr2bl w:val="nil"/>
            </w:tcBorders>
            <w:noWrap w:val="0"/>
            <w:vAlign w:val="center"/>
          </w:tcPr>
          <w:p w14:paraId="70A29C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AE4D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36EEF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F2EFE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1,2-二氯丙烷</w:t>
            </w:r>
          </w:p>
        </w:tc>
        <w:tc>
          <w:tcPr>
            <w:tcW w:w="682" w:type="pct"/>
            <w:tcBorders>
              <w:tl2br w:val="nil"/>
              <w:tr2bl w:val="nil"/>
            </w:tcBorders>
            <w:noWrap w:val="0"/>
            <w:vAlign w:val="center"/>
          </w:tcPr>
          <w:p w14:paraId="07F673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0F07DC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01AA4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3DF9C0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w:t>
            </w:r>
          </w:p>
        </w:tc>
        <w:tc>
          <w:tcPr>
            <w:tcW w:w="626" w:type="pct"/>
            <w:tcBorders>
              <w:tl2br w:val="nil"/>
              <w:tr2bl w:val="nil"/>
            </w:tcBorders>
            <w:noWrap w:val="0"/>
            <w:vAlign w:val="center"/>
          </w:tcPr>
          <w:p w14:paraId="074237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49968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008D43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04D2A9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1,1,1,2-四氯乙烷</w:t>
            </w:r>
          </w:p>
        </w:tc>
        <w:tc>
          <w:tcPr>
            <w:tcW w:w="682" w:type="pct"/>
            <w:tcBorders>
              <w:tl2br w:val="nil"/>
              <w:tr2bl w:val="nil"/>
            </w:tcBorders>
            <w:noWrap w:val="0"/>
            <w:vAlign w:val="center"/>
          </w:tcPr>
          <w:p w14:paraId="0E8CF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502649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4DDCDC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24DB84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10</w:t>
            </w:r>
          </w:p>
        </w:tc>
        <w:tc>
          <w:tcPr>
            <w:tcW w:w="626" w:type="pct"/>
            <w:tcBorders>
              <w:tl2br w:val="nil"/>
              <w:tr2bl w:val="nil"/>
            </w:tcBorders>
            <w:noWrap w:val="0"/>
            <w:vAlign w:val="center"/>
          </w:tcPr>
          <w:p w14:paraId="589CD6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6F22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4F1136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2F2FF2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1,1,2,2-四氯乙烷</w:t>
            </w:r>
          </w:p>
        </w:tc>
        <w:tc>
          <w:tcPr>
            <w:tcW w:w="682" w:type="pct"/>
            <w:tcBorders>
              <w:tl2br w:val="nil"/>
              <w:tr2bl w:val="nil"/>
            </w:tcBorders>
            <w:noWrap w:val="0"/>
            <w:vAlign w:val="center"/>
          </w:tcPr>
          <w:p w14:paraId="2726AE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771097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112834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64AA3C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6.8</w:t>
            </w:r>
          </w:p>
        </w:tc>
        <w:tc>
          <w:tcPr>
            <w:tcW w:w="626" w:type="pct"/>
            <w:tcBorders>
              <w:tl2br w:val="nil"/>
              <w:tr2bl w:val="nil"/>
            </w:tcBorders>
            <w:noWrap w:val="0"/>
            <w:vAlign w:val="center"/>
          </w:tcPr>
          <w:p w14:paraId="2AB6E9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D2F5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09366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E951A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四氯乙烯</w:t>
            </w:r>
          </w:p>
        </w:tc>
        <w:tc>
          <w:tcPr>
            <w:tcW w:w="682" w:type="pct"/>
            <w:tcBorders>
              <w:tl2br w:val="nil"/>
              <w:tr2bl w:val="nil"/>
            </w:tcBorders>
            <w:noWrap w:val="0"/>
            <w:vAlign w:val="center"/>
          </w:tcPr>
          <w:p w14:paraId="6B8CE5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186845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4B3F08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25E95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53</w:t>
            </w:r>
          </w:p>
        </w:tc>
        <w:tc>
          <w:tcPr>
            <w:tcW w:w="626" w:type="pct"/>
            <w:tcBorders>
              <w:tl2br w:val="nil"/>
              <w:tr2bl w:val="nil"/>
            </w:tcBorders>
            <w:noWrap w:val="0"/>
            <w:vAlign w:val="center"/>
          </w:tcPr>
          <w:p w14:paraId="244A96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87650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DA909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050E4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1,1,1-三氯乙烷</w:t>
            </w:r>
          </w:p>
        </w:tc>
        <w:tc>
          <w:tcPr>
            <w:tcW w:w="682" w:type="pct"/>
            <w:tcBorders>
              <w:tl2br w:val="nil"/>
              <w:tr2bl w:val="nil"/>
            </w:tcBorders>
            <w:noWrap w:val="0"/>
            <w:vAlign w:val="center"/>
          </w:tcPr>
          <w:p w14:paraId="7068F9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3FE7FD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795565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432860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840</w:t>
            </w:r>
          </w:p>
        </w:tc>
        <w:tc>
          <w:tcPr>
            <w:tcW w:w="626" w:type="pct"/>
            <w:tcBorders>
              <w:tl2br w:val="nil"/>
              <w:tr2bl w:val="nil"/>
            </w:tcBorders>
            <w:noWrap w:val="0"/>
            <w:vAlign w:val="center"/>
          </w:tcPr>
          <w:p w14:paraId="25BE4C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460BA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0928FA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2C1A7C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1,1,2-三氯乙烷</w:t>
            </w:r>
          </w:p>
        </w:tc>
        <w:tc>
          <w:tcPr>
            <w:tcW w:w="682" w:type="pct"/>
            <w:tcBorders>
              <w:tl2br w:val="nil"/>
              <w:tr2bl w:val="nil"/>
            </w:tcBorders>
            <w:noWrap w:val="0"/>
            <w:vAlign w:val="center"/>
          </w:tcPr>
          <w:p w14:paraId="5F2C56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77478A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7190FA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065046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626" w:type="pct"/>
            <w:tcBorders>
              <w:tl2br w:val="nil"/>
              <w:tr2bl w:val="nil"/>
            </w:tcBorders>
            <w:noWrap w:val="0"/>
            <w:vAlign w:val="center"/>
          </w:tcPr>
          <w:p w14:paraId="4EFF3F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73496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004AA3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A7457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三氯乙烯</w:t>
            </w:r>
          </w:p>
        </w:tc>
        <w:tc>
          <w:tcPr>
            <w:tcW w:w="682" w:type="pct"/>
            <w:tcBorders>
              <w:tl2br w:val="nil"/>
              <w:tr2bl w:val="nil"/>
            </w:tcBorders>
            <w:noWrap w:val="0"/>
            <w:vAlign w:val="center"/>
          </w:tcPr>
          <w:p w14:paraId="45E5FB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6D332C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495A2A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6B8E41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626" w:type="pct"/>
            <w:tcBorders>
              <w:tl2br w:val="nil"/>
              <w:tr2bl w:val="nil"/>
            </w:tcBorders>
            <w:noWrap w:val="0"/>
            <w:vAlign w:val="center"/>
          </w:tcPr>
          <w:p w14:paraId="102942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7742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9E03C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AAED8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1,2,3-三氯丙烷</w:t>
            </w:r>
          </w:p>
        </w:tc>
        <w:tc>
          <w:tcPr>
            <w:tcW w:w="682" w:type="pct"/>
            <w:tcBorders>
              <w:tl2br w:val="nil"/>
              <w:tr2bl w:val="nil"/>
            </w:tcBorders>
            <w:noWrap w:val="0"/>
            <w:vAlign w:val="center"/>
          </w:tcPr>
          <w:p w14:paraId="43758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704155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5B5C0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6A6A1B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0.5</w:t>
            </w:r>
          </w:p>
        </w:tc>
        <w:tc>
          <w:tcPr>
            <w:tcW w:w="626" w:type="pct"/>
            <w:tcBorders>
              <w:tl2br w:val="nil"/>
              <w:tr2bl w:val="nil"/>
            </w:tcBorders>
            <w:noWrap w:val="0"/>
            <w:vAlign w:val="center"/>
          </w:tcPr>
          <w:p w14:paraId="0AE586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0D4F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3C038F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1DD060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氯乙烯</w:t>
            </w:r>
          </w:p>
        </w:tc>
        <w:tc>
          <w:tcPr>
            <w:tcW w:w="682" w:type="pct"/>
            <w:tcBorders>
              <w:tl2br w:val="nil"/>
              <w:tr2bl w:val="nil"/>
            </w:tcBorders>
            <w:noWrap w:val="0"/>
            <w:vAlign w:val="center"/>
          </w:tcPr>
          <w:p w14:paraId="572C13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1ADF4F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13BBAF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13DD5C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0.43</w:t>
            </w:r>
          </w:p>
        </w:tc>
        <w:tc>
          <w:tcPr>
            <w:tcW w:w="626" w:type="pct"/>
            <w:tcBorders>
              <w:tl2br w:val="nil"/>
              <w:tr2bl w:val="nil"/>
            </w:tcBorders>
            <w:noWrap w:val="0"/>
            <w:vAlign w:val="center"/>
          </w:tcPr>
          <w:p w14:paraId="1FFC9C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D685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48745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96301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w:t>
            </w:r>
          </w:p>
        </w:tc>
        <w:tc>
          <w:tcPr>
            <w:tcW w:w="682" w:type="pct"/>
            <w:tcBorders>
              <w:tl2br w:val="nil"/>
              <w:tr2bl w:val="nil"/>
            </w:tcBorders>
            <w:noWrap w:val="0"/>
            <w:vAlign w:val="center"/>
          </w:tcPr>
          <w:p w14:paraId="523CC1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458768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DEF6F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02B1FA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4</w:t>
            </w:r>
          </w:p>
        </w:tc>
        <w:tc>
          <w:tcPr>
            <w:tcW w:w="626" w:type="pct"/>
            <w:tcBorders>
              <w:tl2br w:val="nil"/>
              <w:tr2bl w:val="nil"/>
            </w:tcBorders>
            <w:noWrap w:val="0"/>
            <w:vAlign w:val="center"/>
          </w:tcPr>
          <w:p w14:paraId="145ADA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3DD4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07E5F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106ACD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氯苯</w:t>
            </w:r>
          </w:p>
        </w:tc>
        <w:tc>
          <w:tcPr>
            <w:tcW w:w="682" w:type="pct"/>
            <w:tcBorders>
              <w:tl2br w:val="nil"/>
              <w:tr2bl w:val="nil"/>
            </w:tcBorders>
            <w:noWrap w:val="0"/>
            <w:vAlign w:val="center"/>
          </w:tcPr>
          <w:p w14:paraId="466AE9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2376A4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02A220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65C01E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270</w:t>
            </w:r>
          </w:p>
        </w:tc>
        <w:tc>
          <w:tcPr>
            <w:tcW w:w="626" w:type="pct"/>
            <w:tcBorders>
              <w:tl2br w:val="nil"/>
              <w:tr2bl w:val="nil"/>
            </w:tcBorders>
            <w:noWrap w:val="0"/>
            <w:vAlign w:val="center"/>
          </w:tcPr>
          <w:p w14:paraId="0F2913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7903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89465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63B855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1,2-二氯苯</w:t>
            </w:r>
          </w:p>
        </w:tc>
        <w:tc>
          <w:tcPr>
            <w:tcW w:w="682" w:type="pct"/>
            <w:tcBorders>
              <w:tl2br w:val="nil"/>
              <w:tr2bl w:val="nil"/>
            </w:tcBorders>
            <w:noWrap w:val="0"/>
            <w:vAlign w:val="center"/>
          </w:tcPr>
          <w:p w14:paraId="3D493A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3F6AA2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01DECF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299DF4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560</w:t>
            </w:r>
          </w:p>
        </w:tc>
        <w:tc>
          <w:tcPr>
            <w:tcW w:w="626" w:type="pct"/>
            <w:tcBorders>
              <w:tl2br w:val="nil"/>
              <w:tr2bl w:val="nil"/>
            </w:tcBorders>
            <w:noWrap w:val="0"/>
            <w:vAlign w:val="center"/>
          </w:tcPr>
          <w:p w14:paraId="7C4BC7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44CD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0A53D3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4CB9CA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1,4-二氯苯</w:t>
            </w:r>
          </w:p>
        </w:tc>
        <w:tc>
          <w:tcPr>
            <w:tcW w:w="682" w:type="pct"/>
            <w:tcBorders>
              <w:tl2br w:val="nil"/>
              <w:tr2bl w:val="nil"/>
            </w:tcBorders>
            <w:noWrap w:val="0"/>
            <w:vAlign w:val="center"/>
          </w:tcPr>
          <w:p w14:paraId="5D48CF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78E3D5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2F2BD0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698210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20</w:t>
            </w:r>
          </w:p>
        </w:tc>
        <w:tc>
          <w:tcPr>
            <w:tcW w:w="626" w:type="pct"/>
            <w:tcBorders>
              <w:tl2br w:val="nil"/>
              <w:tr2bl w:val="nil"/>
            </w:tcBorders>
            <w:noWrap w:val="0"/>
            <w:vAlign w:val="center"/>
          </w:tcPr>
          <w:p w14:paraId="6B9204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77BB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2B7DA6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4A4952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乙苯</w:t>
            </w:r>
          </w:p>
        </w:tc>
        <w:tc>
          <w:tcPr>
            <w:tcW w:w="682" w:type="pct"/>
            <w:tcBorders>
              <w:tl2br w:val="nil"/>
              <w:tr2bl w:val="nil"/>
            </w:tcBorders>
            <w:noWrap w:val="0"/>
            <w:vAlign w:val="center"/>
          </w:tcPr>
          <w:p w14:paraId="1AE93B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6A91C5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1D9AE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1AE4DB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626" w:type="pct"/>
            <w:tcBorders>
              <w:tl2br w:val="nil"/>
              <w:tr2bl w:val="nil"/>
            </w:tcBorders>
            <w:noWrap w:val="0"/>
            <w:vAlign w:val="center"/>
          </w:tcPr>
          <w:p w14:paraId="2A0409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CAFB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0E8F01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197006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苯乙烯</w:t>
            </w:r>
          </w:p>
        </w:tc>
        <w:tc>
          <w:tcPr>
            <w:tcW w:w="682" w:type="pct"/>
            <w:tcBorders>
              <w:tl2br w:val="nil"/>
              <w:tr2bl w:val="nil"/>
            </w:tcBorders>
            <w:noWrap w:val="0"/>
            <w:vAlign w:val="center"/>
          </w:tcPr>
          <w:p w14:paraId="75C91F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1F4BE0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7C9B56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40D380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1290</w:t>
            </w:r>
          </w:p>
        </w:tc>
        <w:tc>
          <w:tcPr>
            <w:tcW w:w="626" w:type="pct"/>
            <w:tcBorders>
              <w:tl2br w:val="nil"/>
              <w:tr2bl w:val="nil"/>
            </w:tcBorders>
            <w:noWrap w:val="0"/>
            <w:vAlign w:val="center"/>
          </w:tcPr>
          <w:p w14:paraId="12CE55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FF016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522B48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27CEC6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甲苯</w:t>
            </w:r>
          </w:p>
        </w:tc>
        <w:tc>
          <w:tcPr>
            <w:tcW w:w="682" w:type="pct"/>
            <w:tcBorders>
              <w:tl2br w:val="nil"/>
              <w:tr2bl w:val="nil"/>
            </w:tcBorders>
            <w:noWrap w:val="0"/>
            <w:vAlign w:val="center"/>
          </w:tcPr>
          <w:p w14:paraId="1A2C21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1FE6E9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0028DD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7A76BD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1200</w:t>
            </w:r>
          </w:p>
        </w:tc>
        <w:tc>
          <w:tcPr>
            <w:tcW w:w="626" w:type="pct"/>
            <w:tcBorders>
              <w:tl2br w:val="nil"/>
              <w:tr2bl w:val="nil"/>
            </w:tcBorders>
            <w:noWrap w:val="0"/>
            <w:vAlign w:val="center"/>
          </w:tcPr>
          <w:p w14:paraId="6F292A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A55A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9D0AD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20FC3D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间二甲苯、对二甲苯</w:t>
            </w:r>
          </w:p>
        </w:tc>
        <w:tc>
          <w:tcPr>
            <w:tcW w:w="682" w:type="pct"/>
            <w:tcBorders>
              <w:tl2br w:val="nil"/>
              <w:tr2bl w:val="nil"/>
            </w:tcBorders>
            <w:noWrap w:val="0"/>
            <w:vAlign w:val="center"/>
          </w:tcPr>
          <w:p w14:paraId="191913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06CCFB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AB66B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0F6B8D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570</w:t>
            </w:r>
          </w:p>
        </w:tc>
        <w:tc>
          <w:tcPr>
            <w:tcW w:w="626" w:type="pct"/>
            <w:tcBorders>
              <w:tl2br w:val="nil"/>
              <w:tr2bl w:val="nil"/>
            </w:tcBorders>
            <w:noWrap w:val="0"/>
            <w:vAlign w:val="center"/>
          </w:tcPr>
          <w:p w14:paraId="39FE4B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A569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55B95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110D81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邻二甲苯</w:t>
            </w:r>
          </w:p>
        </w:tc>
        <w:tc>
          <w:tcPr>
            <w:tcW w:w="682" w:type="pct"/>
            <w:tcBorders>
              <w:tl2br w:val="nil"/>
              <w:tr2bl w:val="nil"/>
            </w:tcBorders>
            <w:noWrap w:val="0"/>
            <w:vAlign w:val="center"/>
          </w:tcPr>
          <w:p w14:paraId="40D0FB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0655C7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72F89A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59E851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640</w:t>
            </w:r>
          </w:p>
        </w:tc>
        <w:tc>
          <w:tcPr>
            <w:tcW w:w="626" w:type="pct"/>
            <w:tcBorders>
              <w:tl2br w:val="nil"/>
              <w:tr2bl w:val="nil"/>
            </w:tcBorders>
            <w:noWrap w:val="0"/>
            <w:vAlign w:val="center"/>
          </w:tcPr>
          <w:p w14:paraId="70320A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87D3E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AD360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2C3C9D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硝基苯</w:t>
            </w:r>
          </w:p>
        </w:tc>
        <w:tc>
          <w:tcPr>
            <w:tcW w:w="682" w:type="pct"/>
            <w:tcBorders>
              <w:tl2br w:val="nil"/>
              <w:tr2bl w:val="nil"/>
            </w:tcBorders>
            <w:noWrap w:val="0"/>
            <w:vAlign w:val="center"/>
          </w:tcPr>
          <w:p w14:paraId="3DFE8C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3148CE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7B53EE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029C55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76</w:t>
            </w:r>
          </w:p>
        </w:tc>
        <w:tc>
          <w:tcPr>
            <w:tcW w:w="626" w:type="pct"/>
            <w:tcBorders>
              <w:tl2br w:val="nil"/>
              <w:tr2bl w:val="nil"/>
            </w:tcBorders>
            <w:noWrap w:val="0"/>
            <w:vAlign w:val="center"/>
          </w:tcPr>
          <w:p w14:paraId="00E68A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AD0E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47991F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C3FED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苯胺</w:t>
            </w:r>
          </w:p>
        </w:tc>
        <w:tc>
          <w:tcPr>
            <w:tcW w:w="682" w:type="pct"/>
            <w:tcBorders>
              <w:tl2br w:val="nil"/>
              <w:tr2bl w:val="nil"/>
            </w:tcBorders>
            <w:noWrap w:val="0"/>
            <w:vAlign w:val="center"/>
          </w:tcPr>
          <w:p w14:paraId="3D2444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480BFA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3B5497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19DEF1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260</w:t>
            </w:r>
          </w:p>
        </w:tc>
        <w:tc>
          <w:tcPr>
            <w:tcW w:w="626" w:type="pct"/>
            <w:tcBorders>
              <w:tl2br w:val="nil"/>
              <w:tr2bl w:val="nil"/>
            </w:tcBorders>
            <w:noWrap w:val="0"/>
            <w:vAlign w:val="center"/>
          </w:tcPr>
          <w:p w14:paraId="0AF365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40508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65F00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187480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2-氯酚</w:t>
            </w:r>
          </w:p>
        </w:tc>
        <w:tc>
          <w:tcPr>
            <w:tcW w:w="682" w:type="pct"/>
            <w:tcBorders>
              <w:tl2br w:val="nil"/>
              <w:tr2bl w:val="nil"/>
            </w:tcBorders>
            <w:noWrap w:val="0"/>
            <w:vAlign w:val="center"/>
          </w:tcPr>
          <w:p w14:paraId="6D3FDA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39B4F8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79BD55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374E9A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2256</w:t>
            </w:r>
          </w:p>
        </w:tc>
        <w:tc>
          <w:tcPr>
            <w:tcW w:w="626" w:type="pct"/>
            <w:tcBorders>
              <w:tl2br w:val="nil"/>
              <w:tr2bl w:val="nil"/>
            </w:tcBorders>
            <w:noWrap w:val="0"/>
            <w:vAlign w:val="center"/>
          </w:tcPr>
          <w:p w14:paraId="2CF317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AE9D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4C27E8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3982F0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苯并﹝a﹞蒽</w:t>
            </w:r>
          </w:p>
        </w:tc>
        <w:tc>
          <w:tcPr>
            <w:tcW w:w="682" w:type="pct"/>
            <w:tcBorders>
              <w:tl2br w:val="nil"/>
              <w:tr2bl w:val="nil"/>
            </w:tcBorders>
            <w:noWrap w:val="0"/>
            <w:vAlign w:val="center"/>
          </w:tcPr>
          <w:p w14:paraId="1B776F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58E689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6AEB17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6B933D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626" w:type="pct"/>
            <w:tcBorders>
              <w:tl2br w:val="nil"/>
              <w:tr2bl w:val="nil"/>
            </w:tcBorders>
            <w:noWrap w:val="0"/>
            <w:vAlign w:val="center"/>
          </w:tcPr>
          <w:p w14:paraId="304937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752F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51AEB8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4F2E8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苯并﹝a﹞芘</w:t>
            </w:r>
          </w:p>
        </w:tc>
        <w:tc>
          <w:tcPr>
            <w:tcW w:w="682" w:type="pct"/>
            <w:tcBorders>
              <w:tl2br w:val="nil"/>
              <w:tr2bl w:val="nil"/>
            </w:tcBorders>
            <w:noWrap w:val="0"/>
            <w:vAlign w:val="center"/>
          </w:tcPr>
          <w:p w14:paraId="33D789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3B7634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68B3E8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378CB6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626" w:type="pct"/>
            <w:tcBorders>
              <w:tl2br w:val="nil"/>
              <w:tr2bl w:val="nil"/>
            </w:tcBorders>
            <w:noWrap w:val="0"/>
            <w:vAlign w:val="center"/>
          </w:tcPr>
          <w:p w14:paraId="5ABEBE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88C6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378F3F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1C24C2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苯并﹝b﹞荧蒽</w:t>
            </w:r>
          </w:p>
        </w:tc>
        <w:tc>
          <w:tcPr>
            <w:tcW w:w="682" w:type="pct"/>
            <w:tcBorders>
              <w:tl2br w:val="nil"/>
              <w:tr2bl w:val="nil"/>
            </w:tcBorders>
            <w:noWrap w:val="0"/>
            <w:vAlign w:val="center"/>
          </w:tcPr>
          <w:p w14:paraId="2D1C5F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5E9E58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497F7E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1A84B7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626" w:type="pct"/>
            <w:tcBorders>
              <w:tl2br w:val="nil"/>
              <w:tr2bl w:val="nil"/>
            </w:tcBorders>
            <w:noWrap w:val="0"/>
            <w:vAlign w:val="center"/>
          </w:tcPr>
          <w:p w14:paraId="23AE59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93583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66EB7C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419B54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苯并﹝k﹞荧蒽</w:t>
            </w:r>
          </w:p>
        </w:tc>
        <w:tc>
          <w:tcPr>
            <w:tcW w:w="682" w:type="pct"/>
            <w:tcBorders>
              <w:tl2br w:val="nil"/>
              <w:tr2bl w:val="nil"/>
            </w:tcBorders>
            <w:noWrap w:val="0"/>
            <w:vAlign w:val="center"/>
          </w:tcPr>
          <w:p w14:paraId="0BDB39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53163F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53D9BB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026559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151</w:t>
            </w:r>
          </w:p>
        </w:tc>
        <w:tc>
          <w:tcPr>
            <w:tcW w:w="626" w:type="pct"/>
            <w:tcBorders>
              <w:tl2br w:val="nil"/>
              <w:tr2bl w:val="nil"/>
            </w:tcBorders>
            <w:noWrap w:val="0"/>
            <w:vAlign w:val="center"/>
          </w:tcPr>
          <w:p w14:paraId="3161B8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70B8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5BADC5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7F120C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䓛</w:t>
            </w:r>
          </w:p>
        </w:tc>
        <w:tc>
          <w:tcPr>
            <w:tcW w:w="682" w:type="pct"/>
            <w:tcBorders>
              <w:tl2br w:val="nil"/>
              <w:tr2bl w:val="nil"/>
            </w:tcBorders>
            <w:noWrap w:val="0"/>
            <w:vAlign w:val="center"/>
          </w:tcPr>
          <w:p w14:paraId="5BCAB6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35CC41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02C24A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70F6BB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1293</w:t>
            </w:r>
          </w:p>
        </w:tc>
        <w:tc>
          <w:tcPr>
            <w:tcW w:w="626" w:type="pct"/>
            <w:tcBorders>
              <w:tl2br w:val="nil"/>
              <w:tr2bl w:val="nil"/>
            </w:tcBorders>
            <w:noWrap w:val="0"/>
            <w:vAlign w:val="center"/>
          </w:tcPr>
          <w:p w14:paraId="185838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4C0DC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8F7C0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5A79D6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二苯并﹝a，h﹞蒽</w:t>
            </w:r>
          </w:p>
        </w:tc>
        <w:tc>
          <w:tcPr>
            <w:tcW w:w="682" w:type="pct"/>
            <w:tcBorders>
              <w:tl2br w:val="nil"/>
              <w:tr2bl w:val="nil"/>
            </w:tcBorders>
            <w:noWrap w:val="0"/>
            <w:vAlign w:val="center"/>
          </w:tcPr>
          <w:p w14:paraId="29CD25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1C0383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4BF8C4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3A389F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626" w:type="pct"/>
            <w:tcBorders>
              <w:tl2br w:val="nil"/>
              <w:tr2bl w:val="nil"/>
            </w:tcBorders>
            <w:noWrap w:val="0"/>
            <w:vAlign w:val="center"/>
          </w:tcPr>
          <w:p w14:paraId="782721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7042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F7F1D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6DD167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茚并﹝1,2,3-cd﹞芘</w:t>
            </w:r>
          </w:p>
        </w:tc>
        <w:tc>
          <w:tcPr>
            <w:tcW w:w="682" w:type="pct"/>
            <w:tcBorders>
              <w:tl2br w:val="nil"/>
              <w:tr2bl w:val="nil"/>
            </w:tcBorders>
            <w:noWrap w:val="0"/>
            <w:vAlign w:val="center"/>
          </w:tcPr>
          <w:p w14:paraId="177BDE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578104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1FC7AE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724DDC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626" w:type="pct"/>
            <w:tcBorders>
              <w:tl2br w:val="nil"/>
              <w:tr2bl w:val="nil"/>
            </w:tcBorders>
            <w:noWrap w:val="0"/>
            <w:vAlign w:val="center"/>
          </w:tcPr>
          <w:p w14:paraId="7F84F5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E68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759043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16C703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萘</w:t>
            </w:r>
          </w:p>
        </w:tc>
        <w:tc>
          <w:tcPr>
            <w:tcW w:w="682" w:type="pct"/>
            <w:tcBorders>
              <w:tl2br w:val="nil"/>
              <w:tr2bl w:val="nil"/>
            </w:tcBorders>
            <w:noWrap w:val="0"/>
            <w:vAlign w:val="center"/>
          </w:tcPr>
          <w:p w14:paraId="2B6E2D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764" w:type="pct"/>
            <w:tcBorders>
              <w:tl2br w:val="nil"/>
              <w:tr2bl w:val="nil"/>
            </w:tcBorders>
            <w:noWrap w:val="0"/>
            <w:vAlign w:val="center"/>
          </w:tcPr>
          <w:p w14:paraId="22CF93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98" w:type="pct"/>
            <w:tcBorders>
              <w:tl2br w:val="nil"/>
              <w:tr2bl w:val="nil"/>
            </w:tcBorders>
            <w:noWrap w:val="0"/>
            <w:vAlign w:val="center"/>
          </w:tcPr>
          <w:p w14:paraId="1CDAC2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632" w:type="pct"/>
            <w:tcBorders>
              <w:tl2br w:val="nil"/>
              <w:tr2bl w:val="nil"/>
            </w:tcBorders>
            <w:noWrap w:val="0"/>
            <w:vAlign w:val="center"/>
          </w:tcPr>
          <w:p w14:paraId="1B7D7B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70</w:t>
            </w:r>
          </w:p>
        </w:tc>
        <w:tc>
          <w:tcPr>
            <w:tcW w:w="626" w:type="pct"/>
            <w:tcBorders>
              <w:tl2br w:val="nil"/>
              <w:tr2bl w:val="nil"/>
            </w:tcBorders>
            <w:noWrap w:val="0"/>
            <w:vAlign w:val="center"/>
          </w:tcPr>
          <w:p w14:paraId="11FCB3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D3AA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restart"/>
            <w:tcBorders>
              <w:tl2br w:val="nil"/>
              <w:tr2bl w:val="nil"/>
            </w:tcBorders>
            <w:noWrap w:val="0"/>
            <w:vAlign w:val="center"/>
          </w:tcPr>
          <w:p w14:paraId="3D835B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T3厂房北侧柱状样土壤（厂内）</w:t>
            </w:r>
          </w:p>
        </w:tc>
        <w:tc>
          <w:tcPr>
            <w:tcW w:w="912" w:type="pct"/>
            <w:tcBorders>
              <w:tl2br w:val="nil"/>
              <w:tr2bl w:val="nil"/>
            </w:tcBorders>
            <w:noWrap w:val="0"/>
            <w:vAlign w:val="center"/>
          </w:tcPr>
          <w:p w14:paraId="2CCFEE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pH</w:t>
            </w:r>
          </w:p>
        </w:tc>
        <w:tc>
          <w:tcPr>
            <w:tcW w:w="682" w:type="pct"/>
            <w:tcBorders>
              <w:tl2br w:val="nil"/>
              <w:tr2bl w:val="nil"/>
            </w:tcBorders>
            <w:noWrap w:val="0"/>
            <w:vAlign w:val="center"/>
          </w:tcPr>
          <w:p w14:paraId="633560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6.52</w:t>
            </w:r>
          </w:p>
        </w:tc>
        <w:tc>
          <w:tcPr>
            <w:tcW w:w="764" w:type="pct"/>
            <w:tcBorders>
              <w:tl2br w:val="nil"/>
              <w:tr2bl w:val="nil"/>
            </w:tcBorders>
            <w:noWrap w:val="0"/>
            <w:vAlign w:val="center"/>
          </w:tcPr>
          <w:p w14:paraId="0D87C6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6.19</w:t>
            </w:r>
          </w:p>
        </w:tc>
        <w:tc>
          <w:tcPr>
            <w:tcW w:w="698" w:type="pct"/>
            <w:tcBorders>
              <w:tl2br w:val="nil"/>
              <w:tr2bl w:val="nil"/>
            </w:tcBorders>
            <w:noWrap w:val="0"/>
            <w:vAlign w:val="center"/>
          </w:tcPr>
          <w:p w14:paraId="18AEF2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6.22</w:t>
            </w:r>
          </w:p>
        </w:tc>
        <w:tc>
          <w:tcPr>
            <w:tcW w:w="632" w:type="pct"/>
            <w:tcBorders>
              <w:tl2br w:val="nil"/>
              <w:tr2bl w:val="nil"/>
            </w:tcBorders>
            <w:noWrap w:val="0"/>
            <w:vAlign w:val="center"/>
          </w:tcPr>
          <w:p w14:paraId="1C3A54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626" w:type="pct"/>
            <w:tcBorders>
              <w:tl2br w:val="nil"/>
              <w:tr2bl w:val="nil"/>
            </w:tcBorders>
            <w:noWrap w:val="0"/>
            <w:vAlign w:val="center"/>
          </w:tcPr>
          <w:p w14:paraId="2E79CC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33B63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vMerge w:val="continue"/>
            <w:tcBorders>
              <w:tl2br w:val="nil"/>
              <w:tr2bl w:val="nil"/>
            </w:tcBorders>
            <w:noWrap w:val="0"/>
            <w:vAlign w:val="center"/>
          </w:tcPr>
          <w:p w14:paraId="118199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912" w:type="pct"/>
            <w:tcBorders>
              <w:tl2br w:val="nil"/>
              <w:tr2bl w:val="nil"/>
            </w:tcBorders>
            <w:noWrap w:val="0"/>
            <w:vAlign w:val="center"/>
          </w:tcPr>
          <w:p w14:paraId="418814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石油烃（C</w:t>
            </w:r>
            <w:r>
              <w:rPr>
                <w:rFonts w:hint="default" w:ascii="Times New Roman" w:hAnsi="Times New Roman" w:eastAsia="宋体" w:cs="Times New Roman"/>
                <w:sz w:val="21"/>
                <w:szCs w:val="21"/>
                <w:highlight w:val="none"/>
                <w:vertAlign w:val="subscript"/>
                <w:lang w:eastAsia="zh-CN"/>
              </w:rPr>
              <w:t>10</w:t>
            </w:r>
            <w:r>
              <w:rPr>
                <w:rFonts w:hint="default" w:ascii="Times New Roman" w:hAnsi="Times New Roman" w:eastAsia="宋体" w:cs="Times New Roman"/>
                <w:sz w:val="21"/>
                <w:szCs w:val="21"/>
                <w:highlight w:val="none"/>
                <w:lang w:eastAsia="zh-CN"/>
              </w:rPr>
              <w:t>-C</w:t>
            </w:r>
            <w:r>
              <w:rPr>
                <w:rFonts w:hint="default" w:ascii="Times New Roman" w:hAnsi="Times New Roman" w:eastAsia="宋体" w:cs="Times New Roman"/>
                <w:sz w:val="21"/>
                <w:szCs w:val="21"/>
                <w:highlight w:val="none"/>
                <w:vertAlign w:val="subscript"/>
                <w:lang w:eastAsia="zh-CN"/>
              </w:rPr>
              <w:t>40</w:t>
            </w:r>
            <w:r>
              <w:rPr>
                <w:rFonts w:hint="default" w:ascii="Times New Roman" w:hAnsi="Times New Roman" w:eastAsia="宋体" w:cs="Times New Roman"/>
                <w:sz w:val="21"/>
                <w:szCs w:val="21"/>
                <w:highlight w:val="none"/>
                <w:lang w:eastAsia="zh-CN"/>
              </w:rPr>
              <w:t>）</w:t>
            </w:r>
          </w:p>
        </w:tc>
        <w:tc>
          <w:tcPr>
            <w:tcW w:w="682" w:type="pct"/>
            <w:tcBorders>
              <w:tl2br w:val="nil"/>
              <w:tr2bl w:val="nil"/>
            </w:tcBorders>
            <w:noWrap w:val="0"/>
            <w:vAlign w:val="center"/>
          </w:tcPr>
          <w:p w14:paraId="10B15C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70</w:t>
            </w:r>
          </w:p>
        </w:tc>
        <w:tc>
          <w:tcPr>
            <w:tcW w:w="764" w:type="pct"/>
            <w:tcBorders>
              <w:tl2br w:val="nil"/>
              <w:tr2bl w:val="nil"/>
            </w:tcBorders>
            <w:noWrap w:val="0"/>
            <w:vAlign w:val="center"/>
          </w:tcPr>
          <w:p w14:paraId="586AD8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63</w:t>
            </w:r>
          </w:p>
        </w:tc>
        <w:tc>
          <w:tcPr>
            <w:tcW w:w="698" w:type="pct"/>
            <w:tcBorders>
              <w:tl2br w:val="nil"/>
              <w:tr2bl w:val="nil"/>
            </w:tcBorders>
            <w:noWrap w:val="0"/>
            <w:vAlign w:val="center"/>
          </w:tcPr>
          <w:p w14:paraId="6A3FED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w:t>
            </w:r>
          </w:p>
        </w:tc>
        <w:tc>
          <w:tcPr>
            <w:tcW w:w="632" w:type="pct"/>
            <w:tcBorders>
              <w:tl2br w:val="nil"/>
              <w:tr2bl w:val="nil"/>
            </w:tcBorders>
            <w:noWrap w:val="0"/>
            <w:vAlign w:val="center"/>
          </w:tcPr>
          <w:p w14:paraId="19A345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4500</w:t>
            </w:r>
          </w:p>
        </w:tc>
        <w:tc>
          <w:tcPr>
            <w:tcW w:w="626" w:type="pct"/>
            <w:tcBorders>
              <w:tl2br w:val="nil"/>
              <w:tr2bl w:val="nil"/>
            </w:tcBorders>
            <w:noWrap w:val="0"/>
            <w:vAlign w:val="center"/>
          </w:tcPr>
          <w:p w14:paraId="3FB1FF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602D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83" w:type="pct"/>
            <w:tcBorders>
              <w:tl2br w:val="nil"/>
              <w:tr2bl w:val="nil"/>
            </w:tcBorders>
            <w:noWrap w:val="0"/>
            <w:vAlign w:val="center"/>
          </w:tcPr>
          <w:p w14:paraId="424505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备注</w:t>
            </w:r>
          </w:p>
        </w:tc>
        <w:tc>
          <w:tcPr>
            <w:tcW w:w="4316" w:type="pct"/>
            <w:gridSpan w:val="6"/>
            <w:tcBorders>
              <w:tl2br w:val="nil"/>
              <w:tr2bl w:val="nil"/>
            </w:tcBorders>
            <w:noWrap w:val="0"/>
            <w:vAlign w:val="center"/>
          </w:tcPr>
          <w:p w14:paraId="042D5A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执行《土壤环境质量 建设用地土壤污染风险管控标准（试行）》（GB 36600-2018）</w:t>
            </w:r>
          </w:p>
        </w:tc>
      </w:tr>
    </w:tbl>
    <w:p w14:paraId="4B567DB3">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b/>
          <w:bCs/>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表5</w:t>
      </w:r>
      <w:r>
        <w:rPr>
          <w:rFonts w:hint="default" w:ascii="Times New Roman" w:hAnsi="Times New Roman" w:eastAsia="宋体" w:cs="Times New Roman"/>
          <w:b/>
          <w:bCs/>
          <w:sz w:val="24"/>
          <w:szCs w:val="24"/>
          <w:highlight w:val="none"/>
          <w:lang w:val="en-US" w:eastAsia="zh-CN"/>
        </w:rPr>
        <w:t>.2-</w:t>
      </w:r>
      <w:r>
        <w:rPr>
          <w:rFonts w:hint="eastAsia" w:ascii="Times New Roman" w:hAnsi="Times New Roman" w:eastAsia="宋体" w:cs="Times New Roman"/>
          <w:b/>
          <w:bCs/>
          <w:sz w:val="24"/>
          <w:szCs w:val="24"/>
          <w:highlight w:val="none"/>
          <w:lang w:val="en-US" w:eastAsia="zh-CN"/>
        </w:rPr>
        <w:t>1</w:t>
      </w:r>
      <w:r>
        <w:rPr>
          <w:rFonts w:hint="eastAsia" w:eastAsia="宋体" w:cs="Times New Roman"/>
          <w:b/>
          <w:bCs/>
          <w:sz w:val="24"/>
          <w:szCs w:val="24"/>
          <w:highlight w:val="none"/>
          <w:lang w:val="en-US" w:eastAsia="zh-CN"/>
        </w:rPr>
        <w:t>4</w:t>
      </w:r>
      <w:r>
        <w:rPr>
          <w:rFonts w:hint="default" w:ascii="Times New Roman" w:hAnsi="Times New Roman" w:eastAsia="宋体" w:cs="Times New Roman"/>
          <w:b/>
          <w:bCs/>
          <w:sz w:val="24"/>
          <w:szCs w:val="24"/>
          <w:highlight w:val="none"/>
          <w:lang w:val="en-US" w:eastAsia="zh-CN"/>
        </w:rPr>
        <w:t xml:space="preserve"> </w:t>
      </w:r>
      <w:r>
        <w:rPr>
          <w:rFonts w:hint="eastAsia" w:ascii="Times New Roman" w:hAnsi="Times New Roman" w:eastAsia="宋体" w:cs="Times New Roman"/>
          <w:b/>
          <w:bCs/>
          <w:sz w:val="24"/>
          <w:szCs w:val="24"/>
          <w:highlight w:val="none"/>
          <w:lang w:val="en-US" w:eastAsia="zh-CN"/>
        </w:rPr>
        <w:t xml:space="preserve"> 土壤表层样检测</w:t>
      </w:r>
      <w:r>
        <w:rPr>
          <w:rFonts w:hint="default" w:ascii="Times New Roman" w:hAnsi="Times New Roman" w:eastAsia="宋体" w:cs="Times New Roman"/>
          <w:b/>
          <w:bCs/>
          <w:sz w:val="24"/>
          <w:szCs w:val="24"/>
          <w:highlight w:val="none"/>
          <w:lang w:val="en-US" w:eastAsia="zh-CN"/>
        </w:rPr>
        <w:t>结果</w:t>
      </w:r>
    </w:p>
    <w:tbl>
      <w:tblPr>
        <w:tblStyle w:val="23"/>
        <w:tblpPr w:leftFromText="180" w:rightFromText="180" w:vertAnchor="text" w:tblpXSpec="center" w:tblpY="1"/>
        <w:tblOverlap w:val="never"/>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2033"/>
        <w:gridCol w:w="2113"/>
        <w:gridCol w:w="1425"/>
        <w:gridCol w:w="1427"/>
      </w:tblGrid>
      <w:tr w14:paraId="21FAB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restart"/>
            <w:tcBorders>
              <w:tl2br w:val="nil"/>
              <w:tr2bl w:val="nil"/>
            </w:tcBorders>
            <w:noWrap w:val="0"/>
            <w:vAlign w:val="center"/>
          </w:tcPr>
          <w:p w14:paraId="6200EC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检测点位</w:t>
            </w:r>
          </w:p>
        </w:tc>
        <w:tc>
          <w:tcPr>
            <w:tcW w:w="1194" w:type="pct"/>
            <w:vMerge w:val="restart"/>
            <w:tcBorders>
              <w:tl2br w:val="nil"/>
              <w:tr2bl w:val="nil"/>
            </w:tcBorders>
            <w:noWrap w:val="0"/>
            <w:vAlign w:val="center"/>
          </w:tcPr>
          <w:p w14:paraId="1A54E7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检测因子</w:t>
            </w:r>
          </w:p>
        </w:tc>
        <w:tc>
          <w:tcPr>
            <w:tcW w:w="1241" w:type="pct"/>
            <w:tcBorders>
              <w:tl2br w:val="nil"/>
              <w:tr2bl w:val="nil"/>
            </w:tcBorders>
            <w:noWrap w:val="0"/>
            <w:vAlign w:val="center"/>
          </w:tcPr>
          <w:p w14:paraId="6F487C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采样日期及检测结果（单位：mg/kg，pH无量纲）</w:t>
            </w:r>
          </w:p>
        </w:tc>
        <w:tc>
          <w:tcPr>
            <w:tcW w:w="837" w:type="pct"/>
            <w:vMerge w:val="restart"/>
            <w:tcBorders>
              <w:tl2br w:val="nil"/>
              <w:tr2bl w:val="nil"/>
            </w:tcBorders>
            <w:noWrap w:val="0"/>
            <w:vAlign w:val="center"/>
          </w:tcPr>
          <w:p w14:paraId="1F5989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限值</w:t>
            </w:r>
          </w:p>
        </w:tc>
        <w:tc>
          <w:tcPr>
            <w:tcW w:w="837" w:type="pct"/>
            <w:vMerge w:val="restart"/>
            <w:tcBorders>
              <w:tl2br w:val="nil"/>
              <w:tr2bl w:val="nil"/>
            </w:tcBorders>
            <w:noWrap w:val="0"/>
            <w:vAlign w:val="center"/>
          </w:tcPr>
          <w:p w14:paraId="6264CE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是否达标</w:t>
            </w:r>
          </w:p>
        </w:tc>
      </w:tr>
      <w:tr w14:paraId="38ACC7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49B07C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vMerge w:val="continue"/>
            <w:tcBorders>
              <w:tl2br w:val="nil"/>
              <w:tr2bl w:val="nil"/>
            </w:tcBorders>
            <w:noWrap w:val="0"/>
            <w:vAlign w:val="center"/>
          </w:tcPr>
          <w:p w14:paraId="1C0104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241" w:type="pct"/>
            <w:tcBorders>
              <w:tl2br w:val="nil"/>
              <w:tr2bl w:val="nil"/>
            </w:tcBorders>
            <w:noWrap w:val="0"/>
            <w:vAlign w:val="center"/>
          </w:tcPr>
          <w:p w14:paraId="000117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2025.03.</w:t>
            </w:r>
            <w:r>
              <w:rPr>
                <w:rFonts w:hint="default" w:ascii="Times New Roman" w:hAnsi="Times New Roman" w:eastAsia="宋体" w:cs="Times New Roman"/>
                <w:sz w:val="21"/>
                <w:szCs w:val="21"/>
                <w:highlight w:val="none"/>
                <w:lang w:val="en-US" w:eastAsia="zh-CN"/>
              </w:rPr>
              <w:t>25</w:t>
            </w:r>
          </w:p>
        </w:tc>
        <w:tc>
          <w:tcPr>
            <w:tcW w:w="837" w:type="pct"/>
            <w:vMerge w:val="continue"/>
            <w:tcBorders>
              <w:tl2br w:val="nil"/>
              <w:tr2bl w:val="nil"/>
            </w:tcBorders>
            <w:noWrap w:val="0"/>
            <w:vAlign w:val="center"/>
          </w:tcPr>
          <w:p w14:paraId="7774D6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837" w:type="pct"/>
            <w:vMerge w:val="continue"/>
            <w:tcBorders>
              <w:tl2br w:val="nil"/>
              <w:tr2bl w:val="nil"/>
            </w:tcBorders>
            <w:noWrap w:val="0"/>
            <w:vAlign w:val="center"/>
          </w:tcPr>
          <w:p w14:paraId="461624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r>
      <w:tr w14:paraId="3ABCD8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restart"/>
            <w:tcBorders>
              <w:tl2br w:val="nil"/>
              <w:tr2bl w:val="nil"/>
            </w:tcBorders>
            <w:noWrap w:val="0"/>
            <w:vAlign w:val="center"/>
          </w:tcPr>
          <w:p w14:paraId="3362FE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T4厂房西侧表层土壤</w:t>
            </w:r>
          </w:p>
          <w:p w14:paraId="685039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（厂内）</w:t>
            </w:r>
          </w:p>
        </w:tc>
        <w:tc>
          <w:tcPr>
            <w:tcW w:w="1194" w:type="pct"/>
            <w:tcBorders>
              <w:tl2br w:val="nil"/>
              <w:tr2bl w:val="nil"/>
            </w:tcBorders>
            <w:noWrap w:val="0"/>
            <w:vAlign w:val="center"/>
          </w:tcPr>
          <w:p w14:paraId="699A70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pH</w:t>
            </w:r>
          </w:p>
        </w:tc>
        <w:tc>
          <w:tcPr>
            <w:tcW w:w="1241" w:type="pct"/>
            <w:tcBorders>
              <w:tl2br w:val="nil"/>
              <w:tr2bl w:val="nil"/>
            </w:tcBorders>
            <w:noWrap w:val="0"/>
            <w:vAlign w:val="center"/>
          </w:tcPr>
          <w:p w14:paraId="0B5F5C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6.23</w:t>
            </w:r>
          </w:p>
        </w:tc>
        <w:tc>
          <w:tcPr>
            <w:tcW w:w="837" w:type="pct"/>
            <w:tcBorders>
              <w:tl2br w:val="nil"/>
              <w:tr2bl w:val="nil"/>
            </w:tcBorders>
            <w:noWrap w:val="0"/>
            <w:vAlign w:val="center"/>
          </w:tcPr>
          <w:p w14:paraId="64F538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37" w:type="pct"/>
            <w:tcBorders>
              <w:tl2br w:val="nil"/>
              <w:tr2bl w:val="nil"/>
            </w:tcBorders>
            <w:noWrap w:val="0"/>
            <w:vAlign w:val="center"/>
          </w:tcPr>
          <w:p w14:paraId="1E7714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C917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6C02C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36E41B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石油烃（C</w:t>
            </w:r>
            <w:r>
              <w:rPr>
                <w:rFonts w:hint="default" w:ascii="Times New Roman" w:hAnsi="Times New Roman" w:eastAsia="宋体" w:cs="Times New Roman"/>
                <w:sz w:val="21"/>
                <w:szCs w:val="21"/>
                <w:highlight w:val="none"/>
                <w:vertAlign w:val="subscript"/>
                <w:lang w:eastAsia="zh-CN"/>
              </w:rPr>
              <w:t>10</w:t>
            </w:r>
            <w:r>
              <w:rPr>
                <w:rFonts w:hint="default" w:ascii="Times New Roman" w:hAnsi="Times New Roman" w:eastAsia="宋体" w:cs="Times New Roman"/>
                <w:sz w:val="21"/>
                <w:szCs w:val="21"/>
                <w:highlight w:val="none"/>
                <w:lang w:eastAsia="zh-CN"/>
              </w:rPr>
              <w:t>-C</w:t>
            </w:r>
            <w:r>
              <w:rPr>
                <w:rFonts w:hint="default" w:ascii="Times New Roman" w:hAnsi="Times New Roman" w:eastAsia="宋体" w:cs="Times New Roman"/>
                <w:sz w:val="21"/>
                <w:szCs w:val="21"/>
                <w:highlight w:val="none"/>
                <w:vertAlign w:val="subscript"/>
                <w:lang w:eastAsia="zh-CN"/>
              </w:rPr>
              <w:t>40</w:t>
            </w:r>
            <w:r>
              <w:rPr>
                <w:rFonts w:hint="default" w:ascii="Times New Roman" w:hAnsi="Times New Roman" w:eastAsia="宋体" w:cs="Times New Roman"/>
                <w:sz w:val="21"/>
                <w:szCs w:val="21"/>
                <w:highlight w:val="none"/>
                <w:lang w:eastAsia="zh-CN"/>
              </w:rPr>
              <w:t>）</w:t>
            </w:r>
          </w:p>
        </w:tc>
        <w:tc>
          <w:tcPr>
            <w:tcW w:w="1241" w:type="pct"/>
            <w:tcBorders>
              <w:tl2br w:val="nil"/>
              <w:tr2bl w:val="nil"/>
            </w:tcBorders>
            <w:noWrap w:val="0"/>
            <w:vAlign w:val="center"/>
          </w:tcPr>
          <w:p w14:paraId="74F6AA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61</w:t>
            </w:r>
          </w:p>
        </w:tc>
        <w:tc>
          <w:tcPr>
            <w:tcW w:w="837" w:type="pct"/>
            <w:tcBorders>
              <w:tl2br w:val="nil"/>
              <w:tr2bl w:val="nil"/>
            </w:tcBorders>
            <w:noWrap w:val="0"/>
            <w:vAlign w:val="center"/>
          </w:tcPr>
          <w:p w14:paraId="1DB897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4500</w:t>
            </w:r>
          </w:p>
        </w:tc>
        <w:tc>
          <w:tcPr>
            <w:tcW w:w="837" w:type="pct"/>
            <w:tcBorders>
              <w:tl2br w:val="nil"/>
              <w:tr2bl w:val="nil"/>
            </w:tcBorders>
            <w:noWrap w:val="0"/>
            <w:vAlign w:val="center"/>
          </w:tcPr>
          <w:p w14:paraId="5BF8D6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C9BB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10AD2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364A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铜</w:t>
            </w:r>
          </w:p>
        </w:tc>
        <w:tc>
          <w:tcPr>
            <w:tcW w:w="1241" w:type="pct"/>
            <w:tcBorders>
              <w:tl2br w:val="nil"/>
              <w:tr2bl w:val="nil"/>
            </w:tcBorders>
            <w:noWrap w:val="0"/>
            <w:vAlign w:val="center"/>
          </w:tcPr>
          <w:p w14:paraId="570C6B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34</w:t>
            </w:r>
          </w:p>
        </w:tc>
        <w:tc>
          <w:tcPr>
            <w:tcW w:w="837" w:type="pct"/>
            <w:tcBorders>
              <w:tl2br w:val="nil"/>
              <w:tr2bl w:val="nil"/>
            </w:tcBorders>
            <w:noWrap w:val="0"/>
            <w:vAlign w:val="center"/>
          </w:tcPr>
          <w:p w14:paraId="2E5FE2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18000</w:t>
            </w:r>
          </w:p>
        </w:tc>
        <w:tc>
          <w:tcPr>
            <w:tcW w:w="837" w:type="pct"/>
            <w:tcBorders>
              <w:tl2br w:val="nil"/>
              <w:tr2bl w:val="nil"/>
            </w:tcBorders>
            <w:noWrap w:val="0"/>
            <w:vAlign w:val="center"/>
          </w:tcPr>
          <w:p w14:paraId="396107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742E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37906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1EDD4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镉</w:t>
            </w:r>
          </w:p>
        </w:tc>
        <w:tc>
          <w:tcPr>
            <w:tcW w:w="1241" w:type="pct"/>
            <w:tcBorders>
              <w:tl2br w:val="nil"/>
              <w:tr2bl w:val="nil"/>
            </w:tcBorders>
            <w:noWrap w:val="0"/>
            <w:vAlign w:val="center"/>
          </w:tcPr>
          <w:p w14:paraId="739FE0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0.1</w:t>
            </w:r>
            <w:r>
              <w:rPr>
                <w:rFonts w:hint="default" w:ascii="Times New Roman" w:hAnsi="Times New Roman" w:eastAsia="宋体" w:cs="Times New Roman"/>
                <w:sz w:val="21"/>
                <w:szCs w:val="21"/>
                <w:highlight w:val="none"/>
                <w:lang w:val="en-US" w:eastAsia="zh-CN"/>
              </w:rPr>
              <w:t>0</w:t>
            </w:r>
          </w:p>
        </w:tc>
        <w:tc>
          <w:tcPr>
            <w:tcW w:w="837" w:type="pct"/>
            <w:tcBorders>
              <w:tl2br w:val="nil"/>
              <w:tr2bl w:val="nil"/>
            </w:tcBorders>
            <w:noWrap w:val="0"/>
            <w:vAlign w:val="center"/>
          </w:tcPr>
          <w:p w14:paraId="77488F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65</w:t>
            </w:r>
          </w:p>
        </w:tc>
        <w:tc>
          <w:tcPr>
            <w:tcW w:w="837" w:type="pct"/>
            <w:tcBorders>
              <w:tl2br w:val="nil"/>
              <w:tr2bl w:val="nil"/>
            </w:tcBorders>
            <w:noWrap w:val="0"/>
            <w:vAlign w:val="center"/>
          </w:tcPr>
          <w:p w14:paraId="1C30B9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E896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2FDEF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6D9D3C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六价铬</w:t>
            </w:r>
          </w:p>
        </w:tc>
        <w:tc>
          <w:tcPr>
            <w:tcW w:w="1241" w:type="pct"/>
            <w:tcBorders>
              <w:tl2br w:val="nil"/>
              <w:tr2bl w:val="nil"/>
            </w:tcBorders>
            <w:noWrap w:val="0"/>
            <w:vAlign w:val="center"/>
          </w:tcPr>
          <w:p w14:paraId="32DC26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651FAD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5.7</w:t>
            </w:r>
          </w:p>
        </w:tc>
        <w:tc>
          <w:tcPr>
            <w:tcW w:w="837" w:type="pct"/>
            <w:tcBorders>
              <w:tl2br w:val="nil"/>
              <w:tr2bl w:val="nil"/>
            </w:tcBorders>
            <w:noWrap w:val="0"/>
            <w:vAlign w:val="center"/>
          </w:tcPr>
          <w:p w14:paraId="77CBF7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C6AD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32B8C7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45E103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砷</w:t>
            </w:r>
          </w:p>
        </w:tc>
        <w:tc>
          <w:tcPr>
            <w:tcW w:w="1241" w:type="pct"/>
            <w:tcBorders>
              <w:tl2br w:val="nil"/>
              <w:tr2bl w:val="nil"/>
            </w:tcBorders>
            <w:noWrap w:val="0"/>
            <w:vAlign w:val="center"/>
          </w:tcPr>
          <w:p w14:paraId="597261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1</w:t>
            </w:r>
            <w:r>
              <w:rPr>
                <w:rFonts w:hint="default" w:ascii="Times New Roman" w:hAnsi="Times New Roman" w:eastAsia="宋体" w:cs="Times New Roman"/>
                <w:sz w:val="21"/>
                <w:szCs w:val="21"/>
                <w:highlight w:val="none"/>
                <w:lang w:val="en-US" w:eastAsia="zh-CN"/>
              </w:rPr>
              <w:t>2.5</w:t>
            </w:r>
          </w:p>
        </w:tc>
        <w:tc>
          <w:tcPr>
            <w:tcW w:w="837" w:type="pct"/>
            <w:tcBorders>
              <w:tl2br w:val="nil"/>
              <w:tr2bl w:val="nil"/>
            </w:tcBorders>
            <w:noWrap w:val="0"/>
            <w:vAlign w:val="center"/>
          </w:tcPr>
          <w:p w14:paraId="0E626A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60</w:t>
            </w:r>
          </w:p>
        </w:tc>
        <w:tc>
          <w:tcPr>
            <w:tcW w:w="837" w:type="pct"/>
            <w:tcBorders>
              <w:tl2br w:val="nil"/>
              <w:tr2bl w:val="nil"/>
            </w:tcBorders>
            <w:noWrap w:val="0"/>
            <w:vAlign w:val="center"/>
          </w:tcPr>
          <w:p w14:paraId="12A423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5206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2B366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09C59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汞</w:t>
            </w:r>
          </w:p>
        </w:tc>
        <w:tc>
          <w:tcPr>
            <w:tcW w:w="1241" w:type="pct"/>
            <w:tcBorders>
              <w:tl2br w:val="nil"/>
              <w:tr2bl w:val="nil"/>
            </w:tcBorders>
            <w:noWrap w:val="0"/>
            <w:vAlign w:val="center"/>
          </w:tcPr>
          <w:p w14:paraId="565DDD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0.1</w:t>
            </w:r>
            <w:r>
              <w:rPr>
                <w:rFonts w:hint="default" w:ascii="Times New Roman" w:hAnsi="Times New Roman" w:eastAsia="宋体" w:cs="Times New Roman"/>
                <w:sz w:val="21"/>
                <w:szCs w:val="21"/>
                <w:highlight w:val="none"/>
                <w:lang w:val="en-US" w:eastAsia="zh-CN"/>
              </w:rPr>
              <w:t>19</w:t>
            </w:r>
          </w:p>
        </w:tc>
        <w:tc>
          <w:tcPr>
            <w:tcW w:w="837" w:type="pct"/>
            <w:tcBorders>
              <w:tl2br w:val="nil"/>
              <w:tr2bl w:val="nil"/>
            </w:tcBorders>
            <w:noWrap w:val="0"/>
            <w:vAlign w:val="center"/>
          </w:tcPr>
          <w:p w14:paraId="0D6468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38</w:t>
            </w:r>
          </w:p>
        </w:tc>
        <w:tc>
          <w:tcPr>
            <w:tcW w:w="837" w:type="pct"/>
            <w:tcBorders>
              <w:tl2br w:val="nil"/>
              <w:tr2bl w:val="nil"/>
            </w:tcBorders>
            <w:noWrap w:val="0"/>
            <w:vAlign w:val="center"/>
          </w:tcPr>
          <w:p w14:paraId="7FCAC2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A7E0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1BB739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4584B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镍</w:t>
            </w:r>
          </w:p>
        </w:tc>
        <w:tc>
          <w:tcPr>
            <w:tcW w:w="1241" w:type="pct"/>
            <w:tcBorders>
              <w:tl2br w:val="nil"/>
              <w:tr2bl w:val="nil"/>
            </w:tcBorders>
            <w:noWrap w:val="0"/>
            <w:vAlign w:val="center"/>
          </w:tcPr>
          <w:p w14:paraId="07AA1B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3</w:t>
            </w:r>
            <w:r>
              <w:rPr>
                <w:rFonts w:hint="default" w:ascii="Times New Roman" w:hAnsi="Times New Roman" w:eastAsia="宋体" w:cs="Times New Roman"/>
                <w:sz w:val="21"/>
                <w:szCs w:val="21"/>
                <w:highlight w:val="none"/>
                <w:lang w:val="en-US" w:eastAsia="zh-CN"/>
              </w:rPr>
              <w:t>5</w:t>
            </w:r>
          </w:p>
        </w:tc>
        <w:tc>
          <w:tcPr>
            <w:tcW w:w="837" w:type="pct"/>
            <w:tcBorders>
              <w:tl2br w:val="nil"/>
              <w:tr2bl w:val="nil"/>
            </w:tcBorders>
            <w:noWrap w:val="0"/>
            <w:vAlign w:val="center"/>
          </w:tcPr>
          <w:p w14:paraId="3A868B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900</w:t>
            </w:r>
          </w:p>
        </w:tc>
        <w:tc>
          <w:tcPr>
            <w:tcW w:w="837" w:type="pct"/>
            <w:tcBorders>
              <w:tl2br w:val="nil"/>
              <w:tr2bl w:val="nil"/>
            </w:tcBorders>
            <w:noWrap w:val="0"/>
            <w:vAlign w:val="center"/>
          </w:tcPr>
          <w:p w14:paraId="49BC1D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32B8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DF231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613C02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铅</w:t>
            </w:r>
          </w:p>
        </w:tc>
        <w:tc>
          <w:tcPr>
            <w:tcW w:w="1241" w:type="pct"/>
            <w:tcBorders>
              <w:tl2br w:val="nil"/>
              <w:tr2bl w:val="nil"/>
            </w:tcBorders>
            <w:noWrap w:val="0"/>
            <w:vAlign w:val="center"/>
          </w:tcPr>
          <w:p w14:paraId="20776D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28</w:t>
            </w:r>
          </w:p>
        </w:tc>
        <w:tc>
          <w:tcPr>
            <w:tcW w:w="837" w:type="pct"/>
            <w:tcBorders>
              <w:tl2br w:val="nil"/>
              <w:tr2bl w:val="nil"/>
            </w:tcBorders>
            <w:noWrap w:val="0"/>
            <w:vAlign w:val="center"/>
          </w:tcPr>
          <w:p w14:paraId="42ACD2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800</w:t>
            </w:r>
          </w:p>
        </w:tc>
        <w:tc>
          <w:tcPr>
            <w:tcW w:w="837" w:type="pct"/>
            <w:tcBorders>
              <w:tl2br w:val="nil"/>
              <w:tr2bl w:val="nil"/>
            </w:tcBorders>
            <w:noWrap w:val="0"/>
            <w:vAlign w:val="center"/>
          </w:tcPr>
          <w:p w14:paraId="0475E1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70662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8B4D3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3EC1A7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四氯化碳</w:t>
            </w:r>
          </w:p>
        </w:tc>
        <w:tc>
          <w:tcPr>
            <w:tcW w:w="1241" w:type="pct"/>
            <w:tcBorders>
              <w:tl2br w:val="nil"/>
              <w:tr2bl w:val="nil"/>
            </w:tcBorders>
            <w:noWrap w:val="0"/>
            <w:vAlign w:val="center"/>
          </w:tcPr>
          <w:p w14:paraId="352707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312818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837" w:type="pct"/>
            <w:tcBorders>
              <w:tl2br w:val="nil"/>
              <w:tr2bl w:val="nil"/>
            </w:tcBorders>
            <w:noWrap w:val="0"/>
            <w:vAlign w:val="center"/>
          </w:tcPr>
          <w:p w14:paraId="6B99A8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FBFC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159B2A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63CEB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氯仿</w:t>
            </w:r>
          </w:p>
        </w:tc>
        <w:tc>
          <w:tcPr>
            <w:tcW w:w="1241" w:type="pct"/>
            <w:tcBorders>
              <w:tl2br w:val="nil"/>
              <w:tr2bl w:val="nil"/>
            </w:tcBorders>
            <w:noWrap w:val="0"/>
            <w:vAlign w:val="center"/>
          </w:tcPr>
          <w:p w14:paraId="7EC7AD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0BA827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0.9</w:t>
            </w:r>
          </w:p>
        </w:tc>
        <w:tc>
          <w:tcPr>
            <w:tcW w:w="837" w:type="pct"/>
            <w:tcBorders>
              <w:tl2br w:val="nil"/>
              <w:tr2bl w:val="nil"/>
            </w:tcBorders>
            <w:noWrap w:val="0"/>
            <w:vAlign w:val="center"/>
          </w:tcPr>
          <w:p w14:paraId="40EF70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83CE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4C245A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515CC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氯甲烷</w:t>
            </w:r>
          </w:p>
        </w:tc>
        <w:tc>
          <w:tcPr>
            <w:tcW w:w="1241" w:type="pct"/>
            <w:tcBorders>
              <w:tl2br w:val="nil"/>
              <w:tr2bl w:val="nil"/>
            </w:tcBorders>
            <w:noWrap w:val="0"/>
            <w:vAlign w:val="center"/>
          </w:tcPr>
          <w:p w14:paraId="45D2E7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3B3472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37</w:t>
            </w:r>
          </w:p>
        </w:tc>
        <w:tc>
          <w:tcPr>
            <w:tcW w:w="837" w:type="pct"/>
            <w:tcBorders>
              <w:tl2br w:val="nil"/>
              <w:tr2bl w:val="nil"/>
            </w:tcBorders>
            <w:noWrap w:val="0"/>
            <w:vAlign w:val="center"/>
          </w:tcPr>
          <w:p w14:paraId="6601D2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4485F0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4A3641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433D2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1,1-二氯乙烷</w:t>
            </w:r>
          </w:p>
        </w:tc>
        <w:tc>
          <w:tcPr>
            <w:tcW w:w="1241" w:type="pct"/>
            <w:tcBorders>
              <w:tl2br w:val="nil"/>
              <w:tr2bl w:val="nil"/>
            </w:tcBorders>
            <w:noWrap w:val="0"/>
            <w:vAlign w:val="center"/>
          </w:tcPr>
          <w:p w14:paraId="53DA2B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52938F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9</w:t>
            </w:r>
          </w:p>
        </w:tc>
        <w:tc>
          <w:tcPr>
            <w:tcW w:w="837" w:type="pct"/>
            <w:tcBorders>
              <w:tl2br w:val="nil"/>
              <w:tr2bl w:val="nil"/>
            </w:tcBorders>
            <w:noWrap w:val="0"/>
            <w:vAlign w:val="center"/>
          </w:tcPr>
          <w:p w14:paraId="1CA15A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3FA2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45CD61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63EA2B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1,2-二氯乙烷</w:t>
            </w:r>
          </w:p>
        </w:tc>
        <w:tc>
          <w:tcPr>
            <w:tcW w:w="1241" w:type="pct"/>
            <w:tcBorders>
              <w:tl2br w:val="nil"/>
              <w:tr2bl w:val="nil"/>
            </w:tcBorders>
            <w:noWrap w:val="0"/>
            <w:vAlign w:val="center"/>
          </w:tcPr>
          <w:p w14:paraId="7515C4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0AFBAE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w:t>
            </w:r>
          </w:p>
        </w:tc>
        <w:tc>
          <w:tcPr>
            <w:tcW w:w="837" w:type="pct"/>
            <w:tcBorders>
              <w:tl2br w:val="nil"/>
              <w:tr2bl w:val="nil"/>
            </w:tcBorders>
            <w:noWrap w:val="0"/>
            <w:vAlign w:val="center"/>
          </w:tcPr>
          <w:p w14:paraId="6D262D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82FE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69F78A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3C2766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1,1-二氯乙烯</w:t>
            </w:r>
          </w:p>
        </w:tc>
        <w:tc>
          <w:tcPr>
            <w:tcW w:w="1241" w:type="pct"/>
            <w:tcBorders>
              <w:tl2br w:val="nil"/>
              <w:tr2bl w:val="nil"/>
            </w:tcBorders>
            <w:noWrap w:val="0"/>
            <w:vAlign w:val="center"/>
          </w:tcPr>
          <w:p w14:paraId="155A9D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27D452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66</w:t>
            </w:r>
          </w:p>
        </w:tc>
        <w:tc>
          <w:tcPr>
            <w:tcW w:w="837" w:type="pct"/>
            <w:tcBorders>
              <w:tl2br w:val="nil"/>
              <w:tr2bl w:val="nil"/>
            </w:tcBorders>
            <w:noWrap w:val="0"/>
            <w:vAlign w:val="center"/>
          </w:tcPr>
          <w:p w14:paraId="07CA81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2F70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139711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2A827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顺-1,2-二氯乙烯</w:t>
            </w:r>
          </w:p>
        </w:tc>
        <w:tc>
          <w:tcPr>
            <w:tcW w:w="1241" w:type="pct"/>
            <w:tcBorders>
              <w:tl2br w:val="nil"/>
              <w:tr2bl w:val="nil"/>
            </w:tcBorders>
            <w:noWrap w:val="0"/>
            <w:vAlign w:val="center"/>
          </w:tcPr>
          <w:p w14:paraId="3E29EA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738E18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596</w:t>
            </w:r>
          </w:p>
        </w:tc>
        <w:tc>
          <w:tcPr>
            <w:tcW w:w="837" w:type="pct"/>
            <w:tcBorders>
              <w:tl2br w:val="nil"/>
              <w:tr2bl w:val="nil"/>
            </w:tcBorders>
            <w:noWrap w:val="0"/>
            <w:vAlign w:val="center"/>
          </w:tcPr>
          <w:p w14:paraId="18BA2C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BE48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1E11F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6D8DA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反-1,2-二氯乙烯</w:t>
            </w:r>
          </w:p>
        </w:tc>
        <w:tc>
          <w:tcPr>
            <w:tcW w:w="1241" w:type="pct"/>
            <w:tcBorders>
              <w:tl2br w:val="nil"/>
              <w:tr2bl w:val="nil"/>
            </w:tcBorders>
            <w:noWrap w:val="0"/>
            <w:vAlign w:val="center"/>
          </w:tcPr>
          <w:p w14:paraId="2803CC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49D956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54</w:t>
            </w:r>
          </w:p>
        </w:tc>
        <w:tc>
          <w:tcPr>
            <w:tcW w:w="837" w:type="pct"/>
            <w:tcBorders>
              <w:tl2br w:val="nil"/>
              <w:tr2bl w:val="nil"/>
            </w:tcBorders>
            <w:noWrap w:val="0"/>
            <w:vAlign w:val="center"/>
          </w:tcPr>
          <w:p w14:paraId="7C9D37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80DC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67D82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39E30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二氯甲烷</w:t>
            </w:r>
          </w:p>
        </w:tc>
        <w:tc>
          <w:tcPr>
            <w:tcW w:w="1241" w:type="pct"/>
            <w:tcBorders>
              <w:tl2br w:val="nil"/>
              <w:tr2bl w:val="nil"/>
            </w:tcBorders>
            <w:noWrap w:val="0"/>
            <w:vAlign w:val="center"/>
          </w:tcPr>
          <w:p w14:paraId="05C860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351605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616</w:t>
            </w:r>
          </w:p>
        </w:tc>
        <w:tc>
          <w:tcPr>
            <w:tcW w:w="837" w:type="pct"/>
            <w:tcBorders>
              <w:tl2br w:val="nil"/>
              <w:tr2bl w:val="nil"/>
            </w:tcBorders>
            <w:noWrap w:val="0"/>
            <w:vAlign w:val="center"/>
          </w:tcPr>
          <w:p w14:paraId="5B5E56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2275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13A61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ACD90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1,2-二氯丙烷</w:t>
            </w:r>
          </w:p>
        </w:tc>
        <w:tc>
          <w:tcPr>
            <w:tcW w:w="1241" w:type="pct"/>
            <w:tcBorders>
              <w:tl2br w:val="nil"/>
              <w:tr2bl w:val="nil"/>
            </w:tcBorders>
            <w:noWrap w:val="0"/>
            <w:vAlign w:val="center"/>
          </w:tcPr>
          <w:p w14:paraId="408425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3252AD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w:t>
            </w:r>
          </w:p>
        </w:tc>
        <w:tc>
          <w:tcPr>
            <w:tcW w:w="837" w:type="pct"/>
            <w:tcBorders>
              <w:tl2br w:val="nil"/>
              <w:tr2bl w:val="nil"/>
            </w:tcBorders>
            <w:noWrap w:val="0"/>
            <w:vAlign w:val="center"/>
          </w:tcPr>
          <w:p w14:paraId="1F7793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E3F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9FE2B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AB524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1,1,1,2-四氯乙烷</w:t>
            </w:r>
          </w:p>
        </w:tc>
        <w:tc>
          <w:tcPr>
            <w:tcW w:w="1241" w:type="pct"/>
            <w:tcBorders>
              <w:tl2br w:val="nil"/>
              <w:tr2bl w:val="nil"/>
            </w:tcBorders>
            <w:noWrap w:val="0"/>
            <w:vAlign w:val="center"/>
          </w:tcPr>
          <w:p w14:paraId="38CB82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5382B8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10</w:t>
            </w:r>
          </w:p>
        </w:tc>
        <w:tc>
          <w:tcPr>
            <w:tcW w:w="837" w:type="pct"/>
            <w:tcBorders>
              <w:tl2br w:val="nil"/>
              <w:tr2bl w:val="nil"/>
            </w:tcBorders>
            <w:noWrap w:val="0"/>
            <w:vAlign w:val="center"/>
          </w:tcPr>
          <w:p w14:paraId="6609D1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CB0B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889" w:type="pct"/>
            <w:vMerge w:val="continue"/>
            <w:tcBorders>
              <w:tl2br w:val="nil"/>
              <w:tr2bl w:val="nil"/>
            </w:tcBorders>
            <w:noWrap w:val="0"/>
            <w:vAlign w:val="center"/>
          </w:tcPr>
          <w:p w14:paraId="7341B2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6DC4D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1,1,2,2-四氯乙烷</w:t>
            </w:r>
          </w:p>
        </w:tc>
        <w:tc>
          <w:tcPr>
            <w:tcW w:w="1241" w:type="pct"/>
            <w:tcBorders>
              <w:tl2br w:val="nil"/>
              <w:tr2bl w:val="nil"/>
            </w:tcBorders>
            <w:noWrap w:val="0"/>
            <w:vAlign w:val="center"/>
          </w:tcPr>
          <w:p w14:paraId="5D7E36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18707F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6.8</w:t>
            </w:r>
          </w:p>
        </w:tc>
        <w:tc>
          <w:tcPr>
            <w:tcW w:w="837" w:type="pct"/>
            <w:tcBorders>
              <w:tl2br w:val="nil"/>
              <w:tr2bl w:val="nil"/>
            </w:tcBorders>
            <w:noWrap w:val="0"/>
            <w:vAlign w:val="center"/>
          </w:tcPr>
          <w:p w14:paraId="1F167B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2182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C139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CA31E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四氯乙烯</w:t>
            </w:r>
          </w:p>
        </w:tc>
        <w:tc>
          <w:tcPr>
            <w:tcW w:w="1241" w:type="pct"/>
            <w:tcBorders>
              <w:tl2br w:val="nil"/>
              <w:tr2bl w:val="nil"/>
            </w:tcBorders>
            <w:noWrap w:val="0"/>
            <w:vAlign w:val="center"/>
          </w:tcPr>
          <w:p w14:paraId="63E67F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0826FF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53</w:t>
            </w:r>
          </w:p>
        </w:tc>
        <w:tc>
          <w:tcPr>
            <w:tcW w:w="837" w:type="pct"/>
            <w:tcBorders>
              <w:tl2br w:val="nil"/>
              <w:tr2bl w:val="nil"/>
            </w:tcBorders>
            <w:noWrap w:val="0"/>
            <w:vAlign w:val="center"/>
          </w:tcPr>
          <w:p w14:paraId="4E08B7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0BDA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889" w:type="pct"/>
            <w:vMerge w:val="continue"/>
            <w:tcBorders>
              <w:tl2br w:val="nil"/>
              <w:tr2bl w:val="nil"/>
            </w:tcBorders>
            <w:noWrap w:val="0"/>
            <w:vAlign w:val="center"/>
          </w:tcPr>
          <w:p w14:paraId="04524A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4AD40A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1,1,1-三氯乙烷</w:t>
            </w:r>
          </w:p>
        </w:tc>
        <w:tc>
          <w:tcPr>
            <w:tcW w:w="1241" w:type="pct"/>
            <w:tcBorders>
              <w:tl2br w:val="nil"/>
              <w:tr2bl w:val="nil"/>
            </w:tcBorders>
            <w:noWrap w:val="0"/>
            <w:vAlign w:val="center"/>
          </w:tcPr>
          <w:p w14:paraId="71069E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46C020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840</w:t>
            </w:r>
          </w:p>
        </w:tc>
        <w:tc>
          <w:tcPr>
            <w:tcW w:w="837" w:type="pct"/>
            <w:tcBorders>
              <w:tl2br w:val="nil"/>
              <w:tr2bl w:val="nil"/>
            </w:tcBorders>
            <w:noWrap w:val="0"/>
            <w:vAlign w:val="center"/>
          </w:tcPr>
          <w:p w14:paraId="5B574F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20EC1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1B6E6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64944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1,1,2-三氯乙烷</w:t>
            </w:r>
          </w:p>
        </w:tc>
        <w:tc>
          <w:tcPr>
            <w:tcW w:w="1241" w:type="pct"/>
            <w:tcBorders>
              <w:tl2br w:val="nil"/>
              <w:tr2bl w:val="nil"/>
            </w:tcBorders>
            <w:noWrap w:val="0"/>
            <w:vAlign w:val="center"/>
          </w:tcPr>
          <w:p w14:paraId="51B4E6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634DCB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837" w:type="pct"/>
            <w:tcBorders>
              <w:tl2br w:val="nil"/>
              <w:tr2bl w:val="nil"/>
            </w:tcBorders>
            <w:noWrap w:val="0"/>
            <w:vAlign w:val="center"/>
          </w:tcPr>
          <w:p w14:paraId="2C388C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0855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46B41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9E0C0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三氯乙烯</w:t>
            </w:r>
          </w:p>
        </w:tc>
        <w:tc>
          <w:tcPr>
            <w:tcW w:w="1241" w:type="pct"/>
            <w:tcBorders>
              <w:tl2br w:val="nil"/>
              <w:tr2bl w:val="nil"/>
            </w:tcBorders>
            <w:noWrap w:val="0"/>
            <w:vAlign w:val="center"/>
          </w:tcPr>
          <w:p w14:paraId="5D98A9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28A127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837" w:type="pct"/>
            <w:tcBorders>
              <w:tl2br w:val="nil"/>
              <w:tr2bl w:val="nil"/>
            </w:tcBorders>
            <w:noWrap w:val="0"/>
            <w:vAlign w:val="center"/>
          </w:tcPr>
          <w:p w14:paraId="12232B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A5A8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C7472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A35E7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1,2,3-三氯丙烷</w:t>
            </w:r>
          </w:p>
        </w:tc>
        <w:tc>
          <w:tcPr>
            <w:tcW w:w="1241" w:type="pct"/>
            <w:tcBorders>
              <w:tl2br w:val="nil"/>
              <w:tr2bl w:val="nil"/>
            </w:tcBorders>
            <w:noWrap w:val="0"/>
            <w:vAlign w:val="center"/>
          </w:tcPr>
          <w:p w14:paraId="382E0B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508DD4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0.5</w:t>
            </w:r>
          </w:p>
        </w:tc>
        <w:tc>
          <w:tcPr>
            <w:tcW w:w="837" w:type="pct"/>
            <w:tcBorders>
              <w:tl2br w:val="nil"/>
              <w:tr2bl w:val="nil"/>
            </w:tcBorders>
            <w:noWrap w:val="0"/>
            <w:vAlign w:val="center"/>
          </w:tcPr>
          <w:p w14:paraId="51037B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A390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B1A0E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3B875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氯乙烯</w:t>
            </w:r>
          </w:p>
        </w:tc>
        <w:tc>
          <w:tcPr>
            <w:tcW w:w="1241" w:type="pct"/>
            <w:tcBorders>
              <w:tl2br w:val="nil"/>
              <w:tr2bl w:val="nil"/>
            </w:tcBorders>
            <w:noWrap w:val="0"/>
            <w:vAlign w:val="center"/>
          </w:tcPr>
          <w:p w14:paraId="02FF56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219795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0.43</w:t>
            </w:r>
          </w:p>
        </w:tc>
        <w:tc>
          <w:tcPr>
            <w:tcW w:w="837" w:type="pct"/>
            <w:tcBorders>
              <w:tl2br w:val="nil"/>
              <w:tr2bl w:val="nil"/>
            </w:tcBorders>
            <w:noWrap w:val="0"/>
            <w:vAlign w:val="center"/>
          </w:tcPr>
          <w:p w14:paraId="7492E8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B541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A70FC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3D8501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w:t>
            </w:r>
          </w:p>
        </w:tc>
        <w:tc>
          <w:tcPr>
            <w:tcW w:w="1241" w:type="pct"/>
            <w:tcBorders>
              <w:tl2br w:val="nil"/>
              <w:tr2bl w:val="nil"/>
            </w:tcBorders>
            <w:noWrap w:val="0"/>
            <w:vAlign w:val="center"/>
          </w:tcPr>
          <w:p w14:paraId="6733BB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607176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4</w:t>
            </w:r>
          </w:p>
        </w:tc>
        <w:tc>
          <w:tcPr>
            <w:tcW w:w="837" w:type="pct"/>
            <w:tcBorders>
              <w:tl2br w:val="nil"/>
              <w:tr2bl w:val="nil"/>
            </w:tcBorders>
            <w:noWrap w:val="0"/>
            <w:vAlign w:val="center"/>
          </w:tcPr>
          <w:p w14:paraId="6E4709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B200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66FE2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F68A2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氯苯</w:t>
            </w:r>
          </w:p>
        </w:tc>
        <w:tc>
          <w:tcPr>
            <w:tcW w:w="1241" w:type="pct"/>
            <w:tcBorders>
              <w:tl2br w:val="nil"/>
              <w:tr2bl w:val="nil"/>
            </w:tcBorders>
            <w:noWrap w:val="0"/>
            <w:vAlign w:val="center"/>
          </w:tcPr>
          <w:p w14:paraId="160ECB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7AC721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270</w:t>
            </w:r>
          </w:p>
        </w:tc>
        <w:tc>
          <w:tcPr>
            <w:tcW w:w="837" w:type="pct"/>
            <w:tcBorders>
              <w:tl2br w:val="nil"/>
              <w:tr2bl w:val="nil"/>
            </w:tcBorders>
            <w:noWrap w:val="0"/>
            <w:vAlign w:val="center"/>
          </w:tcPr>
          <w:p w14:paraId="166CEF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9470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FAA76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4A7BB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1,2-二氯苯</w:t>
            </w:r>
          </w:p>
        </w:tc>
        <w:tc>
          <w:tcPr>
            <w:tcW w:w="1241" w:type="pct"/>
            <w:tcBorders>
              <w:tl2br w:val="nil"/>
              <w:tr2bl w:val="nil"/>
            </w:tcBorders>
            <w:noWrap w:val="0"/>
            <w:vAlign w:val="center"/>
          </w:tcPr>
          <w:p w14:paraId="21CE53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5148FD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560</w:t>
            </w:r>
          </w:p>
        </w:tc>
        <w:tc>
          <w:tcPr>
            <w:tcW w:w="837" w:type="pct"/>
            <w:tcBorders>
              <w:tl2br w:val="nil"/>
              <w:tr2bl w:val="nil"/>
            </w:tcBorders>
            <w:noWrap w:val="0"/>
            <w:vAlign w:val="center"/>
          </w:tcPr>
          <w:p w14:paraId="14DF9C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5CDD12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EC9D1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3498D5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1,4-二氯苯</w:t>
            </w:r>
          </w:p>
        </w:tc>
        <w:tc>
          <w:tcPr>
            <w:tcW w:w="1241" w:type="pct"/>
            <w:tcBorders>
              <w:tl2br w:val="nil"/>
              <w:tr2bl w:val="nil"/>
            </w:tcBorders>
            <w:noWrap w:val="0"/>
            <w:vAlign w:val="center"/>
          </w:tcPr>
          <w:p w14:paraId="25A7F1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25AC98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20</w:t>
            </w:r>
          </w:p>
        </w:tc>
        <w:tc>
          <w:tcPr>
            <w:tcW w:w="837" w:type="pct"/>
            <w:tcBorders>
              <w:tl2br w:val="nil"/>
              <w:tr2bl w:val="nil"/>
            </w:tcBorders>
            <w:noWrap w:val="0"/>
            <w:vAlign w:val="center"/>
          </w:tcPr>
          <w:p w14:paraId="6B9903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4FCB0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A8664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6F9398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乙苯</w:t>
            </w:r>
          </w:p>
        </w:tc>
        <w:tc>
          <w:tcPr>
            <w:tcW w:w="1241" w:type="pct"/>
            <w:tcBorders>
              <w:tl2br w:val="nil"/>
              <w:tr2bl w:val="nil"/>
            </w:tcBorders>
            <w:noWrap w:val="0"/>
            <w:vAlign w:val="center"/>
          </w:tcPr>
          <w:p w14:paraId="578A3F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4A9145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28</w:t>
            </w:r>
          </w:p>
        </w:tc>
        <w:tc>
          <w:tcPr>
            <w:tcW w:w="837" w:type="pct"/>
            <w:tcBorders>
              <w:tl2br w:val="nil"/>
              <w:tr2bl w:val="nil"/>
            </w:tcBorders>
            <w:noWrap w:val="0"/>
            <w:vAlign w:val="center"/>
          </w:tcPr>
          <w:p w14:paraId="5CC054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E444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4FDFC0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0B1BC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苯乙烯</w:t>
            </w:r>
          </w:p>
        </w:tc>
        <w:tc>
          <w:tcPr>
            <w:tcW w:w="1241" w:type="pct"/>
            <w:tcBorders>
              <w:tl2br w:val="nil"/>
              <w:tr2bl w:val="nil"/>
            </w:tcBorders>
            <w:noWrap w:val="0"/>
            <w:vAlign w:val="center"/>
          </w:tcPr>
          <w:p w14:paraId="448532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7A61B1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1290</w:t>
            </w:r>
          </w:p>
        </w:tc>
        <w:tc>
          <w:tcPr>
            <w:tcW w:w="837" w:type="pct"/>
            <w:tcBorders>
              <w:tl2br w:val="nil"/>
              <w:tr2bl w:val="nil"/>
            </w:tcBorders>
            <w:noWrap w:val="0"/>
            <w:vAlign w:val="center"/>
          </w:tcPr>
          <w:p w14:paraId="751E59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6A5CA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28F23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361FF2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甲苯</w:t>
            </w:r>
          </w:p>
        </w:tc>
        <w:tc>
          <w:tcPr>
            <w:tcW w:w="1241" w:type="pct"/>
            <w:tcBorders>
              <w:tl2br w:val="nil"/>
              <w:tr2bl w:val="nil"/>
            </w:tcBorders>
            <w:noWrap w:val="0"/>
            <w:vAlign w:val="center"/>
          </w:tcPr>
          <w:p w14:paraId="74294D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776DF4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1200</w:t>
            </w:r>
          </w:p>
        </w:tc>
        <w:tc>
          <w:tcPr>
            <w:tcW w:w="837" w:type="pct"/>
            <w:tcBorders>
              <w:tl2br w:val="nil"/>
              <w:tr2bl w:val="nil"/>
            </w:tcBorders>
            <w:noWrap w:val="0"/>
            <w:vAlign w:val="center"/>
          </w:tcPr>
          <w:p w14:paraId="160659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CAC8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81178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197475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间二甲苯、对二甲苯</w:t>
            </w:r>
          </w:p>
        </w:tc>
        <w:tc>
          <w:tcPr>
            <w:tcW w:w="1241" w:type="pct"/>
            <w:tcBorders>
              <w:tl2br w:val="nil"/>
              <w:tr2bl w:val="nil"/>
            </w:tcBorders>
            <w:noWrap w:val="0"/>
            <w:vAlign w:val="center"/>
          </w:tcPr>
          <w:p w14:paraId="7606A5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2B0F34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570</w:t>
            </w:r>
          </w:p>
        </w:tc>
        <w:tc>
          <w:tcPr>
            <w:tcW w:w="837" w:type="pct"/>
            <w:tcBorders>
              <w:tl2br w:val="nil"/>
              <w:tr2bl w:val="nil"/>
            </w:tcBorders>
            <w:noWrap w:val="0"/>
            <w:vAlign w:val="center"/>
          </w:tcPr>
          <w:p w14:paraId="250F44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D0FC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6AFB3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471051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邻二甲苯</w:t>
            </w:r>
          </w:p>
        </w:tc>
        <w:tc>
          <w:tcPr>
            <w:tcW w:w="1241" w:type="pct"/>
            <w:tcBorders>
              <w:tl2br w:val="nil"/>
              <w:tr2bl w:val="nil"/>
            </w:tcBorders>
            <w:noWrap w:val="0"/>
            <w:vAlign w:val="center"/>
          </w:tcPr>
          <w:p w14:paraId="558515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7FAA2B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640</w:t>
            </w:r>
          </w:p>
        </w:tc>
        <w:tc>
          <w:tcPr>
            <w:tcW w:w="837" w:type="pct"/>
            <w:tcBorders>
              <w:tl2br w:val="nil"/>
              <w:tr2bl w:val="nil"/>
            </w:tcBorders>
            <w:noWrap w:val="0"/>
            <w:vAlign w:val="center"/>
          </w:tcPr>
          <w:p w14:paraId="532791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AE76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9D8E4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EB2D2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硝基苯</w:t>
            </w:r>
          </w:p>
        </w:tc>
        <w:tc>
          <w:tcPr>
            <w:tcW w:w="1241" w:type="pct"/>
            <w:tcBorders>
              <w:tl2br w:val="nil"/>
              <w:tr2bl w:val="nil"/>
            </w:tcBorders>
            <w:noWrap w:val="0"/>
            <w:vAlign w:val="center"/>
          </w:tcPr>
          <w:p w14:paraId="0BE200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68ACB4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76</w:t>
            </w:r>
          </w:p>
        </w:tc>
        <w:tc>
          <w:tcPr>
            <w:tcW w:w="837" w:type="pct"/>
            <w:tcBorders>
              <w:tl2br w:val="nil"/>
              <w:tr2bl w:val="nil"/>
            </w:tcBorders>
            <w:noWrap w:val="0"/>
            <w:vAlign w:val="center"/>
          </w:tcPr>
          <w:p w14:paraId="584372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FC2C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36A57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EF90F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苯胺</w:t>
            </w:r>
          </w:p>
        </w:tc>
        <w:tc>
          <w:tcPr>
            <w:tcW w:w="1241" w:type="pct"/>
            <w:tcBorders>
              <w:tl2br w:val="nil"/>
              <w:tr2bl w:val="nil"/>
            </w:tcBorders>
            <w:noWrap w:val="0"/>
            <w:vAlign w:val="center"/>
          </w:tcPr>
          <w:p w14:paraId="444340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60D84C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260</w:t>
            </w:r>
          </w:p>
        </w:tc>
        <w:tc>
          <w:tcPr>
            <w:tcW w:w="837" w:type="pct"/>
            <w:tcBorders>
              <w:tl2br w:val="nil"/>
              <w:tr2bl w:val="nil"/>
            </w:tcBorders>
            <w:noWrap w:val="0"/>
            <w:vAlign w:val="center"/>
          </w:tcPr>
          <w:p w14:paraId="216DD5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0175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51E1E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1685CB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2-氯酚</w:t>
            </w:r>
          </w:p>
        </w:tc>
        <w:tc>
          <w:tcPr>
            <w:tcW w:w="1241" w:type="pct"/>
            <w:tcBorders>
              <w:tl2br w:val="nil"/>
              <w:tr2bl w:val="nil"/>
            </w:tcBorders>
            <w:noWrap w:val="0"/>
            <w:vAlign w:val="center"/>
          </w:tcPr>
          <w:p w14:paraId="748E38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70AC82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2256</w:t>
            </w:r>
          </w:p>
        </w:tc>
        <w:tc>
          <w:tcPr>
            <w:tcW w:w="837" w:type="pct"/>
            <w:tcBorders>
              <w:tl2br w:val="nil"/>
              <w:tr2bl w:val="nil"/>
            </w:tcBorders>
            <w:noWrap w:val="0"/>
            <w:vAlign w:val="center"/>
          </w:tcPr>
          <w:p w14:paraId="4DC271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42C21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30221C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14BEC1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苯并﹝a﹞蒽</w:t>
            </w:r>
          </w:p>
        </w:tc>
        <w:tc>
          <w:tcPr>
            <w:tcW w:w="1241" w:type="pct"/>
            <w:tcBorders>
              <w:tl2br w:val="nil"/>
              <w:tr2bl w:val="nil"/>
            </w:tcBorders>
            <w:noWrap w:val="0"/>
            <w:vAlign w:val="center"/>
          </w:tcPr>
          <w:p w14:paraId="4377CD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15E51C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837" w:type="pct"/>
            <w:tcBorders>
              <w:tl2br w:val="nil"/>
              <w:tr2bl w:val="nil"/>
            </w:tcBorders>
            <w:noWrap w:val="0"/>
            <w:vAlign w:val="center"/>
          </w:tcPr>
          <w:p w14:paraId="27BD6A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62A7A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42E38D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13DB08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苯并﹝a﹞芘</w:t>
            </w:r>
          </w:p>
        </w:tc>
        <w:tc>
          <w:tcPr>
            <w:tcW w:w="1241" w:type="pct"/>
            <w:tcBorders>
              <w:tl2br w:val="nil"/>
              <w:tr2bl w:val="nil"/>
            </w:tcBorders>
            <w:noWrap w:val="0"/>
            <w:vAlign w:val="center"/>
          </w:tcPr>
          <w:p w14:paraId="49EA3B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26570A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837" w:type="pct"/>
            <w:tcBorders>
              <w:tl2br w:val="nil"/>
              <w:tr2bl w:val="nil"/>
            </w:tcBorders>
            <w:noWrap w:val="0"/>
            <w:vAlign w:val="center"/>
          </w:tcPr>
          <w:p w14:paraId="15E978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77A87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1D904C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48619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苯并﹝b﹞荧蒽</w:t>
            </w:r>
          </w:p>
        </w:tc>
        <w:tc>
          <w:tcPr>
            <w:tcW w:w="1241" w:type="pct"/>
            <w:tcBorders>
              <w:tl2br w:val="nil"/>
              <w:tr2bl w:val="nil"/>
            </w:tcBorders>
            <w:noWrap w:val="0"/>
            <w:vAlign w:val="center"/>
          </w:tcPr>
          <w:p w14:paraId="46DB63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3B5257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837" w:type="pct"/>
            <w:tcBorders>
              <w:tl2br w:val="nil"/>
              <w:tr2bl w:val="nil"/>
            </w:tcBorders>
            <w:noWrap w:val="0"/>
            <w:vAlign w:val="center"/>
          </w:tcPr>
          <w:p w14:paraId="675D88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F67D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9A62F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EFCBA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苯并﹝k﹞荧蒽</w:t>
            </w:r>
          </w:p>
        </w:tc>
        <w:tc>
          <w:tcPr>
            <w:tcW w:w="1241" w:type="pct"/>
            <w:tcBorders>
              <w:tl2br w:val="nil"/>
              <w:tr2bl w:val="nil"/>
            </w:tcBorders>
            <w:noWrap w:val="0"/>
            <w:vAlign w:val="center"/>
          </w:tcPr>
          <w:p w14:paraId="6D96C0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055E82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151</w:t>
            </w:r>
          </w:p>
        </w:tc>
        <w:tc>
          <w:tcPr>
            <w:tcW w:w="837" w:type="pct"/>
            <w:tcBorders>
              <w:tl2br w:val="nil"/>
              <w:tr2bl w:val="nil"/>
            </w:tcBorders>
            <w:noWrap w:val="0"/>
            <w:vAlign w:val="center"/>
          </w:tcPr>
          <w:p w14:paraId="205D51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2E121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19678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4A36BE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䓛</w:t>
            </w:r>
          </w:p>
        </w:tc>
        <w:tc>
          <w:tcPr>
            <w:tcW w:w="1241" w:type="pct"/>
            <w:tcBorders>
              <w:tl2br w:val="nil"/>
              <w:tr2bl w:val="nil"/>
            </w:tcBorders>
            <w:noWrap w:val="0"/>
            <w:vAlign w:val="center"/>
          </w:tcPr>
          <w:p w14:paraId="52D9A9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1D5CC6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1293</w:t>
            </w:r>
          </w:p>
        </w:tc>
        <w:tc>
          <w:tcPr>
            <w:tcW w:w="837" w:type="pct"/>
            <w:tcBorders>
              <w:tl2br w:val="nil"/>
              <w:tr2bl w:val="nil"/>
            </w:tcBorders>
            <w:noWrap w:val="0"/>
            <w:vAlign w:val="center"/>
          </w:tcPr>
          <w:p w14:paraId="444551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088C5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F4FE2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2F4FED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二苯并﹝a，h﹞蒽</w:t>
            </w:r>
          </w:p>
        </w:tc>
        <w:tc>
          <w:tcPr>
            <w:tcW w:w="1241" w:type="pct"/>
            <w:tcBorders>
              <w:tl2br w:val="nil"/>
              <w:tr2bl w:val="nil"/>
            </w:tcBorders>
            <w:noWrap w:val="0"/>
            <w:vAlign w:val="center"/>
          </w:tcPr>
          <w:p w14:paraId="51EF4F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78A472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837" w:type="pct"/>
            <w:tcBorders>
              <w:tl2br w:val="nil"/>
              <w:tr2bl w:val="nil"/>
            </w:tcBorders>
            <w:noWrap w:val="0"/>
            <w:vAlign w:val="center"/>
          </w:tcPr>
          <w:p w14:paraId="378766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7F2B0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4204B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12CBCD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茚并﹝1,2,3-cd﹞芘</w:t>
            </w:r>
          </w:p>
        </w:tc>
        <w:tc>
          <w:tcPr>
            <w:tcW w:w="1241" w:type="pct"/>
            <w:tcBorders>
              <w:tl2br w:val="nil"/>
              <w:tr2bl w:val="nil"/>
            </w:tcBorders>
            <w:noWrap w:val="0"/>
            <w:vAlign w:val="center"/>
          </w:tcPr>
          <w:p w14:paraId="5AF8CB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192A25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15</w:t>
            </w:r>
          </w:p>
        </w:tc>
        <w:tc>
          <w:tcPr>
            <w:tcW w:w="837" w:type="pct"/>
            <w:tcBorders>
              <w:tl2br w:val="nil"/>
              <w:tr2bl w:val="nil"/>
            </w:tcBorders>
            <w:noWrap w:val="0"/>
            <w:vAlign w:val="center"/>
          </w:tcPr>
          <w:p w14:paraId="7F9965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1520D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7EDC1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48E3B8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萘</w:t>
            </w:r>
          </w:p>
        </w:tc>
        <w:tc>
          <w:tcPr>
            <w:tcW w:w="1241" w:type="pct"/>
            <w:tcBorders>
              <w:tl2br w:val="nil"/>
              <w:tr2bl w:val="nil"/>
            </w:tcBorders>
            <w:noWrap w:val="0"/>
            <w:vAlign w:val="center"/>
          </w:tcPr>
          <w:p w14:paraId="421C5F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0CAEA6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70</w:t>
            </w:r>
          </w:p>
        </w:tc>
        <w:tc>
          <w:tcPr>
            <w:tcW w:w="837" w:type="pct"/>
            <w:tcBorders>
              <w:tl2br w:val="nil"/>
              <w:tr2bl w:val="nil"/>
            </w:tcBorders>
            <w:noWrap w:val="0"/>
            <w:vAlign w:val="center"/>
          </w:tcPr>
          <w:p w14:paraId="3EEA80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是</w:t>
            </w:r>
          </w:p>
        </w:tc>
      </w:tr>
      <w:tr w14:paraId="37B04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restart"/>
            <w:tcBorders>
              <w:tl2br w:val="nil"/>
              <w:tr2bl w:val="nil"/>
            </w:tcBorders>
            <w:noWrap w:val="0"/>
            <w:vAlign w:val="center"/>
          </w:tcPr>
          <w:p w14:paraId="3E4898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T5雷家屋居民点表层土壤（厂区范围外上风向距离厂界230米处）</w:t>
            </w:r>
          </w:p>
        </w:tc>
        <w:tc>
          <w:tcPr>
            <w:tcW w:w="1194" w:type="pct"/>
            <w:tcBorders>
              <w:tl2br w:val="nil"/>
              <w:tr2bl w:val="nil"/>
            </w:tcBorders>
            <w:noWrap w:val="0"/>
            <w:vAlign w:val="center"/>
          </w:tcPr>
          <w:p w14:paraId="7BB016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pH</w:t>
            </w:r>
          </w:p>
        </w:tc>
        <w:tc>
          <w:tcPr>
            <w:tcW w:w="1241" w:type="pct"/>
            <w:tcBorders>
              <w:tl2br w:val="nil"/>
              <w:tr2bl w:val="nil"/>
            </w:tcBorders>
            <w:noWrap w:val="0"/>
            <w:vAlign w:val="center"/>
          </w:tcPr>
          <w:p w14:paraId="464519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6.29</w:t>
            </w:r>
          </w:p>
        </w:tc>
        <w:tc>
          <w:tcPr>
            <w:tcW w:w="837" w:type="pct"/>
            <w:tcBorders>
              <w:tl2br w:val="nil"/>
              <w:tr2bl w:val="nil"/>
            </w:tcBorders>
            <w:noWrap w:val="0"/>
            <w:vAlign w:val="center"/>
          </w:tcPr>
          <w:p w14:paraId="57DBBF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37" w:type="pct"/>
            <w:tcBorders>
              <w:tl2br w:val="nil"/>
              <w:tr2bl w:val="nil"/>
            </w:tcBorders>
            <w:noWrap w:val="0"/>
            <w:vAlign w:val="center"/>
          </w:tcPr>
          <w:p w14:paraId="355D72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155C7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5A40FE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c>
          <w:tcPr>
            <w:tcW w:w="1194" w:type="pct"/>
            <w:tcBorders>
              <w:tl2br w:val="nil"/>
              <w:tr2bl w:val="nil"/>
            </w:tcBorders>
            <w:noWrap w:val="0"/>
            <w:vAlign w:val="center"/>
          </w:tcPr>
          <w:p w14:paraId="1C66E5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石油类</w:t>
            </w:r>
          </w:p>
        </w:tc>
        <w:tc>
          <w:tcPr>
            <w:tcW w:w="1241" w:type="pct"/>
            <w:tcBorders>
              <w:tl2br w:val="nil"/>
              <w:tr2bl w:val="nil"/>
            </w:tcBorders>
            <w:noWrap w:val="0"/>
            <w:vAlign w:val="center"/>
          </w:tcPr>
          <w:p w14:paraId="4604DE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ND</w:t>
            </w:r>
          </w:p>
        </w:tc>
        <w:tc>
          <w:tcPr>
            <w:tcW w:w="837" w:type="pct"/>
            <w:tcBorders>
              <w:tl2br w:val="nil"/>
              <w:tr2bl w:val="nil"/>
            </w:tcBorders>
            <w:noWrap w:val="0"/>
            <w:vAlign w:val="center"/>
          </w:tcPr>
          <w:p w14:paraId="109CA8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37" w:type="pct"/>
            <w:tcBorders>
              <w:tl2br w:val="nil"/>
              <w:tr2bl w:val="nil"/>
            </w:tcBorders>
            <w:noWrap w:val="0"/>
            <w:vAlign w:val="center"/>
          </w:tcPr>
          <w:p w14:paraId="5CFC02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1171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01035A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AF82F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铜</w:t>
            </w:r>
          </w:p>
        </w:tc>
        <w:tc>
          <w:tcPr>
            <w:tcW w:w="1241" w:type="pct"/>
            <w:tcBorders>
              <w:tl2br w:val="nil"/>
              <w:tr2bl w:val="nil"/>
            </w:tcBorders>
            <w:noWrap w:val="0"/>
            <w:vAlign w:val="center"/>
          </w:tcPr>
          <w:p w14:paraId="68886C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29</w:t>
            </w:r>
          </w:p>
        </w:tc>
        <w:tc>
          <w:tcPr>
            <w:tcW w:w="837" w:type="pct"/>
            <w:tcBorders>
              <w:tl2br w:val="nil"/>
              <w:tr2bl w:val="nil"/>
            </w:tcBorders>
            <w:noWrap w:val="0"/>
            <w:vAlign w:val="center"/>
          </w:tcPr>
          <w:p w14:paraId="4D1998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w:t>
            </w:r>
          </w:p>
        </w:tc>
        <w:tc>
          <w:tcPr>
            <w:tcW w:w="837" w:type="pct"/>
            <w:tcBorders>
              <w:tl2br w:val="nil"/>
              <w:tr2bl w:val="nil"/>
            </w:tcBorders>
            <w:noWrap w:val="0"/>
            <w:vAlign w:val="center"/>
          </w:tcPr>
          <w:p w14:paraId="0BF50C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6BC93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57A0B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c>
          <w:tcPr>
            <w:tcW w:w="1194" w:type="pct"/>
            <w:tcBorders>
              <w:tl2br w:val="nil"/>
              <w:tr2bl w:val="nil"/>
            </w:tcBorders>
            <w:noWrap w:val="0"/>
            <w:vAlign w:val="center"/>
          </w:tcPr>
          <w:p w14:paraId="425CBC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锌</w:t>
            </w:r>
          </w:p>
        </w:tc>
        <w:tc>
          <w:tcPr>
            <w:tcW w:w="1241" w:type="pct"/>
            <w:tcBorders>
              <w:tl2br w:val="nil"/>
              <w:tr2bl w:val="nil"/>
            </w:tcBorders>
            <w:noWrap w:val="0"/>
            <w:vAlign w:val="center"/>
          </w:tcPr>
          <w:p w14:paraId="6BD698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110</w:t>
            </w:r>
          </w:p>
        </w:tc>
        <w:tc>
          <w:tcPr>
            <w:tcW w:w="837" w:type="pct"/>
            <w:tcBorders>
              <w:tl2br w:val="nil"/>
              <w:tr2bl w:val="nil"/>
            </w:tcBorders>
            <w:noWrap w:val="0"/>
            <w:vAlign w:val="center"/>
          </w:tcPr>
          <w:p w14:paraId="4254E4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200</w:t>
            </w:r>
          </w:p>
        </w:tc>
        <w:tc>
          <w:tcPr>
            <w:tcW w:w="837" w:type="pct"/>
            <w:tcBorders>
              <w:tl2br w:val="nil"/>
              <w:tr2bl w:val="nil"/>
            </w:tcBorders>
            <w:noWrap w:val="0"/>
            <w:vAlign w:val="center"/>
          </w:tcPr>
          <w:p w14:paraId="592718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431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150D89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4D37F7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镉</w:t>
            </w:r>
          </w:p>
        </w:tc>
        <w:tc>
          <w:tcPr>
            <w:tcW w:w="1241" w:type="pct"/>
            <w:tcBorders>
              <w:tl2br w:val="nil"/>
              <w:tr2bl w:val="nil"/>
            </w:tcBorders>
            <w:noWrap w:val="0"/>
            <w:vAlign w:val="center"/>
          </w:tcPr>
          <w:p w14:paraId="024A37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w:t>
            </w:r>
            <w:r>
              <w:rPr>
                <w:rFonts w:hint="default" w:ascii="Times New Roman" w:hAnsi="Times New Roman" w:eastAsia="宋体" w:cs="Times New Roman"/>
                <w:sz w:val="21"/>
                <w:szCs w:val="21"/>
                <w:highlight w:val="none"/>
                <w:lang w:val="en-US" w:eastAsia="zh-CN"/>
              </w:rPr>
              <w:t>08</w:t>
            </w:r>
          </w:p>
        </w:tc>
        <w:tc>
          <w:tcPr>
            <w:tcW w:w="837" w:type="pct"/>
            <w:tcBorders>
              <w:tl2br w:val="nil"/>
              <w:tr2bl w:val="nil"/>
            </w:tcBorders>
            <w:noWrap w:val="0"/>
            <w:vAlign w:val="center"/>
          </w:tcPr>
          <w:p w14:paraId="4C5567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0.3</w:t>
            </w:r>
          </w:p>
        </w:tc>
        <w:tc>
          <w:tcPr>
            <w:tcW w:w="837" w:type="pct"/>
            <w:tcBorders>
              <w:tl2br w:val="nil"/>
              <w:tr2bl w:val="nil"/>
            </w:tcBorders>
            <w:noWrap w:val="0"/>
            <w:vAlign w:val="center"/>
          </w:tcPr>
          <w:p w14:paraId="38B1A7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E931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C9E9F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015E8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六价铬</w:t>
            </w:r>
          </w:p>
        </w:tc>
        <w:tc>
          <w:tcPr>
            <w:tcW w:w="1241" w:type="pct"/>
            <w:tcBorders>
              <w:tl2br w:val="nil"/>
              <w:tr2bl w:val="nil"/>
            </w:tcBorders>
            <w:noWrap w:val="0"/>
            <w:vAlign w:val="center"/>
          </w:tcPr>
          <w:p w14:paraId="11FC31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6E3470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37" w:type="pct"/>
            <w:tcBorders>
              <w:tl2br w:val="nil"/>
              <w:tr2bl w:val="nil"/>
            </w:tcBorders>
            <w:noWrap w:val="0"/>
            <w:vAlign w:val="center"/>
          </w:tcPr>
          <w:p w14:paraId="261C1B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668CF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889" w:type="pct"/>
            <w:vMerge w:val="continue"/>
            <w:tcBorders>
              <w:tl2br w:val="nil"/>
              <w:tr2bl w:val="nil"/>
            </w:tcBorders>
            <w:noWrap w:val="0"/>
            <w:vAlign w:val="center"/>
          </w:tcPr>
          <w:p w14:paraId="70CF81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1013BD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砷</w:t>
            </w:r>
          </w:p>
        </w:tc>
        <w:tc>
          <w:tcPr>
            <w:tcW w:w="1241" w:type="pct"/>
            <w:tcBorders>
              <w:tl2br w:val="nil"/>
              <w:tr2bl w:val="nil"/>
            </w:tcBorders>
            <w:noWrap w:val="0"/>
            <w:vAlign w:val="center"/>
          </w:tcPr>
          <w:p w14:paraId="40E9BC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11.0</w:t>
            </w:r>
          </w:p>
        </w:tc>
        <w:tc>
          <w:tcPr>
            <w:tcW w:w="837" w:type="pct"/>
            <w:tcBorders>
              <w:tl2br w:val="nil"/>
              <w:tr2bl w:val="nil"/>
            </w:tcBorders>
            <w:noWrap w:val="0"/>
            <w:vAlign w:val="center"/>
          </w:tcPr>
          <w:p w14:paraId="441E4D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40</w:t>
            </w:r>
          </w:p>
        </w:tc>
        <w:tc>
          <w:tcPr>
            <w:tcW w:w="837" w:type="pct"/>
            <w:tcBorders>
              <w:tl2br w:val="nil"/>
              <w:tr2bl w:val="nil"/>
            </w:tcBorders>
            <w:noWrap w:val="0"/>
            <w:vAlign w:val="center"/>
          </w:tcPr>
          <w:p w14:paraId="6B11B8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B6F58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8D30D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14841A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汞</w:t>
            </w:r>
          </w:p>
        </w:tc>
        <w:tc>
          <w:tcPr>
            <w:tcW w:w="1241" w:type="pct"/>
            <w:tcBorders>
              <w:tl2br w:val="nil"/>
              <w:tr2bl w:val="nil"/>
            </w:tcBorders>
            <w:noWrap w:val="0"/>
            <w:vAlign w:val="center"/>
          </w:tcPr>
          <w:p w14:paraId="5273EE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0.1</w:t>
            </w:r>
            <w:r>
              <w:rPr>
                <w:rFonts w:hint="default" w:ascii="Times New Roman" w:hAnsi="Times New Roman" w:eastAsia="宋体" w:cs="Times New Roman"/>
                <w:sz w:val="21"/>
                <w:szCs w:val="21"/>
                <w:highlight w:val="none"/>
                <w:lang w:val="en-US" w:eastAsia="zh-CN"/>
              </w:rPr>
              <w:t>32</w:t>
            </w:r>
          </w:p>
        </w:tc>
        <w:tc>
          <w:tcPr>
            <w:tcW w:w="837" w:type="pct"/>
            <w:tcBorders>
              <w:tl2br w:val="nil"/>
              <w:tr2bl w:val="nil"/>
            </w:tcBorders>
            <w:noWrap w:val="0"/>
            <w:vAlign w:val="center"/>
          </w:tcPr>
          <w:p w14:paraId="6E0EE4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1.8</w:t>
            </w:r>
          </w:p>
        </w:tc>
        <w:tc>
          <w:tcPr>
            <w:tcW w:w="837" w:type="pct"/>
            <w:tcBorders>
              <w:tl2br w:val="nil"/>
              <w:tr2bl w:val="nil"/>
            </w:tcBorders>
            <w:noWrap w:val="0"/>
            <w:vAlign w:val="center"/>
          </w:tcPr>
          <w:p w14:paraId="1D6205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CE9E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37EFEF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4724F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镍</w:t>
            </w:r>
          </w:p>
        </w:tc>
        <w:tc>
          <w:tcPr>
            <w:tcW w:w="1241" w:type="pct"/>
            <w:tcBorders>
              <w:tl2br w:val="nil"/>
              <w:tr2bl w:val="nil"/>
            </w:tcBorders>
            <w:noWrap w:val="0"/>
            <w:vAlign w:val="center"/>
          </w:tcPr>
          <w:p w14:paraId="6A44D3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21</w:t>
            </w:r>
          </w:p>
        </w:tc>
        <w:tc>
          <w:tcPr>
            <w:tcW w:w="837" w:type="pct"/>
            <w:tcBorders>
              <w:tl2br w:val="nil"/>
              <w:tr2bl w:val="nil"/>
            </w:tcBorders>
            <w:noWrap w:val="0"/>
            <w:vAlign w:val="center"/>
          </w:tcPr>
          <w:p w14:paraId="0E4F70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70</w:t>
            </w:r>
          </w:p>
        </w:tc>
        <w:tc>
          <w:tcPr>
            <w:tcW w:w="837" w:type="pct"/>
            <w:tcBorders>
              <w:tl2br w:val="nil"/>
              <w:tr2bl w:val="nil"/>
            </w:tcBorders>
            <w:noWrap w:val="0"/>
            <w:vAlign w:val="center"/>
          </w:tcPr>
          <w:p w14:paraId="5EDAAF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19278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FC53B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1CCD0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铅</w:t>
            </w:r>
          </w:p>
        </w:tc>
        <w:tc>
          <w:tcPr>
            <w:tcW w:w="1241" w:type="pct"/>
            <w:tcBorders>
              <w:tl2br w:val="nil"/>
              <w:tr2bl w:val="nil"/>
            </w:tcBorders>
            <w:noWrap w:val="0"/>
            <w:vAlign w:val="center"/>
          </w:tcPr>
          <w:p w14:paraId="731678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28</w:t>
            </w:r>
          </w:p>
        </w:tc>
        <w:tc>
          <w:tcPr>
            <w:tcW w:w="837" w:type="pct"/>
            <w:tcBorders>
              <w:tl2br w:val="nil"/>
              <w:tr2bl w:val="nil"/>
            </w:tcBorders>
            <w:noWrap w:val="0"/>
            <w:vAlign w:val="center"/>
          </w:tcPr>
          <w:p w14:paraId="0630EB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837" w:type="pct"/>
            <w:tcBorders>
              <w:tl2br w:val="nil"/>
              <w:tr2bl w:val="nil"/>
            </w:tcBorders>
            <w:noWrap w:val="0"/>
            <w:vAlign w:val="center"/>
          </w:tcPr>
          <w:p w14:paraId="30CD7B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69C75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restart"/>
            <w:tcBorders>
              <w:tl2br w:val="nil"/>
              <w:tr2bl w:val="nil"/>
            </w:tcBorders>
            <w:noWrap w:val="0"/>
            <w:vAlign w:val="center"/>
          </w:tcPr>
          <w:p w14:paraId="4FD769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T6新邹家农田表层土壤（厂区范围外下风向距离厂界164米处）</w:t>
            </w:r>
          </w:p>
        </w:tc>
        <w:tc>
          <w:tcPr>
            <w:tcW w:w="1194" w:type="pct"/>
            <w:tcBorders>
              <w:tl2br w:val="nil"/>
              <w:tr2bl w:val="nil"/>
            </w:tcBorders>
            <w:noWrap w:val="0"/>
            <w:vAlign w:val="center"/>
          </w:tcPr>
          <w:p w14:paraId="061E55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pH</w:t>
            </w:r>
          </w:p>
        </w:tc>
        <w:tc>
          <w:tcPr>
            <w:tcW w:w="1241" w:type="pct"/>
            <w:tcBorders>
              <w:tl2br w:val="nil"/>
              <w:tr2bl w:val="nil"/>
            </w:tcBorders>
            <w:noWrap w:val="0"/>
            <w:vAlign w:val="center"/>
          </w:tcPr>
          <w:p w14:paraId="645B35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6.13</w:t>
            </w:r>
          </w:p>
        </w:tc>
        <w:tc>
          <w:tcPr>
            <w:tcW w:w="837" w:type="pct"/>
            <w:tcBorders>
              <w:tl2br w:val="nil"/>
              <w:tr2bl w:val="nil"/>
            </w:tcBorders>
            <w:noWrap w:val="0"/>
            <w:vAlign w:val="center"/>
          </w:tcPr>
          <w:p w14:paraId="41ACEE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37" w:type="pct"/>
            <w:tcBorders>
              <w:tl2br w:val="nil"/>
              <w:tr2bl w:val="nil"/>
            </w:tcBorders>
            <w:noWrap w:val="0"/>
            <w:vAlign w:val="center"/>
          </w:tcPr>
          <w:p w14:paraId="474FE3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AB3D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2A6782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c>
          <w:tcPr>
            <w:tcW w:w="1194" w:type="pct"/>
            <w:tcBorders>
              <w:tl2br w:val="nil"/>
              <w:tr2bl w:val="nil"/>
            </w:tcBorders>
            <w:noWrap w:val="0"/>
            <w:vAlign w:val="center"/>
          </w:tcPr>
          <w:p w14:paraId="10DBC1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石油类</w:t>
            </w:r>
          </w:p>
        </w:tc>
        <w:tc>
          <w:tcPr>
            <w:tcW w:w="1241" w:type="pct"/>
            <w:tcBorders>
              <w:tl2br w:val="nil"/>
              <w:tr2bl w:val="nil"/>
            </w:tcBorders>
            <w:noWrap w:val="0"/>
            <w:vAlign w:val="center"/>
          </w:tcPr>
          <w:p w14:paraId="65AB06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ND</w:t>
            </w:r>
          </w:p>
        </w:tc>
        <w:tc>
          <w:tcPr>
            <w:tcW w:w="837" w:type="pct"/>
            <w:tcBorders>
              <w:tl2br w:val="nil"/>
              <w:tr2bl w:val="nil"/>
            </w:tcBorders>
            <w:noWrap w:val="0"/>
            <w:vAlign w:val="center"/>
          </w:tcPr>
          <w:p w14:paraId="17B48C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837" w:type="pct"/>
            <w:tcBorders>
              <w:tl2br w:val="nil"/>
              <w:tr2bl w:val="nil"/>
            </w:tcBorders>
            <w:noWrap w:val="0"/>
            <w:vAlign w:val="center"/>
          </w:tcPr>
          <w:p w14:paraId="26ADFB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3C7CF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4188B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0D65E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铜</w:t>
            </w:r>
          </w:p>
        </w:tc>
        <w:tc>
          <w:tcPr>
            <w:tcW w:w="1241" w:type="pct"/>
            <w:tcBorders>
              <w:tl2br w:val="nil"/>
              <w:tr2bl w:val="nil"/>
            </w:tcBorders>
            <w:noWrap w:val="0"/>
            <w:vAlign w:val="center"/>
          </w:tcPr>
          <w:p w14:paraId="310C11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33</w:t>
            </w:r>
          </w:p>
        </w:tc>
        <w:tc>
          <w:tcPr>
            <w:tcW w:w="837" w:type="pct"/>
            <w:tcBorders>
              <w:tl2br w:val="nil"/>
              <w:tr2bl w:val="nil"/>
            </w:tcBorders>
            <w:noWrap w:val="0"/>
            <w:vAlign w:val="center"/>
          </w:tcPr>
          <w:p w14:paraId="2348AC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50</w:t>
            </w:r>
          </w:p>
        </w:tc>
        <w:tc>
          <w:tcPr>
            <w:tcW w:w="837" w:type="pct"/>
            <w:tcBorders>
              <w:tl2br w:val="nil"/>
              <w:tr2bl w:val="nil"/>
            </w:tcBorders>
            <w:noWrap w:val="0"/>
            <w:vAlign w:val="center"/>
          </w:tcPr>
          <w:p w14:paraId="658B24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2C993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3E3BEA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p>
        </w:tc>
        <w:tc>
          <w:tcPr>
            <w:tcW w:w="1194" w:type="pct"/>
            <w:tcBorders>
              <w:tl2br w:val="nil"/>
              <w:tr2bl w:val="nil"/>
            </w:tcBorders>
            <w:noWrap w:val="0"/>
            <w:vAlign w:val="center"/>
          </w:tcPr>
          <w:p w14:paraId="694943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锌</w:t>
            </w:r>
          </w:p>
        </w:tc>
        <w:tc>
          <w:tcPr>
            <w:tcW w:w="1241" w:type="pct"/>
            <w:tcBorders>
              <w:tl2br w:val="nil"/>
              <w:tr2bl w:val="nil"/>
            </w:tcBorders>
            <w:noWrap w:val="0"/>
            <w:vAlign w:val="center"/>
          </w:tcPr>
          <w:p w14:paraId="0A3490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90</w:t>
            </w:r>
          </w:p>
        </w:tc>
        <w:tc>
          <w:tcPr>
            <w:tcW w:w="837" w:type="pct"/>
            <w:tcBorders>
              <w:tl2br w:val="nil"/>
              <w:tr2bl w:val="nil"/>
            </w:tcBorders>
            <w:noWrap w:val="0"/>
            <w:vAlign w:val="center"/>
          </w:tcPr>
          <w:p w14:paraId="552E99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200</w:t>
            </w:r>
          </w:p>
        </w:tc>
        <w:tc>
          <w:tcPr>
            <w:tcW w:w="837" w:type="pct"/>
            <w:tcBorders>
              <w:tl2br w:val="nil"/>
              <w:tr2bl w:val="nil"/>
            </w:tcBorders>
            <w:noWrap w:val="0"/>
            <w:vAlign w:val="center"/>
          </w:tcPr>
          <w:p w14:paraId="28CB65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440CE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1094DF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42C7E8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镉</w:t>
            </w:r>
          </w:p>
        </w:tc>
        <w:tc>
          <w:tcPr>
            <w:tcW w:w="1241" w:type="pct"/>
            <w:tcBorders>
              <w:tl2br w:val="nil"/>
              <w:tr2bl w:val="nil"/>
            </w:tcBorders>
            <w:noWrap w:val="0"/>
            <w:vAlign w:val="center"/>
          </w:tcPr>
          <w:p w14:paraId="0CFC9D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0.1</w:t>
            </w:r>
            <w:r>
              <w:rPr>
                <w:rFonts w:hint="default" w:ascii="Times New Roman" w:hAnsi="Times New Roman" w:eastAsia="宋体" w:cs="Times New Roman"/>
                <w:sz w:val="21"/>
                <w:szCs w:val="21"/>
                <w:highlight w:val="none"/>
                <w:lang w:val="en-US" w:eastAsia="zh-CN"/>
              </w:rPr>
              <w:t>2</w:t>
            </w:r>
          </w:p>
        </w:tc>
        <w:tc>
          <w:tcPr>
            <w:tcW w:w="837" w:type="pct"/>
            <w:tcBorders>
              <w:tl2br w:val="nil"/>
              <w:tr2bl w:val="nil"/>
            </w:tcBorders>
            <w:noWrap w:val="0"/>
            <w:vAlign w:val="center"/>
          </w:tcPr>
          <w:p w14:paraId="4D1737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0.3</w:t>
            </w:r>
          </w:p>
        </w:tc>
        <w:tc>
          <w:tcPr>
            <w:tcW w:w="837" w:type="pct"/>
            <w:tcBorders>
              <w:tl2br w:val="nil"/>
              <w:tr2bl w:val="nil"/>
            </w:tcBorders>
            <w:noWrap w:val="0"/>
            <w:vAlign w:val="center"/>
          </w:tcPr>
          <w:p w14:paraId="58E196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858E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19B56B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183A7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六价铬</w:t>
            </w:r>
          </w:p>
        </w:tc>
        <w:tc>
          <w:tcPr>
            <w:tcW w:w="1241" w:type="pct"/>
            <w:tcBorders>
              <w:tl2br w:val="nil"/>
              <w:tr2bl w:val="nil"/>
            </w:tcBorders>
            <w:noWrap w:val="0"/>
            <w:vAlign w:val="center"/>
          </w:tcPr>
          <w:p w14:paraId="0BFD2F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ND</w:t>
            </w:r>
          </w:p>
        </w:tc>
        <w:tc>
          <w:tcPr>
            <w:tcW w:w="837" w:type="pct"/>
            <w:tcBorders>
              <w:tl2br w:val="nil"/>
              <w:tr2bl w:val="nil"/>
            </w:tcBorders>
            <w:noWrap w:val="0"/>
            <w:vAlign w:val="center"/>
          </w:tcPr>
          <w:p w14:paraId="1818BB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c>
          <w:tcPr>
            <w:tcW w:w="837" w:type="pct"/>
            <w:tcBorders>
              <w:tl2br w:val="nil"/>
              <w:tr2bl w:val="nil"/>
            </w:tcBorders>
            <w:noWrap w:val="0"/>
            <w:vAlign w:val="center"/>
          </w:tcPr>
          <w:p w14:paraId="748C7A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197832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652F79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0E8F8F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砷</w:t>
            </w:r>
          </w:p>
        </w:tc>
        <w:tc>
          <w:tcPr>
            <w:tcW w:w="1241" w:type="pct"/>
            <w:tcBorders>
              <w:tl2br w:val="nil"/>
              <w:tr2bl w:val="nil"/>
            </w:tcBorders>
            <w:noWrap w:val="0"/>
            <w:vAlign w:val="center"/>
          </w:tcPr>
          <w:p w14:paraId="08248C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1</w:t>
            </w:r>
            <w:r>
              <w:rPr>
                <w:rFonts w:hint="default" w:ascii="Times New Roman" w:hAnsi="Times New Roman" w:eastAsia="宋体" w:cs="Times New Roman"/>
                <w:sz w:val="21"/>
                <w:szCs w:val="21"/>
                <w:highlight w:val="none"/>
                <w:lang w:val="en-US" w:eastAsia="zh-CN"/>
              </w:rPr>
              <w:t>3.0</w:t>
            </w:r>
          </w:p>
        </w:tc>
        <w:tc>
          <w:tcPr>
            <w:tcW w:w="837" w:type="pct"/>
            <w:tcBorders>
              <w:tl2br w:val="nil"/>
              <w:tr2bl w:val="nil"/>
            </w:tcBorders>
            <w:noWrap w:val="0"/>
            <w:vAlign w:val="center"/>
          </w:tcPr>
          <w:p w14:paraId="47FB05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40</w:t>
            </w:r>
          </w:p>
        </w:tc>
        <w:tc>
          <w:tcPr>
            <w:tcW w:w="837" w:type="pct"/>
            <w:tcBorders>
              <w:tl2br w:val="nil"/>
              <w:tr2bl w:val="nil"/>
            </w:tcBorders>
            <w:noWrap w:val="0"/>
            <w:vAlign w:val="center"/>
          </w:tcPr>
          <w:p w14:paraId="4178C0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253D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6FDD89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CA16D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汞</w:t>
            </w:r>
          </w:p>
        </w:tc>
        <w:tc>
          <w:tcPr>
            <w:tcW w:w="1241" w:type="pct"/>
            <w:tcBorders>
              <w:tl2br w:val="nil"/>
              <w:tr2bl w:val="nil"/>
            </w:tcBorders>
            <w:noWrap w:val="0"/>
            <w:vAlign w:val="center"/>
          </w:tcPr>
          <w:p w14:paraId="25A7A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0.1</w:t>
            </w:r>
            <w:r>
              <w:rPr>
                <w:rFonts w:hint="default" w:ascii="Times New Roman" w:hAnsi="Times New Roman" w:eastAsia="宋体" w:cs="Times New Roman"/>
                <w:sz w:val="21"/>
                <w:szCs w:val="21"/>
                <w:highlight w:val="none"/>
                <w:lang w:val="en-US" w:eastAsia="zh-CN"/>
              </w:rPr>
              <w:t>00</w:t>
            </w:r>
          </w:p>
        </w:tc>
        <w:tc>
          <w:tcPr>
            <w:tcW w:w="837" w:type="pct"/>
            <w:tcBorders>
              <w:tl2br w:val="nil"/>
              <w:tr2bl w:val="nil"/>
            </w:tcBorders>
            <w:noWrap w:val="0"/>
            <w:vAlign w:val="center"/>
          </w:tcPr>
          <w:p w14:paraId="556F9D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1.8</w:t>
            </w:r>
          </w:p>
        </w:tc>
        <w:tc>
          <w:tcPr>
            <w:tcW w:w="837" w:type="pct"/>
            <w:tcBorders>
              <w:tl2br w:val="nil"/>
              <w:tr2bl w:val="nil"/>
            </w:tcBorders>
            <w:noWrap w:val="0"/>
            <w:vAlign w:val="center"/>
          </w:tcPr>
          <w:p w14:paraId="096A4C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0365A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7AD688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54E8F5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镍</w:t>
            </w:r>
          </w:p>
        </w:tc>
        <w:tc>
          <w:tcPr>
            <w:tcW w:w="1241" w:type="pct"/>
            <w:tcBorders>
              <w:tl2br w:val="nil"/>
              <w:tr2bl w:val="nil"/>
            </w:tcBorders>
            <w:noWrap w:val="0"/>
            <w:vAlign w:val="center"/>
          </w:tcPr>
          <w:p w14:paraId="0658DE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29</w:t>
            </w:r>
          </w:p>
        </w:tc>
        <w:tc>
          <w:tcPr>
            <w:tcW w:w="837" w:type="pct"/>
            <w:tcBorders>
              <w:tl2br w:val="nil"/>
              <w:tr2bl w:val="nil"/>
            </w:tcBorders>
            <w:noWrap w:val="0"/>
            <w:vAlign w:val="center"/>
          </w:tcPr>
          <w:p w14:paraId="081894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70</w:t>
            </w:r>
          </w:p>
        </w:tc>
        <w:tc>
          <w:tcPr>
            <w:tcW w:w="837" w:type="pct"/>
            <w:tcBorders>
              <w:tl2br w:val="nil"/>
              <w:tr2bl w:val="nil"/>
            </w:tcBorders>
            <w:noWrap w:val="0"/>
            <w:vAlign w:val="center"/>
          </w:tcPr>
          <w:p w14:paraId="12B27C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578D9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vMerge w:val="continue"/>
            <w:tcBorders>
              <w:tl2br w:val="nil"/>
              <w:tr2bl w:val="nil"/>
            </w:tcBorders>
            <w:noWrap w:val="0"/>
            <w:vAlign w:val="center"/>
          </w:tcPr>
          <w:p w14:paraId="3EC215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p>
        </w:tc>
        <w:tc>
          <w:tcPr>
            <w:tcW w:w="1194" w:type="pct"/>
            <w:tcBorders>
              <w:tl2br w:val="nil"/>
              <w:tr2bl w:val="nil"/>
            </w:tcBorders>
            <w:noWrap w:val="0"/>
            <w:vAlign w:val="center"/>
          </w:tcPr>
          <w:p w14:paraId="708BDC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铅</w:t>
            </w:r>
          </w:p>
        </w:tc>
        <w:tc>
          <w:tcPr>
            <w:tcW w:w="1241" w:type="pct"/>
            <w:tcBorders>
              <w:tl2br w:val="nil"/>
              <w:tr2bl w:val="nil"/>
            </w:tcBorders>
            <w:noWrap w:val="0"/>
            <w:vAlign w:val="center"/>
          </w:tcPr>
          <w:p w14:paraId="4927EF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33</w:t>
            </w:r>
          </w:p>
        </w:tc>
        <w:tc>
          <w:tcPr>
            <w:tcW w:w="837" w:type="pct"/>
            <w:tcBorders>
              <w:tl2br w:val="nil"/>
              <w:tr2bl w:val="nil"/>
            </w:tcBorders>
            <w:noWrap w:val="0"/>
            <w:vAlign w:val="center"/>
          </w:tcPr>
          <w:p w14:paraId="08EC76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90</w:t>
            </w:r>
          </w:p>
        </w:tc>
        <w:tc>
          <w:tcPr>
            <w:tcW w:w="837" w:type="pct"/>
            <w:tcBorders>
              <w:tl2br w:val="nil"/>
              <w:tr2bl w:val="nil"/>
            </w:tcBorders>
            <w:noWrap w:val="0"/>
            <w:vAlign w:val="center"/>
          </w:tcPr>
          <w:p w14:paraId="725150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是</w:t>
            </w:r>
          </w:p>
        </w:tc>
      </w:tr>
      <w:tr w14:paraId="36173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89" w:type="pct"/>
            <w:tcBorders>
              <w:tl2br w:val="nil"/>
              <w:tr2bl w:val="nil"/>
            </w:tcBorders>
            <w:noWrap w:val="0"/>
            <w:vAlign w:val="center"/>
          </w:tcPr>
          <w:p w14:paraId="78BF84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备注</w:t>
            </w:r>
          </w:p>
        </w:tc>
        <w:tc>
          <w:tcPr>
            <w:tcW w:w="4110" w:type="pct"/>
            <w:gridSpan w:val="4"/>
            <w:tcBorders>
              <w:tl2br w:val="nil"/>
              <w:tr2bl w:val="nil"/>
            </w:tcBorders>
            <w:noWrap w:val="0"/>
            <w:vAlign w:val="center"/>
          </w:tcPr>
          <w:p w14:paraId="64CADA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厂内土壤</w:t>
            </w:r>
            <w:r>
              <w:rPr>
                <w:rFonts w:hint="default" w:ascii="Times New Roman" w:hAnsi="Times New Roman" w:eastAsia="宋体" w:cs="Times New Roman"/>
                <w:sz w:val="21"/>
                <w:szCs w:val="21"/>
                <w:highlight w:val="none"/>
                <w:lang w:eastAsia="zh-CN"/>
              </w:rPr>
              <w:t>执行《土壤环境质量 建设用地土壤污染风险管控标准（试行）》（GB 36600-2018），</w:t>
            </w:r>
            <w:r>
              <w:rPr>
                <w:rFonts w:hint="default" w:ascii="Times New Roman" w:hAnsi="Times New Roman" w:eastAsia="宋体" w:cs="Times New Roman"/>
                <w:sz w:val="21"/>
                <w:szCs w:val="21"/>
                <w:highlight w:val="none"/>
                <w:lang w:val="en-US" w:eastAsia="zh-CN"/>
              </w:rPr>
              <w:t>厂区外农田土壤执行《土壤环境质量 农用地土壤污染风险管控标准（试行）》（GB15618-2018）筛选值标准</w:t>
            </w:r>
          </w:p>
        </w:tc>
      </w:tr>
    </w:tbl>
    <w:p w14:paraId="727E820F">
      <w:pPr>
        <w:spacing w:line="360" w:lineRule="auto"/>
        <w:ind w:firstLine="480" w:firstLineChars="200"/>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val="en-US" w:eastAsia="zh-CN"/>
        </w:rPr>
        <w:t>根据监测结果可知，</w:t>
      </w:r>
      <w:r>
        <w:rPr>
          <w:rFonts w:hint="default" w:ascii="Times New Roman" w:hAnsi="Times New Roman" w:eastAsia="宋体" w:cs="Times New Roman"/>
          <w:color w:val="auto"/>
          <w:sz w:val="24"/>
          <w:szCs w:val="24"/>
          <w:highlight w:val="none"/>
          <w:u w:val="none" w:color="auto"/>
        </w:rPr>
        <w:t>项目所在地监测点位 T1-T</w:t>
      </w:r>
      <w:r>
        <w:rPr>
          <w:rFonts w:hint="eastAsia" w:ascii="Times New Roman" w:hAnsi="Times New Roman" w:eastAsia="宋体" w:cs="Times New Roman"/>
          <w:color w:val="auto"/>
          <w:sz w:val="24"/>
          <w:szCs w:val="24"/>
          <w:highlight w:val="none"/>
          <w:u w:val="none" w:color="auto"/>
          <w:lang w:val="en-US" w:eastAsia="zh-CN"/>
        </w:rPr>
        <w:t>4</w:t>
      </w:r>
      <w:r>
        <w:rPr>
          <w:rFonts w:hint="default" w:ascii="Times New Roman" w:hAnsi="Times New Roman" w:eastAsia="宋体" w:cs="Times New Roman"/>
          <w:color w:val="auto"/>
          <w:sz w:val="24"/>
          <w:szCs w:val="24"/>
          <w:highlight w:val="none"/>
          <w:u w:val="none" w:color="auto"/>
        </w:rPr>
        <w:t xml:space="preserve"> 各监测因子均达到</w:t>
      </w:r>
      <w:r>
        <w:rPr>
          <w:rFonts w:hint="eastAsia" w:ascii="Times New Roman" w:hAnsi="Times New Roman" w:eastAsia="宋体" w:cs="Times New Roman"/>
          <w:color w:val="auto"/>
          <w:sz w:val="24"/>
          <w:szCs w:val="24"/>
          <w:highlight w:val="none"/>
          <w:u w:val="none" w:color="auto"/>
          <w:lang w:val="en-US" w:eastAsia="zh-CN"/>
        </w:rPr>
        <w:t>《土壤环境质量建设用地土壤污染风险管控标准（试行）（GB36600-2018）</w:t>
      </w:r>
      <w:r>
        <w:rPr>
          <w:rFonts w:hint="default" w:ascii="Times New Roman" w:hAnsi="Times New Roman" w:eastAsia="宋体" w:cs="Times New Roman"/>
          <w:color w:val="auto"/>
          <w:sz w:val="24"/>
          <w:szCs w:val="24"/>
          <w:highlight w:val="none"/>
          <w:u w:val="none" w:color="auto"/>
          <w:lang w:val="en-US" w:eastAsia="zh-CN"/>
        </w:rPr>
        <w:t>第</w:t>
      </w:r>
      <w:r>
        <w:rPr>
          <w:rFonts w:hint="eastAsia" w:ascii="Times New Roman" w:hAnsi="Times New Roman" w:eastAsia="宋体" w:cs="Times New Roman"/>
          <w:color w:val="auto"/>
          <w:sz w:val="24"/>
          <w:szCs w:val="24"/>
          <w:highlight w:val="none"/>
          <w:u w:val="none" w:color="auto"/>
          <w:lang w:val="en-US" w:eastAsia="zh-CN"/>
        </w:rPr>
        <w:t>二</w:t>
      </w:r>
      <w:r>
        <w:rPr>
          <w:rFonts w:hint="default" w:ascii="Times New Roman" w:hAnsi="Times New Roman" w:eastAsia="宋体" w:cs="Times New Roman"/>
          <w:color w:val="auto"/>
          <w:sz w:val="24"/>
          <w:szCs w:val="24"/>
          <w:highlight w:val="none"/>
          <w:u w:val="none" w:color="auto"/>
          <w:lang w:val="en-US" w:eastAsia="zh-CN"/>
        </w:rPr>
        <w:t>类用地筛选值标准；</w:t>
      </w:r>
      <w:r>
        <w:rPr>
          <w:rFonts w:hint="default" w:ascii="Times New Roman" w:hAnsi="Times New Roman" w:eastAsia="宋体" w:cs="Times New Roman"/>
          <w:color w:val="auto"/>
          <w:sz w:val="24"/>
          <w:szCs w:val="24"/>
          <w:highlight w:val="none"/>
          <w:u w:val="none" w:color="auto"/>
        </w:rPr>
        <w:t>项目所在地区域农用地监测点位</w:t>
      </w:r>
      <w:r>
        <w:rPr>
          <w:rFonts w:hint="eastAsia" w:ascii="Times New Roman" w:hAnsi="Times New Roman" w:eastAsia="宋体" w:cs="Times New Roman"/>
          <w:color w:val="auto"/>
          <w:sz w:val="24"/>
          <w:szCs w:val="24"/>
          <w:highlight w:val="none"/>
          <w:u w:val="none" w:color="auto"/>
          <w:lang w:val="en-US" w:eastAsia="zh-CN"/>
        </w:rPr>
        <w:t>T5、T6</w:t>
      </w:r>
      <w:r>
        <w:rPr>
          <w:rFonts w:hint="default" w:ascii="Times New Roman" w:hAnsi="Times New Roman" w:eastAsia="宋体" w:cs="Times New Roman"/>
          <w:color w:val="auto"/>
          <w:sz w:val="24"/>
          <w:szCs w:val="24"/>
          <w:highlight w:val="none"/>
          <w:u w:val="none" w:color="auto"/>
        </w:rPr>
        <w:t xml:space="preserve">各监测因子均达到 </w:t>
      </w:r>
      <w:r>
        <w:rPr>
          <w:rFonts w:hint="default" w:ascii="Times New Roman" w:hAnsi="Times New Roman" w:eastAsia="宋体" w:cs="Times New Roman"/>
          <w:color w:val="auto"/>
          <w:sz w:val="24"/>
          <w:szCs w:val="24"/>
          <w:highlight w:val="none"/>
          <w:u w:val="none" w:color="auto"/>
          <w:lang w:val="en-US" w:eastAsia="zh-CN"/>
        </w:rPr>
        <w:t>《土壤环境质量 农用地土壤污染风险管控标准（试行）》（GB15618-2018）</w:t>
      </w:r>
      <w:r>
        <w:rPr>
          <w:rFonts w:hint="default" w:ascii="Times New Roman" w:hAnsi="Times New Roman" w:eastAsia="宋体" w:cs="Times New Roman"/>
          <w:color w:val="auto"/>
          <w:sz w:val="24"/>
          <w:szCs w:val="24"/>
          <w:highlight w:val="none"/>
          <w:u w:val="none" w:color="auto"/>
        </w:rPr>
        <w:t>风险筛选值中其他的标准限值。</w:t>
      </w:r>
    </w:p>
    <w:p w14:paraId="08879516">
      <w:pPr>
        <w:pStyle w:val="7"/>
        <w:bidi w:val="0"/>
        <w:rPr>
          <w:rFonts w:hint="eastAsia"/>
          <w:highlight w:val="none"/>
          <w:lang w:val="en-US" w:eastAsia="zh-CN"/>
        </w:rPr>
      </w:pPr>
      <w:bookmarkStart w:id="164" w:name="_Toc14698"/>
      <w:r>
        <w:rPr>
          <w:rFonts w:hint="eastAsia"/>
          <w:highlight w:val="none"/>
          <w:lang w:val="en-US" w:eastAsia="zh-CN"/>
        </w:rPr>
        <w:t>5.2.6生态环境现状调查</w:t>
      </w:r>
      <w:bookmarkEnd w:id="164"/>
    </w:p>
    <w:p w14:paraId="42AE6918">
      <w:pPr>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eastAsia="宋体" w:cs="Times New Roman"/>
          <w:color w:val="auto"/>
          <w:sz w:val="24"/>
          <w:szCs w:val="24"/>
          <w:highlight w:val="none"/>
          <w:u w:val="none" w:color="auto"/>
          <w:lang w:val="en-US" w:eastAsia="zh-CN"/>
        </w:rPr>
      </w:pPr>
      <w:r>
        <w:rPr>
          <w:rFonts w:hint="default" w:eastAsia="宋体" w:cs="Times New Roman"/>
          <w:color w:val="auto"/>
          <w:sz w:val="24"/>
          <w:szCs w:val="24"/>
          <w:highlight w:val="none"/>
          <w:u w:val="none" w:color="auto"/>
          <w:lang w:val="en-US" w:eastAsia="zh-CN"/>
        </w:rPr>
        <w:t>本项目生态评价范围为厂区范围内及厂区外 200m 范围。本项目用地不涉及自然保护区、生态红线等重要 生态敏感区，不属于水文要素影响型项目，项目地下水水位或土壤影响范围内无有天然林、公益林、湿地等生态保护目标。根据调查项目评价范围内水土流失现状较好，无珍稀、濒危野生动植物物种，名木古树等</w:t>
      </w:r>
      <w:r>
        <w:rPr>
          <w:rFonts w:hint="eastAsia" w:eastAsia="宋体" w:cs="Times New Roman"/>
          <w:color w:val="auto"/>
          <w:sz w:val="24"/>
          <w:szCs w:val="24"/>
          <w:highlight w:val="none"/>
          <w:u w:val="none" w:color="auto"/>
          <w:lang w:val="en-US" w:eastAsia="zh-CN"/>
        </w:rPr>
        <w:t>。</w:t>
      </w:r>
    </w:p>
    <w:p w14:paraId="334BC4C3">
      <w:pPr>
        <w:bidi w:val="0"/>
        <w:rPr>
          <w:highlight w:val="none"/>
          <w:lang w:val="en-US" w:eastAsia="zh-CN"/>
        </w:rPr>
      </w:pPr>
    </w:p>
    <w:p w14:paraId="67AAF07B">
      <w:pPr>
        <w:pStyle w:val="5"/>
        <w:bidi w:val="0"/>
        <w:rPr>
          <w:rFonts w:hint="eastAsia"/>
          <w:highlight w:val="none"/>
          <w:lang w:val="en-US" w:eastAsia="zh-CN"/>
        </w:rPr>
        <w:sectPr>
          <w:footerReference r:id="rId10" w:type="default"/>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466" w:charSpace="0"/>
        </w:sectPr>
      </w:pPr>
    </w:p>
    <w:p w14:paraId="27C153ED">
      <w:pPr>
        <w:pStyle w:val="5"/>
        <w:bidi w:val="0"/>
        <w:rPr>
          <w:highlight w:val="none"/>
        </w:rPr>
      </w:pPr>
      <w:bookmarkStart w:id="165" w:name="_Toc21791"/>
      <w:r>
        <w:rPr>
          <w:rFonts w:hint="eastAsia"/>
          <w:highlight w:val="none"/>
          <w:lang w:val="en-US" w:eastAsia="zh-CN"/>
        </w:rPr>
        <w:t>6、</w:t>
      </w:r>
      <w:r>
        <w:rPr>
          <w:highlight w:val="none"/>
        </w:rPr>
        <w:t>环境影响预测与评价</w:t>
      </w:r>
      <w:bookmarkEnd w:id="165"/>
    </w:p>
    <w:p w14:paraId="4340D3E8">
      <w:pPr>
        <w:pStyle w:val="6"/>
        <w:bidi w:val="0"/>
        <w:rPr>
          <w:highlight w:val="none"/>
        </w:rPr>
      </w:pPr>
      <w:bookmarkStart w:id="166" w:name="_Toc25633"/>
      <w:r>
        <w:rPr>
          <w:rFonts w:hint="eastAsia"/>
          <w:highlight w:val="none"/>
          <w:lang w:val="en-US" w:eastAsia="zh-CN"/>
        </w:rPr>
        <w:t xml:space="preserve">6.1 </w:t>
      </w:r>
      <w:r>
        <w:rPr>
          <w:highlight w:val="none"/>
        </w:rPr>
        <w:t>施工期环境影响预测及分析</w:t>
      </w:r>
      <w:bookmarkEnd w:id="166"/>
    </w:p>
    <w:p w14:paraId="2C642D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本项目属于新建项目，拟选址于</w:t>
      </w:r>
      <w:r>
        <w:rPr>
          <w:rFonts w:hint="eastAsia" w:ascii="Times New Roman" w:hAnsi="Times New Roman" w:eastAsia="宋体" w:cs="Times New Roman"/>
          <w:kern w:val="2"/>
          <w:sz w:val="24"/>
          <w:szCs w:val="24"/>
          <w:highlight w:val="none"/>
          <w:lang w:val="en-US" w:eastAsia="en-US" w:bidi="ar-SA"/>
        </w:rPr>
        <w:t>岳阳县荣家湾镇岳阳高新技术产业园武广路3号创新创业基地C栋</w:t>
      </w:r>
      <w:r>
        <w:rPr>
          <w:rFonts w:hint="eastAsia" w:eastAsia="宋体" w:cs="Times New Roman"/>
          <w:kern w:val="2"/>
          <w:sz w:val="24"/>
          <w:szCs w:val="24"/>
          <w:highlight w:val="none"/>
          <w:lang w:val="en-US" w:eastAsia="zh-CN" w:bidi="ar-SA"/>
        </w:rPr>
        <w:t>（2F），租赁</w:t>
      </w:r>
      <w:r>
        <w:rPr>
          <w:rFonts w:hint="eastAsia" w:ascii="Times New Roman" w:hAnsi="Times New Roman" w:eastAsia="宋体" w:cs="Times New Roman"/>
          <w:kern w:val="2"/>
          <w:sz w:val="24"/>
          <w:szCs w:val="24"/>
          <w:highlight w:val="none"/>
          <w:lang w:val="en-US" w:eastAsia="zh-CN" w:bidi="ar-SA"/>
        </w:rPr>
        <w:t>已建</w:t>
      </w:r>
      <w:r>
        <w:rPr>
          <w:rFonts w:hint="eastAsia" w:eastAsia="宋体" w:cs="Times New Roman"/>
          <w:kern w:val="2"/>
          <w:sz w:val="24"/>
          <w:szCs w:val="24"/>
          <w:highlight w:val="none"/>
          <w:lang w:val="en-US" w:eastAsia="zh-CN" w:bidi="ar-SA"/>
        </w:rPr>
        <w:t>闲置</w:t>
      </w:r>
      <w:r>
        <w:rPr>
          <w:rFonts w:hint="eastAsia" w:ascii="Times New Roman" w:hAnsi="Times New Roman" w:eastAsia="宋体" w:cs="Times New Roman"/>
          <w:kern w:val="2"/>
          <w:sz w:val="24"/>
          <w:szCs w:val="24"/>
          <w:highlight w:val="none"/>
          <w:lang w:val="en-US" w:eastAsia="zh-CN" w:bidi="ar-SA"/>
        </w:rPr>
        <w:t>标准厂房。施工期2个月。施工期主要内容为厂房改造装修以及安装工程。厂房改造主要是对厂房进行分区隔断及设备基础建设及设备安装。</w:t>
      </w:r>
    </w:p>
    <w:p w14:paraId="651EC617">
      <w:pPr>
        <w:pStyle w:val="7"/>
        <w:bidi w:val="0"/>
        <w:rPr>
          <w:highlight w:val="none"/>
        </w:rPr>
      </w:pPr>
      <w:bookmarkStart w:id="167" w:name="_Toc6313"/>
      <w:r>
        <w:rPr>
          <w:highlight w:val="none"/>
        </w:rPr>
        <w:t>5.1.1施工期大气环境影响评价</w:t>
      </w:r>
      <w:bookmarkEnd w:id="167"/>
    </w:p>
    <w:p w14:paraId="1DA212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本项目施工期对大气环境的影响主要来自建筑材料装卸产生的扬尘、厂房改造装饰及交通运输产生的扬尘；汽车产生的废气等。</w:t>
      </w:r>
    </w:p>
    <w:p w14:paraId="5DB1EC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厂房改造装饰产生的扬尘可通过对厂房地面洒水抑制扬尘，且施工基本在厂房内，因此厂房内的扬尘对外环境的影响基本无影响；车辆会产生废气，由于废气排放量较小，且施工场地地形开阔，年均风速较大，有利于大气污染物扩散，同时废气污染源具有间歇性和流动性，因此汽车尾气环境影响较小。运输车辆在离开施工场地后因颠簸或风的作用对沿途周围环境产生扬尘污染，施工单位应加强车辆管理，运输车辆遮盖篷布，颠簸路段控制车速，对路面进行清扫，最大程度减少对周边的影响。</w:t>
      </w:r>
    </w:p>
    <w:p w14:paraId="5B39C6D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上述环境空气影响具有短期性，施工结束后影响随之消失。</w:t>
      </w:r>
    </w:p>
    <w:p w14:paraId="6FE04C07">
      <w:pPr>
        <w:pStyle w:val="7"/>
        <w:bidi w:val="0"/>
        <w:rPr>
          <w:highlight w:val="none"/>
        </w:rPr>
      </w:pPr>
      <w:bookmarkStart w:id="168" w:name="_Toc32412"/>
      <w:r>
        <w:rPr>
          <w:highlight w:val="none"/>
        </w:rPr>
        <w:t>5.1.2施工期水环境影响评价</w:t>
      </w:r>
      <w:bookmarkEnd w:id="168"/>
    </w:p>
    <w:p w14:paraId="7CF429F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施工期废水主要来自工程施工人员的生活污水，生活污水中主要污染物是CODcr、BOD、SS，生活废水依托租赁厂区的建成配套设施排入园区管网，最终进入岳阳高新区污水处理厂进行处理。</w:t>
      </w:r>
    </w:p>
    <w:p w14:paraId="4516280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施工期间的污染负荷量较小，施工结束后其影响也就随之消除，对地表水环境影响很小。</w:t>
      </w:r>
    </w:p>
    <w:p w14:paraId="5146DFD1">
      <w:pPr>
        <w:pStyle w:val="7"/>
        <w:bidi w:val="0"/>
        <w:rPr>
          <w:highlight w:val="none"/>
        </w:rPr>
      </w:pPr>
      <w:bookmarkStart w:id="169" w:name="_Toc2448"/>
      <w:r>
        <w:rPr>
          <w:highlight w:val="none"/>
        </w:rPr>
        <w:t>5.1.3施工期声环境影响评价</w:t>
      </w:r>
      <w:bookmarkEnd w:id="169"/>
    </w:p>
    <w:p w14:paraId="225358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本项目施工期主要对厂房进行改造及设备安装，无大型施工设备，机械噪声一般在75~90dB(A)之间，通过对施工设备进行消声、减震等措施，经过厂房墙体隔声后，对周围环境影响较小。</w:t>
      </w:r>
    </w:p>
    <w:p w14:paraId="4F359CF4">
      <w:pPr>
        <w:pStyle w:val="7"/>
        <w:bidi w:val="0"/>
        <w:rPr>
          <w:highlight w:val="none"/>
        </w:rPr>
      </w:pPr>
      <w:bookmarkStart w:id="170" w:name="_Toc7161"/>
      <w:r>
        <w:rPr>
          <w:highlight w:val="none"/>
        </w:rPr>
        <w:t>5.1.4施工期固体废物环境影响评价</w:t>
      </w:r>
      <w:bookmarkEnd w:id="170"/>
    </w:p>
    <w:p w14:paraId="0DBF0A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施工期间固体废物，主要为施工人员生活垃圾及施工建筑垃圾。</w:t>
      </w:r>
    </w:p>
    <w:p w14:paraId="182DA2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本项目施工期间，施工人员生活垃圾依托当地环卫部门及时清运处理。总体而言，施工期间生活垃圾数量较小，只要认真落实并执行施工环境保护管理有关规定，垃圾及时清运至环卫部门指定的地点，对环境影响较小。施工中建筑垃圾产生的建筑垃圾不能随意丢弃，应该运送至政府指定的建筑垃圾消纳场进行处理。</w:t>
      </w:r>
    </w:p>
    <w:p w14:paraId="49FA65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总体而言，本项目施工期固体废物均能得到妥善处置。</w:t>
      </w:r>
    </w:p>
    <w:p w14:paraId="06642DDD">
      <w:pPr>
        <w:pStyle w:val="7"/>
        <w:bidi w:val="0"/>
        <w:rPr>
          <w:highlight w:val="none"/>
        </w:rPr>
      </w:pPr>
      <w:bookmarkStart w:id="171" w:name="_Toc19938"/>
      <w:r>
        <w:rPr>
          <w:rFonts w:hint="eastAsia"/>
          <w:highlight w:val="none"/>
          <w:lang w:val="en-US" w:eastAsia="zh-CN"/>
        </w:rPr>
        <w:t>5</w:t>
      </w:r>
      <w:r>
        <w:rPr>
          <w:highlight w:val="none"/>
        </w:rPr>
        <w:t>.1.5 施工期生态影响分析</w:t>
      </w:r>
      <w:bookmarkEnd w:id="171"/>
    </w:p>
    <w:p w14:paraId="62576DF3">
      <w:pPr>
        <w:keepNext w:val="0"/>
        <w:keepLines w:val="0"/>
        <w:pageBreakBefore w:val="0"/>
        <w:widowControl w:val="0"/>
        <w:kinsoku/>
        <w:wordWrap/>
        <w:overflowPunct/>
        <w:topLinePunct w:val="0"/>
        <w:autoSpaceDE/>
        <w:autoSpaceDN/>
        <w:bidi w:val="0"/>
        <w:adjustRightInd/>
        <w:snapToGrid/>
        <w:spacing w:line="360" w:lineRule="auto"/>
        <w:ind w:left="0" w:leftChars="0" w:firstLine="468" w:firstLineChars="200"/>
        <w:jc w:val="both"/>
        <w:textAlignment w:val="auto"/>
        <w:rPr>
          <w:rFonts w:hint="eastAsia" w:ascii="宋体" w:hAnsi="宋体" w:eastAsia="宋体" w:cs="宋体"/>
          <w:spacing w:val="-3"/>
          <w:sz w:val="24"/>
          <w:szCs w:val="24"/>
          <w:highlight w:val="none"/>
          <w:lang w:val="en-US" w:eastAsia="zh-CN"/>
        </w:rPr>
      </w:pPr>
      <w:r>
        <w:rPr>
          <w:rFonts w:ascii="宋体" w:hAnsi="宋体" w:eastAsia="宋体" w:cs="宋体"/>
          <w:spacing w:val="-3"/>
          <w:sz w:val="24"/>
          <w:szCs w:val="24"/>
          <w:highlight w:val="none"/>
        </w:rPr>
        <w:t>本建设项目所在地位于岳阳县荣家湾镇高新技术产</w:t>
      </w:r>
      <w:r>
        <w:rPr>
          <w:rFonts w:ascii="宋体" w:hAnsi="宋体" w:eastAsia="宋体" w:cs="宋体"/>
          <w:spacing w:val="-4"/>
          <w:sz w:val="24"/>
          <w:szCs w:val="24"/>
          <w:highlight w:val="none"/>
        </w:rPr>
        <w:t>业园区规划用地内，项目</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建设场地现场由园区进行了场地平整</w:t>
      </w:r>
      <w:r>
        <w:rPr>
          <w:rFonts w:hint="eastAsia" w:ascii="宋体" w:hAnsi="宋体" w:eastAsia="宋体" w:cs="宋体"/>
          <w:spacing w:val="-3"/>
          <w:sz w:val="24"/>
          <w:szCs w:val="24"/>
          <w:highlight w:val="none"/>
          <w:lang w:eastAsia="zh-CN"/>
        </w:rPr>
        <w:t>。</w:t>
      </w:r>
      <w:r>
        <w:rPr>
          <w:rFonts w:hint="eastAsia" w:ascii="宋体" w:hAnsi="宋体" w:eastAsia="宋体" w:cs="宋体"/>
          <w:spacing w:val="-3"/>
          <w:sz w:val="24"/>
          <w:szCs w:val="24"/>
          <w:highlight w:val="none"/>
          <w:lang w:val="en-US" w:eastAsia="zh-CN"/>
        </w:rPr>
        <w:t>本项目的建设在租赁的已建标准厂房内施工，对周围的生物影响较小。</w:t>
      </w:r>
    </w:p>
    <w:p w14:paraId="44AA02DA">
      <w:pPr>
        <w:pStyle w:val="6"/>
        <w:bidi w:val="0"/>
        <w:rPr>
          <w:highlight w:val="none"/>
        </w:rPr>
      </w:pPr>
      <w:bookmarkStart w:id="172" w:name="_Toc13291"/>
      <w:r>
        <w:rPr>
          <w:highlight w:val="none"/>
        </w:rPr>
        <w:t>6.</w:t>
      </w:r>
      <w:r>
        <w:rPr>
          <w:rFonts w:hint="eastAsia"/>
          <w:highlight w:val="none"/>
          <w:lang w:val="en-US" w:eastAsia="zh-CN"/>
        </w:rPr>
        <w:t>2营运期</w:t>
      </w:r>
      <w:r>
        <w:rPr>
          <w:highlight w:val="none"/>
        </w:rPr>
        <w:t>大气环境影响分析</w:t>
      </w:r>
      <w:bookmarkEnd w:id="172"/>
    </w:p>
    <w:p w14:paraId="2E343D8A">
      <w:pPr>
        <w:pStyle w:val="7"/>
        <w:bidi w:val="0"/>
        <w:rPr>
          <w:rFonts w:hint="default"/>
          <w:highlight w:val="none"/>
        </w:rPr>
      </w:pPr>
      <w:bookmarkStart w:id="173" w:name="_Toc6036"/>
      <w:bookmarkStart w:id="174" w:name="_Toc13633"/>
      <w:bookmarkStart w:id="175" w:name="_Toc10485"/>
      <w:bookmarkStart w:id="176" w:name="_Toc5048"/>
      <w:bookmarkStart w:id="177" w:name="_Toc7328"/>
      <w:r>
        <w:rPr>
          <w:rFonts w:hint="eastAsia"/>
          <w:highlight w:val="none"/>
          <w:lang w:val="en-US" w:eastAsia="zh-CN"/>
        </w:rPr>
        <w:t>6</w:t>
      </w:r>
      <w:r>
        <w:rPr>
          <w:rFonts w:hint="default"/>
          <w:highlight w:val="none"/>
        </w:rPr>
        <w:t>.2.1气象分析</w:t>
      </w:r>
      <w:bookmarkEnd w:id="173"/>
      <w:bookmarkEnd w:id="174"/>
      <w:bookmarkEnd w:id="175"/>
      <w:bookmarkEnd w:id="176"/>
      <w:bookmarkEnd w:id="177"/>
    </w:p>
    <w:p w14:paraId="07B94EA8">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（1）气象资料来源</w:t>
      </w:r>
    </w:p>
    <w:p w14:paraId="6206E2FD">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岳阳市气象站位于岳阳市洞庭北路，北纬29°23′，东经113°05′，观测场海拔高度：51.6m。本次环评收集了该气象观测站近20年来气象资料。</w:t>
      </w:r>
    </w:p>
    <w:p w14:paraId="4AB12350">
      <w:pPr>
        <w:pStyle w:val="50"/>
        <w:rPr>
          <w:rFonts w:hint="eastAsia" w:ascii="Times New Roman" w:hAnsi="Times New Roman" w:eastAsia="宋体"/>
          <w:color w:val="auto"/>
          <w:highlight w:val="none"/>
          <w:u w:val="none" w:color="auto"/>
          <w:lang w:eastAsia="zh-CN"/>
        </w:rPr>
      </w:pPr>
      <w:r>
        <w:rPr>
          <w:rFonts w:ascii="Times New Roman" w:hAnsi="Times New Roman" w:eastAsia="宋体"/>
          <w:color w:val="auto"/>
          <w:highlight w:val="none"/>
          <w:u w:val="none" w:color="auto"/>
        </w:rPr>
        <w:t>（2）气候特征</w:t>
      </w:r>
    </w:p>
    <w:p w14:paraId="2B41AE34">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该区域属亚热带湿润气候，冬季寒冷，夏季炎热，春季多雨，秋季干旱，四季分明，常年多雾。年平均气温为17.1℃；最高气温39.3℃；最低气温为-11.8℃。年平均相对湿度78%；年平均降雨量为1295.1mm；常年主导风向为NNE，频率为18%；冬季主导风向为NNE（22%），夏季主导风向为SSE（15%），年平均风速为2.9m/s。</w:t>
      </w:r>
    </w:p>
    <w:p w14:paraId="625FCAAA">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（3）地面气象要素</w:t>
      </w:r>
    </w:p>
    <w:p w14:paraId="568E1A3E">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表</w:t>
      </w:r>
      <w:r>
        <w:rPr>
          <w:rFonts w:hint="eastAsia" w:ascii="Times New Roman" w:hAnsi="Times New Roman" w:eastAsia="宋体"/>
          <w:color w:val="auto"/>
          <w:highlight w:val="none"/>
          <w:u w:val="none" w:color="auto"/>
          <w:lang w:eastAsia="zh-CN"/>
        </w:rPr>
        <w:t>5.</w:t>
      </w:r>
      <w:r>
        <w:rPr>
          <w:rFonts w:ascii="Times New Roman" w:hAnsi="Times New Roman" w:eastAsia="宋体"/>
          <w:color w:val="auto"/>
          <w:highlight w:val="none"/>
          <w:u w:val="none" w:color="auto"/>
        </w:rPr>
        <w:t>2-</w:t>
      </w:r>
      <w:r>
        <w:rPr>
          <w:rFonts w:hint="eastAsia" w:ascii="Times New Roman" w:hAnsi="Times New Roman" w:eastAsia="宋体"/>
          <w:color w:val="auto"/>
          <w:highlight w:val="none"/>
          <w:u w:val="none" w:color="auto"/>
          <w:lang w:val="en-US" w:eastAsia="zh-CN"/>
        </w:rPr>
        <w:t>6</w:t>
      </w:r>
      <w:r>
        <w:rPr>
          <w:rFonts w:ascii="Times New Roman" w:hAnsi="Times New Roman" w:eastAsia="宋体"/>
          <w:color w:val="auto"/>
          <w:highlight w:val="none"/>
          <w:u w:val="none" w:color="auto"/>
        </w:rPr>
        <w:t>为岳阳市气象站近20年的气温、气压、湿度、降水量。蒸发量等地面气象要素的统计结果。</w:t>
      </w:r>
    </w:p>
    <w:p w14:paraId="17EB4B53">
      <w:pPr>
        <w:adjustRightInd w:val="0"/>
        <w:snapToGrid w:val="0"/>
        <w:spacing w:line="360" w:lineRule="auto"/>
        <w:jc w:val="center"/>
        <w:rPr>
          <w:rFonts w:ascii="Times New Roman" w:hAnsi="Times New Roman" w:eastAsia="宋体"/>
          <w:b/>
          <w:bCs/>
          <w:color w:val="auto"/>
          <w:sz w:val="24"/>
          <w:highlight w:val="none"/>
          <w:u w:val="none" w:color="auto"/>
        </w:rPr>
      </w:pPr>
      <w:r>
        <w:rPr>
          <w:rFonts w:ascii="Times New Roman" w:hAnsi="Times New Roman" w:eastAsia="宋体"/>
          <w:b/>
          <w:bCs/>
          <w:color w:val="auto"/>
          <w:sz w:val="24"/>
          <w:highlight w:val="none"/>
          <w:u w:val="none" w:color="auto"/>
        </w:rPr>
        <w:t>表</w:t>
      </w:r>
      <w:r>
        <w:rPr>
          <w:rFonts w:hint="eastAsia" w:ascii="Times New Roman" w:hAnsi="Times New Roman" w:eastAsia="宋体"/>
          <w:b/>
          <w:bCs/>
          <w:color w:val="auto"/>
          <w:sz w:val="24"/>
          <w:highlight w:val="none"/>
          <w:u w:val="none" w:color="auto"/>
          <w:lang w:val="en-US" w:eastAsia="zh-CN"/>
        </w:rPr>
        <w:t>6</w:t>
      </w:r>
      <w:r>
        <w:rPr>
          <w:rFonts w:hint="eastAsia" w:ascii="Times New Roman" w:hAnsi="Times New Roman" w:eastAsia="宋体"/>
          <w:b/>
          <w:bCs/>
          <w:color w:val="auto"/>
          <w:sz w:val="24"/>
          <w:highlight w:val="none"/>
          <w:u w:val="none" w:color="auto"/>
          <w:lang w:eastAsia="zh-CN"/>
        </w:rPr>
        <w:t>.</w:t>
      </w:r>
      <w:r>
        <w:rPr>
          <w:rFonts w:ascii="Times New Roman" w:hAnsi="Times New Roman" w:eastAsia="宋体"/>
          <w:b/>
          <w:bCs/>
          <w:color w:val="auto"/>
          <w:sz w:val="24"/>
          <w:highlight w:val="none"/>
          <w:u w:val="none" w:color="auto"/>
        </w:rPr>
        <w:t>2-</w:t>
      </w:r>
      <w:r>
        <w:rPr>
          <w:rFonts w:hint="eastAsia" w:ascii="Times New Roman" w:hAnsi="Times New Roman" w:eastAsia="宋体"/>
          <w:b/>
          <w:bCs/>
          <w:color w:val="auto"/>
          <w:sz w:val="24"/>
          <w:highlight w:val="none"/>
          <w:u w:val="none" w:color="auto"/>
          <w:lang w:val="en-US" w:eastAsia="zh-CN"/>
        </w:rPr>
        <w:t xml:space="preserve">1   </w:t>
      </w:r>
      <w:r>
        <w:rPr>
          <w:rFonts w:ascii="Times New Roman" w:hAnsi="Times New Roman" w:eastAsia="宋体"/>
          <w:b/>
          <w:bCs/>
          <w:color w:val="auto"/>
          <w:sz w:val="24"/>
          <w:highlight w:val="none"/>
          <w:u w:val="none" w:color="auto"/>
        </w:rPr>
        <w:t>常规气象要素统计值</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14:paraId="3489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noWrap w:val="0"/>
            <w:vAlign w:val="center"/>
          </w:tcPr>
          <w:p w14:paraId="05997249">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项目月份</w:t>
            </w:r>
          </w:p>
        </w:tc>
        <w:tc>
          <w:tcPr>
            <w:tcW w:w="1420" w:type="dxa"/>
            <w:noWrap w:val="0"/>
            <w:vAlign w:val="center"/>
          </w:tcPr>
          <w:p w14:paraId="5DDEB53E">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平均气温℃</w:t>
            </w:r>
          </w:p>
        </w:tc>
        <w:tc>
          <w:tcPr>
            <w:tcW w:w="1420" w:type="dxa"/>
            <w:noWrap w:val="0"/>
            <w:vAlign w:val="center"/>
          </w:tcPr>
          <w:p w14:paraId="20F29C1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平均气压hpa</w:t>
            </w:r>
          </w:p>
        </w:tc>
        <w:tc>
          <w:tcPr>
            <w:tcW w:w="1420" w:type="dxa"/>
            <w:noWrap w:val="0"/>
            <w:vAlign w:val="center"/>
          </w:tcPr>
          <w:p w14:paraId="1663CFFA">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平均相对湿度%</w:t>
            </w:r>
          </w:p>
        </w:tc>
        <w:tc>
          <w:tcPr>
            <w:tcW w:w="1421" w:type="dxa"/>
            <w:noWrap w:val="0"/>
            <w:vAlign w:val="center"/>
          </w:tcPr>
          <w:p w14:paraId="7B291DD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平均降水量mm</w:t>
            </w:r>
          </w:p>
        </w:tc>
        <w:tc>
          <w:tcPr>
            <w:tcW w:w="1421" w:type="dxa"/>
            <w:noWrap w:val="0"/>
            <w:vAlign w:val="center"/>
          </w:tcPr>
          <w:p w14:paraId="7E342CB3">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平均蒸发量mm</w:t>
            </w:r>
          </w:p>
        </w:tc>
      </w:tr>
      <w:tr w14:paraId="7045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6B31EEF0">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w:t>
            </w:r>
          </w:p>
        </w:tc>
        <w:tc>
          <w:tcPr>
            <w:tcW w:w="1420" w:type="dxa"/>
            <w:noWrap w:val="0"/>
            <w:vAlign w:val="center"/>
          </w:tcPr>
          <w:p w14:paraId="128DB3B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5.3</w:t>
            </w:r>
          </w:p>
        </w:tc>
        <w:tc>
          <w:tcPr>
            <w:tcW w:w="1420" w:type="dxa"/>
            <w:noWrap w:val="0"/>
            <w:vAlign w:val="center"/>
          </w:tcPr>
          <w:p w14:paraId="0CA63697">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985.9</w:t>
            </w:r>
          </w:p>
        </w:tc>
        <w:tc>
          <w:tcPr>
            <w:tcW w:w="1420" w:type="dxa"/>
            <w:noWrap w:val="0"/>
            <w:vAlign w:val="center"/>
          </w:tcPr>
          <w:p w14:paraId="7FE0CE06">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85</w:t>
            </w:r>
          </w:p>
        </w:tc>
        <w:tc>
          <w:tcPr>
            <w:tcW w:w="1421" w:type="dxa"/>
            <w:noWrap w:val="0"/>
            <w:vAlign w:val="center"/>
          </w:tcPr>
          <w:p w14:paraId="58305443">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79.3</w:t>
            </w:r>
          </w:p>
        </w:tc>
        <w:tc>
          <w:tcPr>
            <w:tcW w:w="1421" w:type="dxa"/>
            <w:noWrap w:val="0"/>
            <w:vAlign w:val="center"/>
          </w:tcPr>
          <w:p w14:paraId="2A7FB49F">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45.1</w:t>
            </w:r>
          </w:p>
        </w:tc>
      </w:tr>
      <w:tr w14:paraId="752C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06C8E5E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w:t>
            </w:r>
          </w:p>
        </w:tc>
        <w:tc>
          <w:tcPr>
            <w:tcW w:w="1420" w:type="dxa"/>
            <w:noWrap w:val="0"/>
            <w:vAlign w:val="center"/>
          </w:tcPr>
          <w:p w14:paraId="57F31B1C">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7.1</w:t>
            </w:r>
          </w:p>
        </w:tc>
        <w:tc>
          <w:tcPr>
            <w:tcW w:w="1420" w:type="dxa"/>
            <w:noWrap w:val="0"/>
            <w:vAlign w:val="center"/>
          </w:tcPr>
          <w:p w14:paraId="238C0563">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983.6</w:t>
            </w:r>
          </w:p>
        </w:tc>
        <w:tc>
          <w:tcPr>
            <w:tcW w:w="1420" w:type="dxa"/>
            <w:noWrap w:val="0"/>
            <w:vAlign w:val="center"/>
          </w:tcPr>
          <w:p w14:paraId="59045149">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85</w:t>
            </w:r>
          </w:p>
        </w:tc>
        <w:tc>
          <w:tcPr>
            <w:tcW w:w="1421" w:type="dxa"/>
            <w:noWrap w:val="0"/>
            <w:vAlign w:val="center"/>
          </w:tcPr>
          <w:p w14:paraId="6E1E195E">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110.5</w:t>
            </w:r>
          </w:p>
        </w:tc>
        <w:tc>
          <w:tcPr>
            <w:tcW w:w="1421" w:type="dxa"/>
            <w:noWrap w:val="0"/>
            <w:vAlign w:val="center"/>
          </w:tcPr>
          <w:p w14:paraId="0FBDA66F">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51.3</w:t>
            </w:r>
          </w:p>
        </w:tc>
      </w:tr>
      <w:tr w14:paraId="33BB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07589F66">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3</w:t>
            </w:r>
          </w:p>
        </w:tc>
        <w:tc>
          <w:tcPr>
            <w:tcW w:w="1420" w:type="dxa"/>
            <w:noWrap w:val="0"/>
            <w:vAlign w:val="center"/>
          </w:tcPr>
          <w:p w14:paraId="57F86D13">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11.1</w:t>
            </w:r>
          </w:p>
        </w:tc>
        <w:tc>
          <w:tcPr>
            <w:tcW w:w="1420" w:type="dxa"/>
            <w:noWrap w:val="0"/>
            <w:vAlign w:val="center"/>
          </w:tcPr>
          <w:p w14:paraId="67906D73">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980.4</w:t>
            </w:r>
          </w:p>
        </w:tc>
        <w:tc>
          <w:tcPr>
            <w:tcW w:w="1420" w:type="dxa"/>
            <w:noWrap w:val="0"/>
            <w:vAlign w:val="center"/>
          </w:tcPr>
          <w:p w14:paraId="19AD2170">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86</w:t>
            </w:r>
          </w:p>
        </w:tc>
        <w:tc>
          <w:tcPr>
            <w:tcW w:w="1421" w:type="dxa"/>
            <w:noWrap w:val="0"/>
            <w:vAlign w:val="center"/>
          </w:tcPr>
          <w:p w14:paraId="3B881C3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151.4</w:t>
            </w:r>
          </w:p>
        </w:tc>
        <w:tc>
          <w:tcPr>
            <w:tcW w:w="1421" w:type="dxa"/>
            <w:noWrap w:val="0"/>
            <w:vAlign w:val="center"/>
          </w:tcPr>
          <w:p w14:paraId="0A9EC5AE">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73.9</w:t>
            </w:r>
          </w:p>
        </w:tc>
      </w:tr>
      <w:tr w14:paraId="5BD6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61E0DA4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4</w:t>
            </w:r>
          </w:p>
        </w:tc>
        <w:tc>
          <w:tcPr>
            <w:tcW w:w="1420" w:type="dxa"/>
            <w:noWrap w:val="0"/>
            <w:vAlign w:val="center"/>
          </w:tcPr>
          <w:p w14:paraId="2F134145">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17.5</w:t>
            </w:r>
          </w:p>
        </w:tc>
        <w:tc>
          <w:tcPr>
            <w:tcW w:w="1420" w:type="dxa"/>
            <w:noWrap w:val="0"/>
            <w:vAlign w:val="center"/>
          </w:tcPr>
          <w:p w14:paraId="68FFCAD0">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976.2</w:t>
            </w:r>
          </w:p>
        </w:tc>
        <w:tc>
          <w:tcPr>
            <w:tcW w:w="1420" w:type="dxa"/>
            <w:noWrap w:val="0"/>
            <w:vAlign w:val="center"/>
          </w:tcPr>
          <w:p w14:paraId="06F1FA5F">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83</w:t>
            </w:r>
          </w:p>
        </w:tc>
        <w:tc>
          <w:tcPr>
            <w:tcW w:w="1421" w:type="dxa"/>
            <w:noWrap w:val="0"/>
            <w:vAlign w:val="center"/>
          </w:tcPr>
          <w:p w14:paraId="225041CD">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190.1</w:t>
            </w:r>
          </w:p>
        </w:tc>
        <w:tc>
          <w:tcPr>
            <w:tcW w:w="1421" w:type="dxa"/>
            <w:noWrap w:val="0"/>
            <w:vAlign w:val="center"/>
          </w:tcPr>
          <w:p w14:paraId="0DFE5699">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113.0</w:t>
            </w:r>
          </w:p>
        </w:tc>
      </w:tr>
      <w:tr w14:paraId="4925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3B57C7F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5</w:t>
            </w:r>
          </w:p>
        </w:tc>
        <w:tc>
          <w:tcPr>
            <w:tcW w:w="1420" w:type="dxa"/>
            <w:noWrap w:val="0"/>
            <w:vAlign w:val="center"/>
          </w:tcPr>
          <w:p w14:paraId="022189B0">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22</w:t>
            </w:r>
          </w:p>
        </w:tc>
        <w:tc>
          <w:tcPr>
            <w:tcW w:w="1420" w:type="dxa"/>
            <w:noWrap w:val="0"/>
            <w:vAlign w:val="center"/>
          </w:tcPr>
          <w:p w14:paraId="569F6106">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972.9</w:t>
            </w:r>
          </w:p>
        </w:tc>
        <w:tc>
          <w:tcPr>
            <w:tcW w:w="1420" w:type="dxa"/>
            <w:noWrap w:val="0"/>
            <w:vAlign w:val="center"/>
          </w:tcPr>
          <w:p w14:paraId="7F8405A7">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82</w:t>
            </w:r>
          </w:p>
        </w:tc>
        <w:tc>
          <w:tcPr>
            <w:tcW w:w="1421" w:type="dxa"/>
            <w:noWrap w:val="0"/>
            <w:vAlign w:val="center"/>
          </w:tcPr>
          <w:p w14:paraId="373CA485">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212.7</w:t>
            </w:r>
          </w:p>
        </w:tc>
        <w:tc>
          <w:tcPr>
            <w:tcW w:w="1421" w:type="dxa"/>
            <w:noWrap w:val="0"/>
            <w:vAlign w:val="center"/>
          </w:tcPr>
          <w:p w14:paraId="16E4874F">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142.0</w:t>
            </w:r>
          </w:p>
        </w:tc>
      </w:tr>
      <w:tr w14:paraId="6507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52C1413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6</w:t>
            </w:r>
          </w:p>
        </w:tc>
        <w:tc>
          <w:tcPr>
            <w:tcW w:w="1420" w:type="dxa"/>
            <w:noWrap w:val="0"/>
            <w:vAlign w:val="center"/>
          </w:tcPr>
          <w:p w14:paraId="5CADE262">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25.7</w:t>
            </w:r>
          </w:p>
        </w:tc>
        <w:tc>
          <w:tcPr>
            <w:tcW w:w="1420" w:type="dxa"/>
            <w:noWrap w:val="0"/>
            <w:vAlign w:val="center"/>
          </w:tcPr>
          <w:p w14:paraId="6A87B3B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969.2</w:t>
            </w:r>
          </w:p>
        </w:tc>
        <w:tc>
          <w:tcPr>
            <w:tcW w:w="1420" w:type="dxa"/>
            <w:noWrap w:val="0"/>
            <w:vAlign w:val="center"/>
          </w:tcPr>
          <w:p w14:paraId="619A7479">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80</w:t>
            </w:r>
          </w:p>
        </w:tc>
        <w:tc>
          <w:tcPr>
            <w:tcW w:w="1421" w:type="dxa"/>
            <w:noWrap w:val="0"/>
            <w:vAlign w:val="center"/>
          </w:tcPr>
          <w:p w14:paraId="5D94309F">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175.4</w:t>
            </w:r>
          </w:p>
        </w:tc>
        <w:tc>
          <w:tcPr>
            <w:tcW w:w="1421" w:type="dxa"/>
            <w:noWrap w:val="0"/>
            <w:vAlign w:val="center"/>
          </w:tcPr>
          <w:p w14:paraId="158EC2D4">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179.2</w:t>
            </w:r>
          </w:p>
        </w:tc>
      </w:tr>
      <w:tr w14:paraId="2B63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7B98B8E0">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w:t>
            </w:r>
          </w:p>
        </w:tc>
        <w:tc>
          <w:tcPr>
            <w:tcW w:w="1420" w:type="dxa"/>
            <w:noWrap w:val="0"/>
            <w:vAlign w:val="center"/>
          </w:tcPr>
          <w:p w14:paraId="2740073A">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28.2</w:t>
            </w:r>
          </w:p>
        </w:tc>
        <w:tc>
          <w:tcPr>
            <w:tcW w:w="1420" w:type="dxa"/>
            <w:noWrap w:val="0"/>
            <w:vAlign w:val="center"/>
          </w:tcPr>
          <w:p w14:paraId="7714907D">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968.3</w:t>
            </w:r>
          </w:p>
        </w:tc>
        <w:tc>
          <w:tcPr>
            <w:tcW w:w="1420" w:type="dxa"/>
            <w:noWrap w:val="0"/>
            <w:vAlign w:val="center"/>
          </w:tcPr>
          <w:p w14:paraId="695BB986">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72</w:t>
            </w:r>
          </w:p>
        </w:tc>
        <w:tc>
          <w:tcPr>
            <w:tcW w:w="1421" w:type="dxa"/>
            <w:noWrap w:val="0"/>
            <w:vAlign w:val="center"/>
          </w:tcPr>
          <w:p w14:paraId="1D1C6C4D">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116.8</w:t>
            </w:r>
          </w:p>
        </w:tc>
        <w:tc>
          <w:tcPr>
            <w:tcW w:w="1421" w:type="dxa"/>
            <w:noWrap w:val="0"/>
            <w:vAlign w:val="center"/>
          </w:tcPr>
          <w:p w14:paraId="2F698186">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252.0</w:t>
            </w:r>
          </w:p>
        </w:tc>
      </w:tr>
      <w:tr w14:paraId="26F0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307A878A">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w:t>
            </w:r>
          </w:p>
        </w:tc>
        <w:tc>
          <w:tcPr>
            <w:tcW w:w="1420" w:type="dxa"/>
            <w:noWrap w:val="0"/>
            <w:vAlign w:val="center"/>
          </w:tcPr>
          <w:p w14:paraId="4130369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27.2</w:t>
            </w:r>
          </w:p>
        </w:tc>
        <w:tc>
          <w:tcPr>
            <w:tcW w:w="1420" w:type="dxa"/>
            <w:noWrap w:val="0"/>
            <w:vAlign w:val="center"/>
          </w:tcPr>
          <w:p w14:paraId="32828F2E">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969.2</w:t>
            </w:r>
          </w:p>
        </w:tc>
        <w:tc>
          <w:tcPr>
            <w:tcW w:w="1420" w:type="dxa"/>
            <w:noWrap w:val="0"/>
            <w:vAlign w:val="center"/>
          </w:tcPr>
          <w:p w14:paraId="3D7AEC25">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77</w:t>
            </w:r>
          </w:p>
        </w:tc>
        <w:tc>
          <w:tcPr>
            <w:tcW w:w="1421" w:type="dxa"/>
            <w:noWrap w:val="0"/>
            <w:vAlign w:val="center"/>
          </w:tcPr>
          <w:p w14:paraId="3517BB3D">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155.5</w:t>
            </w:r>
          </w:p>
        </w:tc>
        <w:tc>
          <w:tcPr>
            <w:tcW w:w="1421" w:type="dxa"/>
            <w:noWrap w:val="0"/>
            <w:vAlign w:val="center"/>
          </w:tcPr>
          <w:p w14:paraId="2FCB4447">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203.9</w:t>
            </w:r>
          </w:p>
        </w:tc>
      </w:tr>
      <w:tr w14:paraId="485F5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4B948D85">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w:t>
            </w:r>
          </w:p>
        </w:tc>
        <w:tc>
          <w:tcPr>
            <w:tcW w:w="1420" w:type="dxa"/>
            <w:noWrap w:val="0"/>
            <w:vAlign w:val="center"/>
          </w:tcPr>
          <w:p w14:paraId="4422CDF7">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23.5</w:t>
            </w:r>
          </w:p>
        </w:tc>
        <w:tc>
          <w:tcPr>
            <w:tcW w:w="1420" w:type="dxa"/>
            <w:noWrap w:val="0"/>
            <w:vAlign w:val="center"/>
          </w:tcPr>
          <w:p w14:paraId="4A77F6E9">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975.0</w:t>
            </w:r>
          </w:p>
        </w:tc>
        <w:tc>
          <w:tcPr>
            <w:tcW w:w="1420" w:type="dxa"/>
            <w:noWrap w:val="0"/>
            <w:vAlign w:val="center"/>
          </w:tcPr>
          <w:p w14:paraId="7427C77E">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80</w:t>
            </w:r>
          </w:p>
        </w:tc>
        <w:tc>
          <w:tcPr>
            <w:tcW w:w="1421" w:type="dxa"/>
            <w:noWrap w:val="0"/>
            <w:vAlign w:val="center"/>
          </w:tcPr>
          <w:p w14:paraId="7848A936">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82.0</w:t>
            </w:r>
          </w:p>
        </w:tc>
        <w:tc>
          <w:tcPr>
            <w:tcW w:w="1421" w:type="dxa"/>
            <w:noWrap w:val="0"/>
            <w:vAlign w:val="center"/>
          </w:tcPr>
          <w:p w14:paraId="2207529D">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137.1</w:t>
            </w:r>
          </w:p>
        </w:tc>
      </w:tr>
      <w:tr w14:paraId="4E3B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68FCDDE0">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10</w:t>
            </w:r>
          </w:p>
        </w:tc>
        <w:tc>
          <w:tcPr>
            <w:tcW w:w="1420" w:type="dxa"/>
            <w:noWrap w:val="0"/>
            <w:vAlign w:val="center"/>
          </w:tcPr>
          <w:p w14:paraId="001B629D">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18.4</w:t>
            </w:r>
          </w:p>
        </w:tc>
        <w:tc>
          <w:tcPr>
            <w:tcW w:w="1420" w:type="dxa"/>
            <w:noWrap w:val="0"/>
            <w:vAlign w:val="center"/>
          </w:tcPr>
          <w:p w14:paraId="032AECE9">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980.7</w:t>
            </w:r>
          </w:p>
        </w:tc>
        <w:tc>
          <w:tcPr>
            <w:tcW w:w="1420" w:type="dxa"/>
            <w:noWrap w:val="0"/>
            <w:vAlign w:val="center"/>
          </w:tcPr>
          <w:p w14:paraId="5CE1F07B">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80</w:t>
            </w:r>
          </w:p>
        </w:tc>
        <w:tc>
          <w:tcPr>
            <w:tcW w:w="1421" w:type="dxa"/>
            <w:noWrap w:val="0"/>
            <w:vAlign w:val="center"/>
          </w:tcPr>
          <w:p w14:paraId="5E57D3FC">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91.2</w:t>
            </w:r>
          </w:p>
        </w:tc>
        <w:tc>
          <w:tcPr>
            <w:tcW w:w="1421" w:type="dxa"/>
            <w:noWrap w:val="0"/>
            <w:vAlign w:val="center"/>
          </w:tcPr>
          <w:p w14:paraId="77949BC2">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107.9</w:t>
            </w:r>
          </w:p>
        </w:tc>
      </w:tr>
      <w:tr w14:paraId="2658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0B0D3550">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11</w:t>
            </w:r>
          </w:p>
        </w:tc>
        <w:tc>
          <w:tcPr>
            <w:tcW w:w="1420" w:type="dxa"/>
            <w:noWrap w:val="0"/>
            <w:vAlign w:val="center"/>
          </w:tcPr>
          <w:p w14:paraId="2E7B51B8">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12.9</w:t>
            </w:r>
          </w:p>
        </w:tc>
        <w:tc>
          <w:tcPr>
            <w:tcW w:w="1420" w:type="dxa"/>
            <w:noWrap w:val="0"/>
            <w:vAlign w:val="center"/>
          </w:tcPr>
          <w:p w14:paraId="15635E8F">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984.5</w:t>
            </w:r>
          </w:p>
        </w:tc>
        <w:tc>
          <w:tcPr>
            <w:tcW w:w="1420" w:type="dxa"/>
            <w:noWrap w:val="0"/>
            <w:vAlign w:val="center"/>
          </w:tcPr>
          <w:p w14:paraId="4164F209">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78</w:t>
            </w:r>
          </w:p>
        </w:tc>
        <w:tc>
          <w:tcPr>
            <w:tcW w:w="1421" w:type="dxa"/>
            <w:noWrap w:val="0"/>
            <w:vAlign w:val="center"/>
          </w:tcPr>
          <w:p w14:paraId="66705CB4">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62.6</w:t>
            </w:r>
          </w:p>
        </w:tc>
        <w:tc>
          <w:tcPr>
            <w:tcW w:w="1421" w:type="dxa"/>
            <w:noWrap w:val="0"/>
            <w:vAlign w:val="center"/>
          </w:tcPr>
          <w:p w14:paraId="1476FE51">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79.6</w:t>
            </w:r>
          </w:p>
        </w:tc>
      </w:tr>
      <w:tr w14:paraId="2FE1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14DC12DD">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12</w:t>
            </w:r>
          </w:p>
        </w:tc>
        <w:tc>
          <w:tcPr>
            <w:tcW w:w="1420" w:type="dxa"/>
            <w:noWrap w:val="0"/>
            <w:vAlign w:val="center"/>
          </w:tcPr>
          <w:p w14:paraId="232BD1DF">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7.9</w:t>
            </w:r>
          </w:p>
        </w:tc>
        <w:tc>
          <w:tcPr>
            <w:tcW w:w="1420" w:type="dxa"/>
            <w:noWrap w:val="0"/>
            <w:vAlign w:val="center"/>
          </w:tcPr>
          <w:p w14:paraId="65456B14">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956.6</w:t>
            </w:r>
          </w:p>
        </w:tc>
        <w:tc>
          <w:tcPr>
            <w:tcW w:w="1420" w:type="dxa"/>
            <w:noWrap w:val="0"/>
            <w:vAlign w:val="center"/>
          </w:tcPr>
          <w:p w14:paraId="780846E1">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78</w:t>
            </w:r>
          </w:p>
        </w:tc>
        <w:tc>
          <w:tcPr>
            <w:tcW w:w="1421" w:type="dxa"/>
            <w:noWrap w:val="0"/>
            <w:vAlign w:val="center"/>
          </w:tcPr>
          <w:p w14:paraId="31994831">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44.1</w:t>
            </w:r>
          </w:p>
        </w:tc>
        <w:tc>
          <w:tcPr>
            <w:tcW w:w="1421" w:type="dxa"/>
            <w:noWrap w:val="0"/>
            <w:vAlign w:val="center"/>
          </w:tcPr>
          <w:p w14:paraId="27DF4627">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64.5</w:t>
            </w:r>
          </w:p>
        </w:tc>
      </w:tr>
      <w:tr w14:paraId="7757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14:paraId="56B60F16">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全年</w:t>
            </w:r>
          </w:p>
        </w:tc>
        <w:tc>
          <w:tcPr>
            <w:tcW w:w="1420" w:type="dxa"/>
            <w:noWrap w:val="0"/>
            <w:vAlign w:val="center"/>
          </w:tcPr>
          <w:p w14:paraId="0764C2F4">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17.2</w:t>
            </w:r>
          </w:p>
        </w:tc>
        <w:tc>
          <w:tcPr>
            <w:tcW w:w="1420" w:type="dxa"/>
            <w:noWrap w:val="0"/>
            <w:vAlign w:val="center"/>
          </w:tcPr>
          <w:p w14:paraId="775DB12C">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977.7</w:t>
            </w:r>
          </w:p>
        </w:tc>
        <w:tc>
          <w:tcPr>
            <w:tcW w:w="1420" w:type="dxa"/>
            <w:noWrap w:val="0"/>
            <w:vAlign w:val="center"/>
          </w:tcPr>
          <w:p w14:paraId="3CE3F307">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81</w:t>
            </w:r>
          </w:p>
        </w:tc>
        <w:tc>
          <w:tcPr>
            <w:tcW w:w="1421" w:type="dxa"/>
            <w:noWrap w:val="0"/>
            <w:vAlign w:val="center"/>
          </w:tcPr>
          <w:p w14:paraId="1EE92FE3">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1471.7</w:t>
            </w:r>
          </w:p>
        </w:tc>
        <w:tc>
          <w:tcPr>
            <w:tcW w:w="1421" w:type="dxa"/>
            <w:noWrap w:val="0"/>
            <w:vAlign w:val="center"/>
          </w:tcPr>
          <w:p w14:paraId="0DF2B177">
            <w:pPr>
              <w:pStyle w:val="50"/>
              <w:spacing w:line="360" w:lineRule="auto"/>
              <w:ind w:firstLine="0" w:firstLineChars="0"/>
              <w:jc w:val="center"/>
              <w:rPr>
                <w:rFonts w:ascii="Times New Roman" w:hAnsi="Times New Roman" w:eastAsia="宋体"/>
                <w:color w:val="auto"/>
                <w:sz w:val="21"/>
                <w:szCs w:val="21"/>
                <w:highlight w:val="none"/>
                <w:u w:val="none" w:color="auto"/>
              </w:rPr>
            </w:pPr>
            <w:r>
              <w:rPr>
                <w:rFonts w:ascii="Times New Roman" w:hAnsi="Times New Roman" w:eastAsia="宋体"/>
                <w:color w:val="auto"/>
                <w:sz w:val="21"/>
                <w:szCs w:val="21"/>
                <w:highlight w:val="none"/>
                <w:u w:val="none" w:color="auto"/>
              </w:rPr>
              <w:t>1449.5</w:t>
            </w:r>
          </w:p>
        </w:tc>
      </w:tr>
    </w:tbl>
    <w:p w14:paraId="652CAE9F">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（4）风速、风向</w:t>
      </w:r>
    </w:p>
    <w:p w14:paraId="09A03539">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岳阳全年及四季风向频率玫瑰图，岳阳市气象站近20年来风向频率统计情况，岳阳市气象站近20年来风速统计情况详见图</w:t>
      </w:r>
      <w:r>
        <w:rPr>
          <w:rFonts w:hint="eastAsia" w:ascii="Times New Roman" w:hAnsi="Times New Roman"/>
          <w:color w:val="auto"/>
          <w:highlight w:val="none"/>
          <w:u w:val="none" w:color="auto"/>
          <w:lang w:val="en-US" w:eastAsia="zh-CN"/>
        </w:rPr>
        <w:t>6.2-1</w:t>
      </w:r>
      <w:r>
        <w:rPr>
          <w:rFonts w:ascii="Times New Roman" w:hAnsi="Times New Roman" w:eastAsia="宋体"/>
          <w:color w:val="auto"/>
          <w:highlight w:val="none"/>
          <w:u w:val="none" w:color="auto"/>
        </w:rPr>
        <w:t>，表</w:t>
      </w:r>
      <w:r>
        <w:rPr>
          <w:rFonts w:hint="eastAsia" w:ascii="Times New Roman" w:hAnsi="Times New Roman"/>
          <w:color w:val="auto"/>
          <w:highlight w:val="none"/>
          <w:u w:val="none" w:color="auto"/>
          <w:lang w:val="en-US" w:eastAsia="zh-CN"/>
        </w:rPr>
        <w:t>6.2-2</w:t>
      </w:r>
      <w:r>
        <w:rPr>
          <w:rFonts w:ascii="Times New Roman" w:hAnsi="Times New Roman" w:eastAsia="宋体"/>
          <w:color w:val="auto"/>
          <w:highlight w:val="none"/>
          <w:u w:val="none" w:color="auto"/>
        </w:rPr>
        <w:t>及表</w:t>
      </w:r>
      <w:r>
        <w:rPr>
          <w:rFonts w:hint="eastAsia" w:ascii="Times New Roman" w:hAnsi="Times New Roman"/>
          <w:color w:val="auto"/>
          <w:highlight w:val="none"/>
          <w:u w:val="none" w:color="auto"/>
          <w:lang w:val="en-US" w:eastAsia="zh-CN"/>
        </w:rPr>
        <w:t>6.2-3</w:t>
      </w:r>
      <w:r>
        <w:rPr>
          <w:rFonts w:ascii="Times New Roman" w:hAnsi="Times New Roman" w:eastAsia="宋体"/>
          <w:color w:val="auto"/>
          <w:highlight w:val="none"/>
          <w:u w:val="none" w:color="auto"/>
        </w:rPr>
        <w:t>。</w:t>
      </w:r>
    </w:p>
    <w:p w14:paraId="5D61EE07">
      <w:pPr>
        <w:pStyle w:val="50"/>
        <w:ind w:firstLine="0" w:firstLineChars="0"/>
        <w:jc w:val="center"/>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drawing>
          <wp:inline distT="0" distB="0" distL="114300" distR="114300">
            <wp:extent cx="5181600" cy="4837430"/>
            <wp:effectExtent l="0" t="0" r="0"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6"/>
                    <a:stretch>
                      <a:fillRect/>
                    </a:stretch>
                  </pic:blipFill>
                  <pic:spPr>
                    <a:xfrm>
                      <a:off x="0" y="0"/>
                      <a:ext cx="5181600" cy="4837430"/>
                    </a:xfrm>
                    <a:prstGeom prst="rect">
                      <a:avLst/>
                    </a:prstGeom>
                    <a:noFill/>
                    <a:ln>
                      <a:noFill/>
                    </a:ln>
                  </pic:spPr>
                </pic:pic>
              </a:graphicData>
            </a:graphic>
          </wp:inline>
        </w:drawing>
      </w:r>
    </w:p>
    <w:p w14:paraId="71C67513">
      <w:pPr>
        <w:adjustRightInd w:val="0"/>
        <w:snapToGrid w:val="0"/>
        <w:spacing w:line="360" w:lineRule="auto"/>
        <w:jc w:val="center"/>
        <w:rPr>
          <w:rFonts w:ascii="Times New Roman" w:hAnsi="Times New Roman" w:eastAsia="宋体"/>
          <w:b/>
          <w:bCs/>
          <w:color w:val="auto"/>
          <w:sz w:val="24"/>
          <w:highlight w:val="none"/>
          <w:u w:val="none" w:color="auto"/>
        </w:rPr>
      </w:pPr>
      <w:r>
        <w:rPr>
          <w:rFonts w:ascii="Times New Roman" w:hAnsi="Times New Roman" w:eastAsia="宋体"/>
          <w:b/>
          <w:bCs/>
          <w:color w:val="auto"/>
          <w:sz w:val="24"/>
          <w:highlight w:val="none"/>
          <w:u w:val="none" w:color="auto"/>
        </w:rPr>
        <w:t>图</w:t>
      </w:r>
      <w:r>
        <w:rPr>
          <w:rFonts w:hint="eastAsia" w:ascii="Times New Roman" w:hAnsi="Times New Roman" w:eastAsia="宋体"/>
          <w:b/>
          <w:bCs/>
          <w:color w:val="auto"/>
          <w:sz w:val="24"/>
          <w:highlight w:val="none"/>
          <w:u w:val="none" w:color="auto"/>
          <w:lang w:val="en-US" w:eastAsia="zh-CN"/>
        </w:rPr>
        <w:t>6.2-1</w:t>
      </w:r>
      <w:r>
        <w:rPr>
          <w:rFonts w:ascii="Times New Roman" w:hAnsi="Times New Roman" w:eastAsia="宋体"/>
          <w:b/>
          <w:bCs/>
          <w:color w:val="auto"/>
          <w:sz w:val="24"/>
          <w:highlight w:val="none"/>
          <w:u w:val="none" w:color="auto"/>
        </w:rPr>
        <w:t>岳阳市全年及四季风频风玫瑰图</w:t>
      </w:r>
    </w:p>
    <w:p w14:paraId="6EAC778C">
      <w:pPr>
        <w:adjustRightInd w:val="0"/>
        <w:snapToGrid w:val="0"/>
        <w:spacing w:line="360" w:lineRule="auto"/>
        <w:jc w:val="center"/>
        <w:rPr>
          <w:rFonts w:ascii="Times New Roman" w:hAnsi="Times New Roman" w:eastAsia="宋体"/>
          <w:color w:val="auto"/>
          <w:sz w:val="24"/>
          <w:highlight w:val="none"/>
          <w:u w:val="none" w:color="auto"/>
        </w:rPr>
      </w:pPr>
      <w:r>
        <w:rPr>
          <w:rFonts w:ascii="Times New Roman" w:hAnsi="Times New Roman" w:eastAsia="宋体"/>
          <w:b/>
          <w:bCs/>
          <w:color w:val="auto"/>
          <w:sz w:val="24"/>
          <w:highlight w:val="none"/>
          <w:u w:val="none" w:color="auto"/>
        </w:rPr>
        <w:t>表</w:t>
      </w:r>
      <w:r>
        <w:rPr>
          <w:rFonts w:hint="eastAsia" w:ascii="Times New Roman" w:hAnsi="Times New Roman" w:eastAsia="宋体"/>
          <w:b/>
          <w:bCs/>
          <w:color w:val="auto"/>
          <w:sz w:val="24"/>
          <w:highlight w:val="none"/>
          <w:u w:val="none" w:color="auto"/>
          <w:lang w:val="en-US" w:eastAsia="zh-CN"/>
        </w:rPr>
        <w:t>6.2-2</w:t>
      </w:r>
      <w:r>
        <w:rPr>
          <w:rFonts w:ascii="Times New Roman" w:hAnsi="Times New Roman" w:eastAsia="宋体"/>
          <w:b/>
          <w:bCs/>
          <w:color w:val="auto"/>
          <w:sz w:val="24"/>
          <w:highlight w:val="none"/>
          <w:u w:val="none" w:color="auto"/>
        </w:rPr>
        <w:t xml:space="preserve"> 岳阳市气象站全年及四季风向频率（%）分布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534"/>
        <w:gridCol w:w="363"/>
        <w:gridCol w:w="546"/>
        <w:gridCol w:w="417"/>
        <w:gridCol w:w="523"/>
        <w:gridCol w:w="304"/>
        <w:gridCol w:w="488"/>
        <w:gridCol w:w="388"/>
        <w:gridCol w:w="478"/>
        <w:gridCol w:w="294"/>
        <w:gridCol w:w="546"/>
        <w:gridCol w:w="442"/>
        <w:gridCol w:w="628"/>
        <w:gridCol w:w="442"/>
        <w:gridCol w:w="628"/>
        <w:gridCol w:w="469"/>
        <w:gridCol w:w="616"/>
        <w:gridCol w:w="314"/>
      </w:tblGrid>
      <w:tr w14:paraId="0BA2CF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534" w:type="dxa"/>
            <w:noWrap/>
            <w:vAlign w:val="center"/>
          </w:tcPr>
          <w:p w14:paraId="6C7676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bookmarkStart w:id="178" w:name="RANGE!C7139:T7144"/>
            <w:r>
              <w:rPr>
                <w:rFonts w:hint="default" w:ascii="Times New Roman" w:hAnsi="Times New Roman" w:eastAsia="宋体" w:cs="Times New Roman"/>
                <w:color w:val="auto"/>
                <w:kern w:val="0"/>
                <w:sz w:val="21"/>
                <w:szCs w:val="21"/>
                <w:highlight w:val="none"/>
                <w:u w:val="none" w:color="auto"/>
              </w:rPr>
              <w:t>时间</w:t>
            </w:r>
            <w:bookmarkEnd w:id="178"/>
          </w:p>
        </w:tc>
        <w:tc>
          <w:tcPr>
            <w:tcW w:w="363" w:type="dxa"/>
            <w:noWrap/>
            <w:vAlign w:val="center"/>
          </w:tcPr>
          <w:p w14:paraId="168A9A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N</w:t>
            </w:r>
          </w:p>
        </w:tc>
        <w:tc>
          <w:tcPr>
            <w:tcW w:w="546" w:type="dxa"/>
            <w:noWrap/>
            <w:vAlign w:val="center"/>
          </w:tcPr>
          <w:p w14:paraId="758596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NNE</w:t>
            </w:r>
          </w:p>
        </w:tc>
        <w:tc>
          <w:tcPr>
            <w:tcW w:w="417" w:type="dxa"/>
            <w:noWrap/>
            <w:vAlign w:val="center"/>
          </w:tcPr>
          <w:p w14:paraId="40E623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NE</w:t>
            </w:r>
          </w:p>
        </w:tc>
        <w:tc>
          <w:tcPr>
            <w:tcW w:w="523" w:type="dxa"/>
            <w:noWrap/>
            <w:vAlign w:val="center"/>
          </w:tcPr>
          <w:p w14:paraId="2258C6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ENE</w:t>
            </w:r>
          </w:p>
        </w:tc>
        <w:tc>
          <w:tcPr>
            <w:tcW w:w="304" w:type="dxa"/>
            <w:noWrap/>
            <w:vAlign w:val="center"/>
          </w:tcPr>
          <w:p w14:paraId="77BB3A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E</w:t>
            </w:r>
          </w:p>
        </w:tc>
        <w:tc>
          <w:tcPr>
            <w:tcW w:w="488" w:type="dxa"/>
            <w:noWrap/>
            <w:vAlign w:val="center"/>
          </w:tcPr>
          <w:p w14:paraId="50E41E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ESE</w:t>
            </w:r>
          </w:p>
        </w:tc>
        <w:tc>
          <w:tcPr>
            <w:tcW w:w="388" w:type="dxa"/>
            <w:noWrap/>
            <w:vAlign w:val="center"/>
          </w:tcPr>
          <w:p w14:paraId="34556B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SE</w:t>
            </w:r>
          </w:p>
        </w:tc>
        <w:tc>
          <w:tcPr>
            <w:tcW w:w="478" w:type="dxa"/>
            <w:noWrap/>
            <w:vAlign w:val="center"/>
          </w:tcPr>
          <w:p w14:paraId="40B010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SSE</w:t>
            </w:r>
          </w:p>
        </w:tc>
        <w:tc>
          <w:tcPr>
            <w:tcW w:w="294" w:type="dxa"/>
            <w:noWrap/>
            <w:vAlign w:val="center"/>
          </w:tcPr>
          <w:p w14:paraId="3B46D6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w:t>
            </w:r>
          </w:p>
        </w:tc>
        <w:tc>
          <w:tcPr>
            <w:tcW w:w="546" w:type="dxa"/>
            <w:noWrap/>
            <w:vAlign w:val="center"/>
          </w:tcPr>
          <w:p w14:paraId="6A9475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SSW</w:t>
            </w:r>
          </w:p>
        </w:tc>
        <w:tc>
          <w:tcPr>
            <w:tcW w:w="442" w:type="dxa"/>
            <w:noWrap/>
            <w:vAlign w:val="center"/>
          </w:tcPr>
          <w:p w14:paraId="1FB34E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SW</w:t>
            </w:r>
          </w:p>
        </w:tc>
        <w:tc>
          <w:tcPr>
            <w:tcW w:w="628" w:type="dxa"/>
            <w:noWrap/>
            <w:vAlign w:val="center"/>
          </w:tcPr>
          <w:p w14:paraId="23E487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WSW</w:t>
            </w:r>
          </w:p>
        </w:tc>
        <w:tc>
          <w:tcPr>
            <w:tcW w:w="442" w:type="dxa"/>
            <w:noWrap/>
            <w:vAlign w:val="center"/>
          </w:tcPr>
          <w:p w14:paraId="265F62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SW</w:t>
            </w:r>
          </w:p>
        </w:tc>
        <w:tc>
          <w:tcPr>
            <w:tcW w:w="628" w:type="dxa"/>
            <w:noWrap/>
            <w:vAlign w:val="center"/>
          </w:tcPr>
          <w:p w14:paraId="0B586E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WSW</w:t>
            </w:r>
          </w:p>
        </w:tc>
        <w:tc>
          <w:tcPr>
            <w:tcW w:w="469" w:type="dxa"/>
            <w:noWrap/>
            <w:vAlign w:val="center"/>
          </w:tcPr>
          <w:p w14:paraId="08A8F8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NW</w:t>
            </w:r>
          </w:p>
        </w:tc>
        <w:tc>
          <w:tcPr>
            <w:tcW w:w="616" w:type="dxa"/>
            <w:noWrap/>
            <w:vAlign w:val="center"/>
          </w:tcPr>
          <w:p w14:paraId="326E0E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NNW</w:t>
            </w:r>
          </w:p>
        </w:tc>
        <w:tc>
          <w:tcPr>
            <w:tcW w:w="314" w:type="dxa"/>
            <w:noWrap/>
            <w:vAlign w:val="center"/>
          </w:tcPr>
          <w:p w14:paraId="3F5FBA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C</w:t>
            </w:r>
          </w:p>
        </w:tc>
      </w:tr>
      <w:tr w14:paraId="55E73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534" w:type="dxa"/>
            <w:noWrap/>
            <w:vAlign w:val="center"/>
          </w:tcPr>
          <w:p w14:paraId="769ADD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春</w:t>
            </w:r>
          </w:p>
        </w:tc>
        <w:tc>
          <w:tcPr>
            <w:tcW w:w="363" w:type="dxa"/>
            <w:noWrap/>
            <w:vAlign w:val="center"/>
          </w:tcPr>
          <w:p w14:paraId="09AFD2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11</w:t>
            </w:r>
          </w:p>
        </w:tc>
        <w:tc>
          <w:tcPr>
            <w:tcW w:w="546" w:type="dxa"/>
            <w:noWrap/>
            <w:vAlign w:val="center"/>
          </w:tcPr>
          <w:p w14:paraId="173918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17</w:t>
            </w:r>
          </w:p>
        </w:tc>
        <w:tc>
          <w:tcPr>
            <w:tcW w:w="417" w:type="dxa"/>
            <w:noWrap/>
            <w:vAlign w:val="center"/>
          </w:tcPr>
          <w:p w14:paraId="0D467C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15</w:t>
            </w:r>
          </w:p>
        </w:tc>
        <w:tc>
          <w:tcPr>
            <w:tcW w:w="523" w:type="dxa"/>
            <w:noWrap/>
            <w:vAlign w:val="center"/>
          </w:tcPr>
          <w:p w14:paraId="782042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w:t>
            </w:r>
          </w:p>
        </w:tc>
        <w:tc>
          <w:tcPr>
            <w:tcW w:w="304" w:type="dxa"/>
            <w:noWrap/>
            <w:vAlign w:val="center"/>
          </w:tcPr>
          <w:p w14:paraId="20DC88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488" w:type="dxa"/>
            <w:noWrap/>
            <w:vAlign w:val="center"/>
          </w:tcPr>
          <w:p w14:paraId="653E10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388" w:type="dxa"/>
            <w:noWrap/>
            <w:vAlign w:val="center"/>
          </w:tcPr>
          <w:p w14:paraId="20E5BE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w:t>
            </w:r>
          </w:p>
        </w:tc>
        <w:tc>
          <w:tcPr>
            <w:tcW w:w="478" w:type="dxa"/>
            <w:noWrap/>
            <w:vAlign w:val="center"/>
          </w:tcPr>
          <w:p w14:paraId="587B72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w:t>
            </w:r>
          </w:p>
        </w:tc>
        <w:tc>
          <w:tcPr>
            <w:tcW w:w="294" w:type="dxa"/>
            <w:noWrap/>
            <w:vAlign w:val="center"/>
          </w:tcPr>
          <w:p w14:paraId="776DE1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546" w:type="dxa"/>
            <w:noWrap/>
            <w:vAlign w:val="center"/>
          </w:tcPr>
          <w:p w14:paraId="4CB01B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c>
          <w:tcPr>
            <w:tcW w:w="442" w:type="dxa"/>
            <w:noWrap/>
            <w:vAlign w:val="center"/>
          </w:tcPr>
          <w:p w14:paraId="0B1930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628" w:type="dxa"/>
            <w:noWrap/>
            <w:vAlign w:val="center"/>
          </w:tcPr>
          <w:p w14:paraId="1A1AB3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442" w:type="dxa"/>
            <w:noWrap/>
            <w:vAlign w:val="center"/>
          </w:tcPr>
          <w:p w14:paraId="1CE943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w:t>
            </w:r>
          </w:p>
        </w:tc>
        <w:tc>
          <w:tcPr>
            <w:tcW w:w="628" w:type="dxa"/>
            <w:noWrap/>
            <w:vAlign w:val="center"/>
          </w:tcPr>
          <w:p w14:paraId="0E8459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469" w:type="dxa"/>
            <w:noWrap/>
            <w:vAlign w:val="center"/>
          </w:tcPr>
          <w:p w14:paraId="260525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616" w:type="dxa"/>
            <w:noWrap/>
            <w:vAlign w:val="center"/>
          </w:tcPr>
          <w:p w14:paraId="659BE9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314" w:type="dxa"/>
            <w:noWrap/>
            <w:vAlign w:val="center"/>
          </w:tcPr>
          <w:p w14:paraId="0F746E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9</w:t>
            </w:r>
          </w:p>
        </w:tc>
      </w:tr>
      <w:tr w14:paraId="4B02D2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534" w:type="dxa"/>
            <w:noWrap/>
            <w:vAlign w:val="center"/>
          </w:tcPr>
          <w:p w14:paraId="3F21BC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夏</w:t>
            </w:r>
          </w:p>
        </w:tc>
        <w:tc>
          <w:tcPr>
            <w:tcW w:w="363" w:type="dxa"/>
            <w:noWrap/>
            <w:vAlign w:val="center"/>
          </w:tcPr>
          <w:p w14:paraId="5AA3AA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13</w:t>
            </w:r>
          </w:p>
        </w:tc>
        <w:tc>
          <w:tcPr>
            <w:tcW w:w="546" w:type="dxa"/>
            <w:noWrap/>
            <w:vAlign w:val="center"/>
          </w:tcPr>
          <w:p w14:paraId="379772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w:t>
            </w:r>
          </w:p>
        </w:tc>
        <w:tc>
          <w:tcPr>
            <w:tcW w:w="417" w:type="dxa"/>
            <w:noWrap/>
            <w:vAlign w:val="center"/>
          </w:tcPr>
          <w:p w14:paraId="25E4B3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w:t>
            </w:r>
          </w:p>
        </w:tc>
        <w:tc>
          <w:tcPr>
            <w:tcW w:w="523" w:type="dxa"/>
            <w:noWrap/>
            <w:vAlign w:val="center"/>
          </w:tcPr>
          <w:p w14:paraId="22CFD0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304" w:type="dxa"/>
            <w:noWrap/>
            <w:vAlign w:val="center"/>
          </w:tcPr>
          <w:p w14:paraId="1AC5A6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488" w:type="dxa"/>
            <w:noWrap/>
            <w:vAlign w:val="center"/>
          </w:tcPr>
          <w:p w14:paraId="185E3A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388" w:type="dxa"/>
            <w:noWrap/>
            <w:vAlign w:val="center"/>
          </w:tcPr>
          <w:p w14:paraId="7BC2E7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w:t>
            </w:r>
          </w:p>
        </w:tc>
        <w:tc>
          <w:tcPr>
            <w:tcW w:w="478" w:type="dxa"/>
            <w:noWrap/>
            <w:vAlign w:val="center"/>
          </w:tcPr>
          <w:p w14:paraId="5AA7BF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15</w:t>
            </w:r>
          </w:p>
        </w:tc>
        <w:tc>
          <w:tcPr>
            <w:tcW w:w="294" w:type="dxa"/>
            <w:noWrap/>
            <w:vAlign w:val="center"/>
          </w:tcPr>
          <w:p w14:paraId="67F43C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546" w:type="dxa"/>
            <w:noWrap/>
            <w:vAlign w:val="center"/>
          </w:tcPr>
          <w:p w14:paraId="1E9556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442" w:type="dxa"/>
            <w:noWrap/>
            <w:vAlign w:val="center"/>
          </w:tcPr>
          <w:p w14:paraId="5E7E54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628" w:type="dxa"/>
            <w:noWrap/>
            <w:vAlign w:val="center"/>
          </w:tcPr>
          <w:p w14:paraId="08BEEB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7</w:t>
            </w:r>
          </w:p>
        </w:tc>
        <w:tc>
          <w:tcPr>
            <w:tcW w:w="442" w:type="dxa"/>
            <w:noWrap/>
            <w:vAlign w:val="center"/>
          </w:tcPr>
          <w:p w14:paraId="7DE376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628" w:type="dxa"/>
            <w:noWrap/>
            <w:vAlign w:val="center"/>
          </w:tcPr>
          <w:p w14:paraId="208BC0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469" w:type="dxa"/>
            <w:noWrap/>
            <w:vAlign w:val="center"/>
          </w:tcPr>
          <w:p w14:paraId="395675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616" w:type="dxa"/>
            <w:noWrap/>
            <w:vAlign w:val="center"/>
          </w:tcPr>
          <w:p w14:paraId="761787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314" w:type="dxa"/>
            <w:noWrap/>
            <w:vAlign w:val="center"/>
          </w:tcPr>
          <w:p w14:paraId="22F8A5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w:t>
            </w:r>
          </w:p>
        </w:tc>
      </w:tr>
      <w:tr w14:paraId="4C3398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534" w:type="dxa"/>
            <w:noWrap/>
            <w:vAlign w:val="center"/>
          </w:tcPr>
          <w:p w14:paraId="5361F3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秋</w:t>
            </w:r>
          </w:p>
        </w:tc>
        <w:tc>
          <w:tcPr>
            <w:tcW w:w="363" w:type="dxa"/>
            <w:noWrap/>
            <w:vAlign w:val="center"/>
          </w:tcPr>
          <w:p w14:paraId="329039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14</w:t>
            </w:r>
          </w:p>
        </w:tc>
        <w:tc>
          <w:tcPr>
            <w:tcW w:w="546" w:type="dxa"/>
            <w:noWrap/>
            <w:vAlign w:val="center"/>
          </w:tcPr>
          <w:p w14:paraId="6F0C76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20</w:t>
            </w:r>
          </w:p>
        </w:tc>
        <w:tc>
          <w:tcPr>
            <w:tcW w:w="417" w:type="dxa"/>
            <w:noWrap/>
            <w:vAlign w:val="center"/>
          </w:tcPr>
          <w:p w14:paraId="26F236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18</w:t>
            </w:r>
          </w:p>
        </w:tc>
        <w:tc>
          <w:tcPr>
            <w:tcW w:w="523" w:type="dxa"/>
            <w:noWrap/>
            <w:vAlign w:val="center"/>
          </w:tcPr>
          <w:p w14:paraId="22C65D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304" w:type="dxa"/>
            <w:noWrap/>
            <w:vAlign w:val="center"/>
          </w:tcPr>
          <w:p w14:paraId="7082ED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488" w:type="dxa"/>
            <w:noWrap/>
            <w:vAlign w:val="center"/>
          </w:tcPr>
          <w:p w14:paraId="5A4D4F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w:t>
            </w:r>
          </w:p>
        </w:tc>
        <w:tc>
          <w:tcPr>
            <w:tcW w:w="388" w:type="dxa"/>
            <w:noWrap/>
            <w:vAlign w:val="center"/>
          </w:tcPr>
          <w:p w14:paraId="1BEF88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478" w:type="dxa"/>
            <w:noWrap/>
            <w:vAlign w:val="center"/>
          </w:tcPr>
          <w:p w14:paraId="43AA13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294" w:type="dxa"/>
            <w:noWrap/>
            <w:vAlign w:val="center"/>
          </w:tcPr>
          <w:p w14:paraId="5BD2ED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546" w:type="dxa"/>
            <w:noWrap/>
            <w:vAlign w:val="center"/>
          </w:tcPr>
          <w:p w14:paraId="353BCA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0</w:t>
            </w:r>
          </w:p>
        </w:tc>
        <w:tc>
          <w:tcPr>
            <w:tcW w:w="442" w:type="dxa"/>
            <w:noWrap/>
            <w:vAlign w:val="center"/>
          </w:tcPr>
          <w:p w14:paraId="3C494F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628" w:type="dxa"/>
            <w:noWrap/>
            <w:vAlign w:val="center"/>
          </w:tcPr>
          <w:p w14:paraId="592347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442" w:type="dxa"/>
            <w:noWrap/>
            <w:vAlign w:val="center"/>
          </w:tcPr>
          <w:p w14:paraId="214DB8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628" w:type="dxa"/>
            <w:noWrap/>
            <w:vAlign w:val="center"/>
          </w:tcPr>
          <w:p w14:paraId="0C1207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469" w:type="dxa"/>
            <w:noWrap/>
            <w:vAlign w:val="center"/>
          </w:tcPr>
          <w:p w14:paraId="57AA39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616" w:type="dxa"/>
            <w:noWrap/>
            <w:vAlign w:val="center"/>
          </w:tcPr>
          <w:p w14:paraId="20F870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w:t>
            </w:r>
          </w:p>
        </w:tc>
        <w:tc>
          <w:tcPr>
            <w:tcW w:w="314" w:type="dxa"/>
            <w:noWrap/>
            <w:vAlign w:val="center"/>
          </w:tcPr>
          <w:p w14:paraId="74AFA4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r>
      <w:tr w14:paraId="093BD7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534" w:type="dxa"/>
            <w:noWrap/>
            <w:vAlign w:val="center"/>
          </w:tcPr>
          <w:p w14:paraId="680A73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冬</w:t>
            </w:r>
          </w:p>
        </w:tc>
        <w:tc>
          <w:tcPr>
            <w:tcW w:w="363" w:type="dxa"/>
            <w:noWrap/>
            <w:vAlign w:val="center"/>
          </w:tcPr>
          <w:p w14:paraId="39767A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9</w:t>
            </w:r>
          </w:p>
        </w:tc>
        <w:tc>
          <w:tcPr>
            <w:tcW w:w="546" w:type="dxa"/>
            <w:noWrap/>
            <w:vAlign w:val="center"/>
          </w:tcPr>
          <w:p w14:paraId="76D637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22</w:t>
            </w:r>
          </w:p>
        </w:tc>
        <w:tc>
          <w:tcPr>
            <w:tcW w:w="417" w:type="dxa"/>
            <w:noWrap/>
            <w:vAlign w:val="center"/>
          </w:tcPr>
          <w:p w14:paraId="3DBA3E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17</w:t>
            </w:r>
          </w:p>
        </w:tc>
        <w:tc>
          <w:tcPr>
            <w:tcW w:w="523" w:type="dxa"/>
            <w:noWrap/>
            <w:vAlign w:val="center"/>
          </w:tcPr>
          <w:p w14:paraId="3730AF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11</w:t>
            </w:r>
          </w:p>
        </w:tc>
        <w:tc>
          <w:tcPr>
            <w:tcW w:w="304" w:type="dxa"/>
            <w:noWrap/>
            <w:vAlign w:val="center"/>
          </w:tcPr>
          <w:p w14:paraId="44A433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488" w:type="dxa"/>
            <w:noWrap/>
            <w:vAlign w:val="center"/>
          </w:tcPr>
          <w:p w14:paraId="32675E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388" w:type="dxa"/>
            <w:noWrap/>
            <w:vAlign w:val="center"/>
          </w:tcPr>
          <w:p w14:paraId="5B48CA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478" w:type="dxa"/>
            <w:noWrap/>
            <w:vAlign w:val="center"/>
          </w:tcPr>
          <w:p w14:paraId="2676F0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294" w:type="dxa"/>
            <w:noWrap/>
            <w:vAlign w:val="center"/>
          </w:tcPr>
          <w:p w14:paraId="7D2602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546" w:type="dxa"/>
            <w:noWrap/>
            <w:vAlign w:val="center"/>
          </w:tcPr>
          <w:p w14:paraId="7E2E8C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442" w:type="dxa"/>
            <w:noWrap/>
            <w:vAlign w:val="center"/>
          </w:tcPr>
          <w:p w14:paraId="32A084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628" w:type="dxa"/>
            <w:noWrap/>
            <w:vAlign w:val="center"/>
          </w:tcPr>
          <w:p w14:paraId="3746AF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442" w:type="dxa"/>
            <w:noWrap/>
            <w:vAlign w:val="center"/>
          </w:tcPr>
          <w:p w14:paraId="42C347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628" w:type="dxa"/>
            <w:noWrap/>
            <w:vAlign w:val="center"/>
          </w:tcPr>
          <w:p w14:paraId="75751B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469" w:type="dxa"/>
            <w:noWrap/>
            <w:vAlign w:val="center"/>
          </w:tcPr>
          <w:p w14:paraId="76B33E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616" w:type="dxa"/>
            <w:noWrap/>
            <w:vAlign w:val="center"/>
          </w:tcPr>
          <w:p w14:paraId="7B607E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w:t>
            </w:r>
          </w:p>
        </w:tc>
        <w:tc>
          <w:tcPr>
            <w:tcW w:w="314" w:type="dxa"/>
            <w:noWrap/>
            <w:vAlign w:val="center"/>
          </w:tcPr>
          <w:p w14:paraId="4BA632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r>
      <w:tr w14:paraId="4D6478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534" w:type="dxa"/>
            <w:noWrap/>
            <w:vAlign w:val="center"/>
          </w:tcPr>
          <w:p w14:paraId="68D04D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全年</w:t>
            </w:r>
          </w:p>
        </w:tc>
        <w:tc>
          <w:tcPr>
            <w:tcW w:w="363" w:type="dxa"/>
            <w:noWrap/>
            <w:vAlign w:val="center"/>
          </w:tcPr>
          <w:p w14:paraId="15B07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11</w:t>
            </w:r>
          </w:p>
        </w:tc>
        <w:tc>
          <w:tcPr>
            <w:tcW w:w="546" w:type="dxa"/>
            <w:noWrap/>
            <w:vAlign w:val="center"/>
          </w:tcPr>
          <w:p w14:paraId="359375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18</w:t>
            </w:r>
          </w:p>
        </w:tc>
        <w:tc>
          <w:tcPr>
            <w:tcW w:w="417" w:type="dxa"/>
            <w:noWrap/>
            <w:vAlign w:val="center"/>
          </w:tcPr>
          <w:p w14:paraId="335007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16</w:t>
            </w:r>
          </w:p>
        </w:tc>
        <w:tc>
          <w:tcPr>
            <w:tcW w:w="523" w:type="dxa"/>
            <w:noWrap/>
            <w:vAlign w:val="center"/>
          </w:tcPr>
          <w:p w14:paraId="0E5A74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304" w:type="dxa"/>
            <w:noWrap/>
            <w:vAlign w:val="center"/>
          </w:tcPr>
          <w:p w14:paraId="3418FF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488" w:type="dxa"/>
            <w:noWrap/>
            <w:vAlign w:val="center"/>
          </w:tcPr>
          <w:p w14:paraId="674376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388" w:type="dxa"/>
            <w:noWrap/>
            <w:vAlign w:val="center"/>
          </w:tcPr>
          <w:p w14:paraId="773CB6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478" w:type="dxa"/>
            <w:noWrap/>
            <w:vAlign w:val="center"/>
          </w:tcPr>
          <w:p w14:paraId="02A55C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6</w:t>
            </w:r>
          </w:p>
        </w:tc>
        <w:tc>
          <w:tcPr>
            <w:tcW w:w="294" w:type="dxa"/>
            <w:noWrap/>
            <w:vAlign w:val="center"/>
          </w:tcPr>
          <w:p w14:paraId="3509DF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546" w:type="dxa"/>
            <w:noWrap/>
            <w:vAlign w:val="center"/>
          </w:tcPr>
          <w:p w14:paraId="6CF9DA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442" w:type="dxa"/>
            <w:noWrap/>
            <w:vAlign w:val="center"/>
          </w:tcPr>
          <w:p w14:paraId="2AF82C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5</w:t>
            </w:r>
          </w:p>
        </w:tc>
        <w:tc>
          <w:tcPr>
            <w:tcW w:w="628" w:type="dxa"/>
            <w:noWrap/>
            <w:vAlign w:val="center"/>
          </w:tcPr>
          <w:p w14:paraId="066991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w:t>
            </w:r>
          </w:p>
        </w:tc>
        <w:tc>
          <w:tcPr>
            <w:tcW w:w="442" w:type="dxa"/>
            <w:noWrap/>
            <w:vAlign w:val="center"/>
          </w:tcPr>
          <w:p w14:paraId="13C683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628" w:type="dxa"/>
            <w:noWrap/>
            <w:vAlign w:val="center"/>
          </w:tcPr>
          <w:p w14:paraId="04A171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1</w:t>
            </w:r>
          </w:p>
        </w:tc>
        <w:tc>
          <w:tcPr>
            <w:tcW w:w="469" w:type="dxa"/>
            <w:noWrap/>
            <w:vAlign w:val="center"/>
          </w:tcPr>
          <w:p w14:paraId="3D924A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w:t>
            </w:r>
          </w:p>
        </w:tc>
        <w:tc>
          <w:tcPr>
            <w:tcW w:w="616" w:type="dxa"/>
            <w:noWrap/>
            <w:vAlign w:val="center"/>
          </w:tcPr>
          <w:p w14:paraId="6F374F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4</w:t>
            </w:r>
          </w:p>
        </w:tc>
        <w:tc>
          <w:tcPr>
            <w:tcW w:w="314" w:type="dxa"/>
            <w:noWrap/>
            <w:vAlign w:val="center"/>
          </w:tcPr>
          <w:p w14:paraId="2FFAA9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8</w:t>
            </w:r>
          </w:p>
        </w:tc>
      </w:tr>
    </w:tbl>
    <w:p w14:paraId="193BE707">
      <w:pPr>
        <w:adjustRightInd w:val="0"/>
        <w:snapToGrid w:val="0"/>
        <w:spacing w:line="360" w:lineRule="auto"/>
        <w:jc w:val="center"/>
        <w:rPr>
          <w:rFonts w:ascii="Times New Roman" w:hAnsi="Times New Roman" w:eastAsia="宋体"/>
          <w:b/>
          <w:bCs/>
          <w:color w:val="auto"/>
          <w:sz w:val="24"/>
          <w:highlight w:val="none"/>
          <w:u w:val="none" w:color="auto"/>
        </w:rPr>
      </w:pPr>
      <w:r>
        <w:rPr>
          <w:rFonts w:ascii="Times New Roman" w:hAnsi="Times New Roman" w:eastAsia="宋体"/>
          <w:b/>
          <w:bCs/>
          <w:color w:val="auto"/>
          <w:sz w:val="24"/>
          <w:highlight w:val="none"/>
          <w:u w:val="none" w:color="auto"/>
        </w:rPr>
        <w:t>表</w:t>
      </w:r>
      <w:r>
        <w:rPr>
          <w:rFonts w:hint="eastAsia" w:ascii="Times New Roman" w:hAnsi="Times New Roman" w:eastAsia="宋体"/>
          <w:b/>
          <w:bCs/>
          <w:color w:val="auto"/>
          <w:sz w:val="24"/>
          <w:highlight w:val="none"/>
          <w:u w:val="none" w:color="auto"/>
          <w:lang w:val="en-US" w:eastAsia="zh-CN"/>
        </w:rPr>
        <w:t>6.2-3</w:t>
      </w:r>
      <w:r>
        <w:rPr>
          <w:rFonts w:ascii="Times New Roman" w:hAnsi="Times New Roman" w:eastAsia="宋体"/>
          <w:b/>
          <w:bCs/>
          <w:color w:val="auto"/>
          <w:sz w:val="24"/>
          <w:highlight w:val="none"/>
          <w:u w:val="none" w:color="auto"/>
        </w:rPr>
        <w:t xml:space="preserve"> 岳阳市气象站近20年风速统计（单位：m/s）</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1180"/>
        <w:gridCol w:w="428"/>
        <w:gridCol w:w="642"/>
        <w:gridCol w:w="495"/>
        <w:gridCol w:w="618"/>
        <w:gridCol w:w="401"/>
        <w:gridCol w:w="534"/>
        <w:gridCol w:w="463"/>
        <w:gridCol w:w="576"/>
        <w:gridCol w:w="401"/>
        <w:gridCol w:w="643"/>
        <w:gridCol w:w="660"/>
        <w:gridCol w:w="719"/>
        <w:gridCol w:w="660"/>
      </w:tblGrid>
      <w:tr w14:paraId="326FDC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1180" w:type="dxa"/>
            <w:noWrap/>
            <w:vAlign w:val="center"/>
          </w:tcPr>
          <w:p w14:paraId="7E2BAB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风向时间</w:t>
            </w:r>
          </w:p>
        </w:tc>
        <w:tc>
          <w:tcPr>
            <w:tcW w:w="428" w:type="dxa"/>
            <w:noWrap/>
            <w:vAlign w:val="center"/>
          </w:tcPr>
          <w:p w14:paraId="0529C7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一</w:t>
            </w:r>
          </w:p>
        </w:tc>
        <w:tc>
          <w:tcPr>
            <w:tcW w:w="642" w:type="dxa"/>
            <w:noWrap/>
            <w:vAlign w:val="center"/>
          </w:tcPr>
          <w:p w14:paraId="6713F5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二</w:t>
            </w:r>
          </w:p>
        </w:tc>
        <w:tc>
          <w:tcPr>
            <w:tcW w:w="495" w:type="dxa"/>
            <w:noWrap/>
            <w:vAlign w:val="center"/>
          </w:tcPr>
          <w:p w14:paraId="6FEADD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三</w:t>
            </w:r>
          </w:p>
        </w:tc>
        <w:tc>
          <w:tcPr>
            <w:tcW w:w="618" w:type="dxa"/>
            <w:noWrap/>
            <w:vAlign w:val="center"/>
          </w:tcPr>
          <w:p w14:paraId="3B2AE4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四</w:t>
            </w:r>
          </w:p>
        </w:tc>
        <w:tc>
          <w:tcPr>
            <w:tcW w:w="401" w:type="dxa"/>
            <w:noWrap/>
            <w:vAlign w:val="center"/>
          </w:tcPr>
          <w:p w14:paraId="769B0D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五</w:t>
            </w:r>
          </w:p>
        </w:tc>
        <w:tc>
          <w:tcPr>
            <w:tcW w:w="534" w:type="dxa"/>
            <w:noWrap/>
            <w:vAlign w:val="center"/>
          </w:tcPr>
          <w:p w14:paraId="648310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六</w:t>
            </w:r>
          </w:p>
        </w:tc>
        <w:tc>
          <w:tcPr>
            <w:tcW w:w="463" w:type="dxa"/>
            <w:noWrap/>
            <w:vAlign w:val="center"/>
          </w:tcPr>
          <w:p w14:paraId="3612DF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七</w:t>
            </w:r>
          </w:p>
        </w:tc>
        <w:tc>
          <w:tcPr>
            <w:tcW w:w="576" w:type="dxa"/>
            <w:noWrap/>
            <w:vAlign w:val="center"/>
          </w:tcPr>
          <w:p w14:paraId="0A367F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八</w:t>
            </w:r>
          </w:p>
        </w:tc>
        <w:tc>
          <w:tcPr>
            <w:tcW w:w="401" w:type="dxa"/>
            <w:noWrap/>
            <w:vAlign w:val="center"/>
          </w:tcPr>
          <w:p w14:paraId="326B82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九</w:t>
            </w:r>
          </w:p>
        </w:tc>
        <w:tc>
          <w:tcPr>
            <w:tcW w:w="643" w:type="dxa"/>
            <w:noWrap/>
            <w:vAlign w:val="center"/>
          </w:tcPr>
          <w:p w14:paraId="1D52A3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十</w:t>
            </w:r>
          </w:p>
        </w:tc>
        <w:tc>
          <w:tcPr>
            <w:tcW w:w="660" w:type="dxa"/>
            <w:noWrap/>
            <w:vAlign w:val="center"/>
          </w:tcPr>
          <w:p w14:paraId="1EF976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十一</w:t>
            </w:r>
          </w:p>
        </w:tc>
        <w:tc>
          <w:tcPr>
            <w:tcW w:w="719" w:type="dxa"/>
            <w:noWrap/>
            <w:vAlign w:val="center"/>
          </w:tcPr>
          <w:p w14:paraId="59A2F3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十二</w:t>
            </w:r>
          </w:p>
        </w:tc>
        <w:tc>
          <w:tcPr>
            <w:tcW w:w="660" w:type="dxa"/>
            <w:noWrap/>
            <w:vAlign w:val="center"/>
          </w:tcPr>
          <w:p w14:paraId="7665B0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全年</w:t>
            </w:r>
          </w:p>
        </w:tc>
      </w:tr>
      <w:tr w14:paraId="1507B7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70" w:hRule="atLeast"/>
        </w:trPr>
        <w:tc>
          <w:tcPr>
            <w:tcW w:w="1180" w:type="dxa"/>
            <w:noWrap/>
            <w:vAlign w:val="center"/>
          </w:tcPr>
          <w:p w14:paraId="196C18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全年</w:t>
            </w:r>
          </w:p>
        </w:tc>
        <w:tc>
          <w:tcPr>
            <w:tcW w:w="428" w:type="dxa"/>
            <w:noWrap/>
            <w:vAlign w:val="center"/>
          </w:tcPr>
          <w:p w14:paraId="172C11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2.8</w:t>
            </w:r>
          </w:p>
        </w:tc>
        <w:tc>
          <w:tcPr>
            <w:tcW w:w="642" w:type="dxa"/>
            <w:noWrap/>
            <w:vAlign w:val="center"/>
          </w:tcPr>
          <w:p w14:paraId="4B13A6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2.9</w:t>
            </w:r>
          </w:p>
        </w:tc>
        <w:tc>
          <w:tcPr>
            <w:tcW w:w="495" w:type="dxa"/>
            <w:noWrap/>
            <w:vAlign w:val="center"/>
          </w:tcPr>
          <w:p w14:paraId="034CA4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3.1</w:t>
            </w:r>
          </w:p>
        </w:tc>
        <w:tc>
          <w:tcPr>
            <w:tcW w:w="618" w:type="dxa"/>
            <w:noWrap/>
            <w:vAlign w:val="center"/>
          </w:tcPr>
          <w:p w14:paraId="21E0E9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3.1</w:t>
            </w:r>
          </w:p>
        </w:tc>
        <w:tc>
          <w:tcPr>
            <w:tcW w:w="401" w:type="dxa"/>
            <w:noWrap/>
            <w:vAlign w:val="center"/>
          </w:tcPr>
          <w:p w14:paraId="722114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2.7</w:t>
            </w:r>
          </w:p>
        </w:tc>
        <w:tc>
          <w:tcPr>
            <w:tcW w:w="534" w:type="dxa"/>
            <w:noWrap/>
            <w:vAlign w:val="center"/>
          </w:tcPr>
          <w:p w14:paraId="19FF9A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2.8</w:t>
            </w:r>
          </w:p>
        </w:tc>
        <w:tc>
          <w:tcPr>
            <w:tcW w:w="463" w:type="dxa"/>
            <w:noWrap/>
            <w:vAlign w:val="center"/>
          </w:tcPr>
          <w:p w14:paraId="7558A7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3.5</w:t>
            </w:r>
          </w:p>
        </w:tc>
        <w:tc>
          <w:tcPr>
            <w:tcW w:w="576" w:type="dxa"/>
            <w:noWrap/>
            <w:vAlign w:val="center"/>
          </w:tcPr>
          <w:p w14:paraId="0AEFEC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2.9</w:t>
            </w:r>
          </w:p>
        </w:tc>
        <w:tc>
          <w:tcPr>
            <w:tcW w:w="401" w:type="dxa"/>
            <w:noWrap/>
            <w:vAlign w:val="center"/>
          </w:tcPr>
          <w:p w14:paraId="69C103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2.8</w:t>
            </w:r>
          </w:p>
        </w:tc>
        <w:tc>
          <w:tcPr>
            <w:tcW w:w="643" w:type="dxa"/>
            <w:noWrap/>
            <w:vAlign w:val="center"/>
          </w:tcPr>
          <w:p w14:paraId="46C5E8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2.6</w:t>
            </w:r>
          </w:p>
        </w:tc>
        <w:tc>
          <w:tcPr>
            <w:tcW w:w="660" w:type="dxa"/>
            <w:noWrap/>
            <w:vAlign w:val="center"/>
          </w:tcPr>
          <w:p w14:paraId="3DF5E1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2.8</w:t>
            </w:r>
          </w:p>
        </w:tc>
        <w:tc>
          <w:tcPr>
            <w:tcW w:w="719" w:type="dxa"/>
            <w:noWrap/>
            <w:vAlign w:val="center"/>
          </w:tcPr>
          <w:p w14:paraId="6F3E1D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2.8</w:t>
            </w:r>
          </w:p>
        </w:tc>
        <w:tc>
          <w:tcPr>
            <w:tcW w:w="660" w:type="dxa"/>
            <w:noWrap/>
            <w:vAlign w:val="center"/>
          </w:tcPr>
          <w:p w14:paraId="5DF98C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u w:val="none" w:color="auto"/>
              </w:rPr>
            </w:pPr>
            <w:r>
              <w:rPr>
                <w:rFonts w:hint="default" w:ascii="Times New Roman" w:hAnsi="Times New Roman" w:eastAsia="宋体" w:cs="Times New Roman"/>
                <w:color w:val="auto"/>
                <w:kern w:val="0"/>
                <w:sz w:val="21"/>
                <w:szCs w:val="21"/>
                <w:highlight w:val="none"/>
                <w:u w:val="none" w:color="auto"/>
              </w:rPr>
              <w:t>2.9</w:t>
            </w:r>
          </w:p>
        </w:tc>
      </w:tr>
    </w:tbl>
    <w:p w14:paraId="54FF763D">
      <w:pPr>
        <w:pStyle w:val="50"/>
        <w:rPr>
          <w:rFonts w:ascii="Times New Roman" w:hAnsi="Times New Roman" w:eastAsia="宋体"/>
          <w:color w:val="auto"/>
          <w:highlight w:val="none"/>
          <w:u w:val="none" w:color="auto"/>
        </w:rPr>
      </w:pPr>
      <w:r>
        <w:rPr>
          <w:rFonts w:ascii="Times New Roman" w:hAnsi="Times New Roman" w:eastAsia="宋体"/>
          <w:color w:val="auto"/>
          <w:highlight w:val="none"/>
          <w:u w:val="none" w:color="auto"/>
        </w:rPr>
        <w:t>从图表中可以看出：该区域常年主导风向为NNE，频率为18%，春季主导风向为NNE风，频率高达17%，夏季主导风向为SSE风，频率高达15%，秋季主导风向为NNE风，频率为20%，冬季主导风向为NNE，频率为22%，年平均风速为2.9m/s。</w:t>
      </w:r>
    </w:p>
    <w:p w14:paraId="0FD19670">
      <w:pPr>
        <w:pStyle w:val="7"/>
        <w:bidi w:val="0"/>
        <w:rPr>
          <w:highlight w:val="none"/>
        </w:rPr>
      </w:pPr>
      <w:bookmarkStart w:id="179" w:name="_Toc17689"/>
      <w:r>
        <w:rPr>
          <w:rFonts w:hint="eastAsia"/>
          <w:highlight w:val="none"/>
          <w:lang w:val="en-US" w:eastAsia="zh-CN"/>
        </w:rPr>
        <w:t>6</w:t>
      </w:r>
      <w:r>
        <w:rPr>
          <w:rFonts w:hint="eastAsia"/>
          <w:highlight w:val="none"/>
          <w:lang w:eastAsia="zh-CN"/>
        </w:rPr>
        <w:t>.</w:t>
      </w:r>
      <w:r>
        <w:rPr>
          <w:highlight w:val="none"/>
        </w:rPr>
        <w:t>2.2大气影响预测分析</w:t>
      </w:r>
      <w:bookmarkEnd w:id="179"/>
    </w:p>
    <w:p w14:paraId="157A9D07">
      <w:pPr>
        <w:keepNext w:val="0"/>
        <w:keepLines w:val="0"/>
        <w:pageBreakBefore w:val="0"/>
        <w:widowControl/>
        <w:suppressLineNumbers w:val="0"/>
        <w:kinsoku/>
        <w:wordWrap/>
        <w:overflowPunct/>
        <w:topLinePunct w:val="0"/>
        <w:autoSpaceDE/>
        <w:autoSpaceDN/>
        <w:bidi w:val="0"/>
        <w:adjustRightInd/>
        <w:spacing w:line="360" w:lineRule="auto"/>
        <w:ind w:right="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评价工作等级划分</w:t>
      </w:r>
    </w:p>
    <w:p w14:paraId="1A94839A">
      <w:pPr>
        <w:pStyle w:val="11"/>
        <w:ind w:firstLine="48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根据《环境影响评价技术导则大气环境》（HJ2.2-2018），评价等级划分见</w:t>
      </w:r>
      <w:r>
        <w:rPr>
          <w:rFonts w:hint="default" w:ascii="Times New Roman" w:hAnsi="Times New Roman" w:cs="Times New Roman" w:eastAsiaTheme="minorEastAsia"/>
          <w:color w:val="auto"/>
          <w:sz w:val="24"/>
          <w:szCs w:val="24"/>
          <w:highlight w:val="none"/>
          <w:lang w:val="en-US" w:eastAsia="zh-CN"/>
        </w:rPr>
        <w:t>下</w:t>
      </w:r>
      <w:r>
        <w:rPr>
          <w:rFonts w:hint="default" w:ascii="Times New Roman" w:hAnsi="Times New Roman" w:cs="Times New Roman" w:eastAsiaTheme="minorEastAsia"/>
          <w:color w:val="auto"/>
          <w:sz w:val="24"/>
          <w:szCs w:val="24"/>
          <w:highlight w:val="none"/>
        </w:rPr>
        <w:t>表。</w:t>
      </w:r>
    </w:p>
    <w:p w14:paraId="79E392E3">
      <w:pPr>
        <w:keepNext/>
        <w:keepLines/>
        <w:pageBreakBefore w:val="0"/>
        <w:widowControl w:val="0"/>
        <w:tabs>
          <w:tab w:val="left" w:pos="1008"/>
        </w:tabs>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表</w:t>
      </w:r>
      <w:r>
        <w:rPr>
          <w:rFonts w:hint="eastAsia" w:ascii="Times New Roman" w:hAnsi="Times New Roman" w:cs="Times New Roman" w:eastAsiaTheme="minorEastAsia"/>
          <w:b/>
          <w:bCs/>
          <w:color w:val="auto"/>
          <w:sz w:val="24"/>
          <w:szCs w:val="24"/>
          <w:highlight w:val="none"/>
          <w:lang w:val="en-US" w:eastAsia="zh-CN"/>
        </w:rPr>
        <w:t>6.2-4</w:t>
      </w:r>
      <w:r>
        <w:rPr>
          <w:rFonts w:hint="default" w:ascii="Times New Roman" w:hAnsi="Times New Roman" w:cs="Times New Roman" w:eastAsiaTheme="minorEastAsia"/>
          <w:b/>
          <w:bCs/>
          <w:color w:val="auto"/>
          <w:sz w:val="24"/>
          <w:szCs w:val="24"/>
          <w:highlight w:val="none"/>
          <w:lang w:val="en-US" w:eastAsia="zh-CN"/>
        </w:rPr>
        <w:t xml:space="preserve"> </w:t>
      </w:r>
      <w:r>
        <w:rPr>
          <w:rFonts w:hint="default" w:ascii="Times New Roman" w:hAnsi="Times New Roman" w:cs="Times New Roman" w:eastAsiaTheme="minorEastAsia"/>
          <w:b/>
          <w:bCs/>
          <w:color w:val="auto"/>
          <w:sz w:val="24"/>
          <w:szCs w:val="24"/>
          <w:highlight w:val="none"/>
        </w:rPr>
        <w:t>环境空气评价工作等级判据一览表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6"/>
        <w:gridCol w:w="4789"/>
      </w:tblGrid>
      <w:tr w14:paraId="66F6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8" w:type="pct"/>
            <w:noWrap w:val="0"/>
            <w:vAlign w:val="center"/>
          </w:tcPr>
          <w:p w14:paraId="6E0820B7">
            <w:pPr>
              <w:pStyle w:val="32"/>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评价工作等级</w:t>
            </w:r>
          </w:p>
        </w:tc>
        <w:tc>
          <w:tcPr>
            <w:tcW w:w="2812" w:type="pct"/>
            <w:noWrap w:val="0"/>
            <w:vAlign w:val="center"/>
          </w:tcPr>
          <w:p w14:paraId="56FB02FB">
            <w:pPr>
              <w:pStyle w:val="32"/>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评价工作分级判据</w:t>
            </w:r>
          </w:p>
        </w:tc>
      </w:tr>
      <w:tr w14:paraId="6CED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88" w:type="pct"/>
            <w:noWrap w:val="0"/>
            <w:vAlign w:val="center"/>
          </w:tcPr>
          <w:p w14:paraId="06A1CBA2">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w:t>
            </w:r>
          </w:p>
        </w:tc>
        <w:tc>
          <w:tcPr>
            <w:tcW w:w="2812" w:type="pct"/>
            <w:noWrap w:val="0"/>
            <w:vAlign w:val="center"/>
          </w:tcPr>
          <w:p w14:paraId="4DD40715">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Pmax≥10%</w:t>
            </w:r>
          </w:p>
        </w:tc>
      </w:tr>
      <w:tr w14:paraId="14DA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88" w:type="pct"/>
            <w:noWrap w:val="0"/>
            <w:vAlign w:val="center"/>
          </w:tcPr>
          <w:p w14:paraId="137CD5B6">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w:t>
            </w:r>
          </w:p>
        </w:tc>
        <w:tc>
          <w:tcPr>
            <w:tcW w:w="2812" w:type="pct"/>
            <w:noWrap w:val="0"/>
            <w:vAlign w:val="center"/>
          </w:tcPr>
          <w:p w14:paraId="34404160">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1%≤Pmax＜10%</w:t>
            </w:r>
          </w:p>
        </w:tc>
      </w:tr>
      <w:tr w14:paraId="5901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188" w:type="pct"/>
            <w:noWrap w:val="0"/>
            <w:vAlign w:val="center"/>
          </w:tcPr>
          <w:p w14:paraId="6E1620F7">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w:t>
            </w:r>
          </w:p>
        </w:tc>
        <w:tc>
          <w:tcPr>
            <w:tcW w:w="2812" w:type="pct"/>
            <w:noWrap w:val="0"/>
            <w:vAlign w:val="center"/>
          </w:tcPr>
          <w:p w14:paraId="1B62BD8B">
            <w:pPr>
              <w:pStyle w:val="3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Pmax＜1%</w:t>
            </w:r>
          </w:p>
        </w:tc>
      </w:tr>
    </w:tbl>
    <w:p w14:paraId="4F412B2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按照《环境影响评价技术导则—大气环境》（HJ2.2-2018），</w:t>
      </w:r>
      <w:r>
        <w:rPr>
          <w:rFonts w:hint="eastAsia" w:ascii="Times New Roman" w:hAnsi="Times New Roman" w:cs="Times New Roman" w:eastAsiaTheme="minorEastAsia"/>
          <w:color w:val="auto"/>
          <w:kern w:val="2"/>
          <w:sz w:val="24"/>
          <w:szCs w:val="24"/>
          <w:highlight w:val="none"/>
          <w:lang w:val="en-US" w:eastAsia="zh-CN" w:bidi="ar-SA"/>
        </w:rPr>
        <w:t>对</w:t>
      </w:r>
      <w:r>
        <w:rPr>
          <w:rFonts w:hint="default" w:ascii="Times New Roman" w:hAnsi="Times New Roman" w:cs="Times New Roman" w:eastAsiaTheme="minorEastAsia"/>
          <w:color w:val="auto"/>
          <w:kern w:val="2"/>
          <w:sz w:val="24"/>
          <w:szCs w:val="24"/>
          <w:highlight w:val="none"/>
          <w:lang w:val="en-US" w:eastAsia="zh-CN" w:bidi="ar-SA"/>
        </w:rPr>
        <w:t>本项目在</w:t>
      </w:r>
      <w:r>
        <w:rPr>
          <w:rFonts w:hint="eastAsia" w:ascii="Times New Roman" w:hAnsi="Times New Roman" w:cs="Times New Roman" w:eastAsiaTheme="minorEastAsia"/>
          <w:color w:val="auto"/>
          <w:kern w:val="2"/>
          <w:sz w:val="24"/>
          <w:szCs w:val="24"/>
          <w:highlight w:val="none"/>
          <w:lang w:val="en-US" w:eastAsia="zh-CN" w:bidi="ar-SA"/>
        </w:rPr>
        <w:t>生产过程中产生的废气主要是有机废气和无组织粉尘</w:t>
      </w:r>
      <w:r>
        <w:rPr>
          <w:rFonts w:hint="eastAsia" w:cs="Times New Roman" w:eastAsiaTheme="minorEastAsia"/>
          <w:color w:val="auto"/>
          <w:kern w:val="2"/>
          <w:sz w:val="24"/>
          <w:szCs w:val="24"/>
          <w:highlight w:val="none"/>
          <w:lang w:val="en-US" w:eastAsia="zh-CN" w:bidi="ar-SA"/>
        </w:rPr>
        <w:t>、无组织TVOC</w:t>
      </w:r>
      <w:r>
        <w:rPr>
          <w:rFonts w:hint="eastAsia" w:ascii="Times New Roman" w:hAnsi="Times New Roman" w:cs="Times New Roman" w:eastAsiaTheme="minorEastAsia"/>
          <w:color w:val="auto"/>
          <w:kern w:val="2"/>
          <w:sz w:val="24"/>
          <w:szCs w:val="24"/>
          <w:highlight w:val="none"/>
          <w:lang w:val="en-US" w:eastAsia="zh-CN" w:bidi="ar-SA"/>
        </w:rPr>
        <w:t>进行评价，</w:t>
      </w:r>
      <w:r>
        <w:rPr>
          <w:rFonts w:hint="default" w:ascii="Times New Roman" w:hAnsi="Times New Roman" w:cs="Times New Roman" w:eastAsiaTheme="minorEastAsia"/>
          <w:color w:val="auto"/>
          <w:kern w:val="2"/>
          <w:sz w:val="24"/>
          <w:szCs w:val="24"/>
          <w:highlight w:val="none"/>
          <w:lang w:val="en-US" w:eastAsia="zh-CN" w:bidi="ar-SA"/>
        </w:rPr>
        <w:t>用附录A推荐模型中的AERSCREEN模式计算项目污染物的最大环境影响，然后按评价工作分级判据进行分级。</w:t>
      </w:r>
    </w:p>
    <w:p w14:paraId="5EF6651B">
      <w:pPr>
        <w:keepNext w:val="0"/>
        <w:keepLines w:val="0"/>
        <w:pageBreakBefore w:val="0"/>
        <w:widowControl w:val="0"/>
        <w:kinsoku/>
        <w:wordWrap/>
        <w:overflowPunct/>
        <w:topLinePunct w:val="0"/>
        <w:autoSpaceDE/>
        <w:autoSpaceDN/>
        <w:bidi w:val="0"/>
        <w:adjustRightInd/>
        <w:snapToGrid/>
        <w:spacing w:line="360" w:lineRule="auto"/>
        <w:ind w:right="0" w:firstLine="48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pict>
          <v:shape id="_x0000_s2052" o:spid="_x0000_s2052" o:spt="75" alt="6971027061313886614953" type="#_x0000_t75" style="position:absolute;left:0pt;margin-left:114.2pt;margin-top:64.1pt;height:42pt;width:120pt;z-index:251683840;mso-width-relative:page;mso-height-relative:page;" o:ole="t" filled="f" o:preferrelative="t" stroked="f" coordsize="21600,21600">
            <v:path/>
            <v:fill on="f" focussize="0,0"/>
            <v:stroke on="f"/>
            <v:imagedata r:id="rId16" o:title=""/>
            <o:lock v:ext="edit" aspectratio="t"/>
          </v:shape>
          <o:OLEObject Type="Embed" ProgID="Equation.3" ShapeID="_x0000_s2052" DrawAspect="Content" ObjectID="_1468075726" r:id="rId27">
            <o:LockedField>false</o:LockedField>
          </o:OLEObject>
        </w:pict>
      </w:r>
      <w:r>
        <w:rPr>
          <w:rFonts w:hint="default" w:ascii="Times New Roman" w:hAnsi="Times New Roman" w:cs="Times New Roman" w:eastAsiaTheme="minorEastAsia"/>
          <w:color w:val="auto"/>
          <w:kern w:val="2"/>
          <w:sz w:val="24"/>
          <w:szCs w:val="24"/>
          <w:highlight w:val="none"/>
          <w:lang w:val="en-US" w:eastAsia="zh-CN" w:bidi="ar-SA"/>
        </w:rPr>
        <w:t>按《导则》推荐的估算模式和如下公式计算主要大气污染物的最大地面空气质量浓度占标率Pi，及第i个污染物的地面空气质量浓度达标准限值10%时所对应的最远距离D10%。其中Pi定义为：</w:t>
      </w:r>
    </w:p>
    <w:p w14:paraId="670B8265">
      <w:pPr>
        <w:pStyle w:val="2"/>
        <w:keepNext w:val="0"/>
        <w:keepLines w:val="0"/>
        <w:pageBreakBefore w:val="0"/>
        <w:kinsoku/>
        <w:wordWrap/>
        <w:overflowPunct/>
        <w:topLinePunct w:val="0"/>
        <w:autoSpaceDE/>
        <w:autoSpaceDN/>
        <w:bidi w:val="0"/>
        <w:adjustRightInd/>
        <w:spacing w:before="0" w:after="0" w:line="360" w:lineRule="auto"/>
        <w:ind w:right="0"/>
        <w:textAlignment w:val="auto"/>
        <w:rPr>
          <w:rFonts w:hint="default" w:ascii="Times New Roman" w:hAnsi="Times New Roman" w:eastAsia="宋体" w:cs="Times New Roman"/>
          <w:color w:val="auto"/>
          <w:sz w:val="24"/>
          <w:szCs w:val="24"/>
          <w:highlight w:val="none"/>
        </w:rPr>
      </w:pPr>
    </w:p>
    <w:p w14:paraId="60CF160C">
      <w:pPr>
        <w:pStyle w:val="2"/>
        <w:keepNext w:val="0"/>
        <w:keepLines w:val="0"/>
        <w:pageBreakBefore w:val="0"/>
        <w:kinsoku/>
        <w:wordWrap/>
        <w:overflowPunct/>
        <w:topLinePunct w:val="0"/>
        <w:autoSpaceDE/>
        <w:autoSpaceDN/>
        <w:bidi w:val="0"/>
        <w:adjustRightInd/>
        <w:spacing w:before="0" w:after="0" w:line="360" w:lineRule="auto"/>
        <w:ind w:right="0"/>
        <w:textAlignment w:val="auto"/>
        <w:rPr>
          <w:rFonts w:hint="default" w:ascii="Times New Roman" w:hAnsi="Times New Roman" w:eastAsia="宋体" w:cs="Times New Roman"/>
          <w:color w:val="auto"/>
          <w:sz w:val="24"/>
          <w:szCs w:val="24"/>
          <w:highlight w:val="none"/>
        </w:rPr>
      </w:pPr>
    </w:p>
    <w:p w14:paraId="7304D24C">
      <w:pPr>
        <w:keepNext w:val="0"/>
        <w:keepLines w:val="0"/>
        <w:pageBreakBefore w:val="0"/>
        <w:kinsoku/>
        <w:wordWrap/>
        <w:overflowPunct/>
        <w:topLinePunct w:val="0"/>
        <w:autoSpaceDE/>
        <w:autoSpaceDN/>
        <w:bidi w:val="0"/>
        <w:adjustRightInd/>
        <w:spacing w:line="360" w:lineRule="auto"/>
        <w:ind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式中：Pi——第i个污染物的最大地面浓度占标率，100%；</w:t>
      </w:r>
    </w:p>
    <w:p w14:paraId="0325099A">
      <w:pPr>
        <w:keepNext w:val="0"/>
        <w:keepLines w:val="0"/>
        <w:pageBreakBefore w:val="0"/>
        <w:kinsoku/>
        <w:wordWrap/>
        <w:overflowPunct/>
        <w:topLinePunct w:val="0"/>
        <w:autoSpaceDE/>
        <w:autoSpaceDN/>
        <w:bidi w:val="0"/>
        <w:adjustRightInd/>
        <w:spacing w:line="360" w:lineRule="auto"/>
        <w:ind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Ci——采用估算模式计算出的第i个污染物的最大地面浓度，</w:t>
      </w:r>
      <w:r>
        <w:rPr>
          <w:rFonts w:hint="eastAsia" w:ascii="Times New Roman" w:hAnsi="Times New Roman" w:eastAsia="宋体" w:cs="Times New Roman"/>
          <w:color w:val="auto"/>
          <w:sz w:val="24"/>
          <w:szCs w:val="24"/>
          <w:highlight w:val="none"/>
          <w:lang w:val="en-US" w:eastAsia="zh-CN"/>
        </w:rPr>
        <w:t>u</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14:paraId="0FA31626">
      <w:pPr>
        <w:keepNext w:val="0"/>
        <w:keepLines w:val="0"/>
        <w:pageBreakBefore w:val="0"/>
        <w:kinsoku/>
        <w:wordWrap/>
        <w:overflowPunct/>
        <w:topLinePunct w:val="0"/>
        <w:autoSpaceDE/>
        <w:autoSpaceDN/>
        <w:bidi w:val="0"/>
        <w:adjustRightInd/>
        <w:spacing w:line="360" w:lineRule="auto"/>
        <w:ind w:right="0" w:firstLine="480"/>
        <w:textAlignment w:val="auto"/>
        <w:rPr>
          <w:rFonts w:hint="eastAsia"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szCs w:val="24"/>
          <w:highlight w:val="none"/>
        </w:rPr>
        <w:t>C0i——第i个污染物的环境空气质量标准，</w:t>
      </w:r>
      <w:r>
        <w:rPr>
          <w:rFonts w:hint="eastAsia" w:ascii="Times New Roman" w:hAnsi="Times New Roman" w:eastAsia="宋体" w:cs="Times New Roman"/>
          <w:color w:val="auto"/>
          <w:sz w:val="24"/>
          <w:szCs w:val="24"/>
          <w:highlight w:val="none"/>
          <w:lang w:val="en-US" w:eastAsia="zh-CN"/>
        </w:rPr>
        <w:t>u</w:t>
      </w:r>
      <w:r>
        <w:rPr>
          <w:rFonts w:hint="default" w:ascii="Times New Roman" w:hAnsi="Times New Roman" w:eastAsia="宋体" w:cs="Times New Roman"/>
          <w:color w:val="auto"/>
          <w:sz w:val="24"/>
          <w:szCs w:val="24"/>
          <w:highlight w:val="none"/>
        </w:rPr>
        <w:t>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一般选用GB3095中1h平均质量浓度的二级浓度限值；对于该标准中未包含的污染物，使用5.2确定的各级评价因子1h平均质量浓度限值。对仅有8h平均质量浓度限值、日平均质量浓度限值或年平均质量浓度限值的，可分别按2倍、3倍、6倍折算为1h平均质量浓度限值。</w:t>
      </w:r>
    </w:p>
    <w:p w14:paraId="49DFECDE">
      <w:pPr>
        <w:keepNext w:val="0"/>
        <w:keepLines w:val="0"/>
        <w:pageBreakBefore w:val="0"/>
        <w:kinsoku/>
        <w:wordWrap/>
        <w:overflowPunct/>
        <w:topLinePunct w:val="0"/>
        <w:autoSpaceDE/>
        <w:autoSpaceDN/>
        <w:bidi w:val="0"/>
        <w:adjustRightInd/>
        <w:spacing w:line="360" w:lineRule="auto"/>
        <w:ind w:right="0" w:firstLine="480"/>
        <w:textAlignment w:val="auto"/>
        <w:rPr>
          <w:rFonts w:hint="default" w:ascii="Times New Roman" w:hAnsi="Times New Roman" w:eastAsia="宋体" w:cs="Times New Roman"/>
          <w:b/>
          <w:bCs/>
          <w:color w:val="auto"/>
          <w:sz w:val="24"/>
          <w:szCs w:val="24"/>
          <w:highlight w:val="none"/>
        </w:rPr>
      </w:pPr>
      <w:r>
        <w:rPr>
          <w:rFonts w:hint="eastAsia"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、评价因子和评价标准</w:t>
      </w:r>
    </w:p>
    <w:p w14:paraId="6EA245E0">
      <w:pPr>
        <w:keepNext w:val="0"/>
        <w:keepLines w:val="0"/>
        <w:pageBreakBefore w:val="0"/>
        <w:widowControl/>
        <w:suppressLineNumbers w:val="0"/>
        <w:kinsoku/>
        <w:wordWrap/>
        <w:overflowPunct/>
        <w:topLinePunct w:val="0"/>
        <w:autoSpaceDE/>
        <w:autoSpaceDN/>
        <w:bidi w:val="0"/>
        <w:adjustRightInd/>
        <w:spacing w:line="360" w:lineRule="auto"/>
        <w:ind w:right="0" w:firstLine="720" w:firstLineChars="300"/>
        <w:jc w:val="left"/>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本次评价因子</w:t>
      </w:r>
      <w:r>
        <w:rPr>
          <w:rFonts w:hint="default" w:ascii="Times New Roman" w:hAnsi="Times New Roman" w:cs="Times New Roman" w:eastAsiaTheme="minorEastAsia"/>
          <w:color w:val="auto"/>
          <w:kern w:val="2"/>
          <w:sz w:val="24"/>
          <w:szCs w:val="24"/>
          <w:highlight w:val="none"/>
          <w:lang w:val="en-US" w:eastAsia="zh-CN" w:bidi="ar-SA"/>
        </w:rPr>
        <w:t>执行《环境空气质量标准》（GB3095-2012）中二级标准</w:t>
      </w:r>
      <w:r>
        <w:rPr>
          <w:rFonts w:hint="eastAsia" w:ascii="Times New Roman" w:hAnsi="Times New Roman" w:cs="Times New Roman" w:eastAsiaTheme="minorEastAsia"/>
          <w:color w:val="auto"/>
          <w:kern w:val="2"/>
          <w:sz w:val="24"/>
          <w:szCs w:val="24"/>
          <w:highlight w:val="none"/>
          <w:lang w:val="en-US" w:eastAsia="zh-CN" w:bidi="ar-SA"/>
        </w:rPr>
        <w:t>及</w:t>
      </w:r>
      <w:r>
        <w:rPr>
          <w:rFonts w:hint="default" w:ascii="Times New Roman" w:hAnsi="Times New Roman" w:cs="Times New Roman" w:eastAsiaTheme="minorEastAsia"/>
          <w:color w:val="auto"/>
          <w:kern w:val="2"/>
          <w:sz w:val="24"/>
          <w:szCs w:val="24"/>
          <w:highlight w:val="none"/>
          <w:lang w:val="en-US" w:eastAsia="zh-CN" w:bidi="ar-SA"/>
        </w:rPr>
        <w:t>《环境影响评价技术导则 大气环境》（HJ2.2-2018）中附录D。本次环境影响评价因子和评价标准如下表：</w:t>
      </w:r>
    </w:p>
    <w:p w14:paraId="1D265F53">
      <w:pPr>
        <w:pStyle w:val="2"/>
        <w:keepNext w:val="0"/>
        <w:keepLines w:val="0"/>
        <w:pageBreakBefore w:val="0"/>
        <w:kinsoku/>
        <w:wordWrap/>
        <w:overflowPunct/>
        <w:topLinePunct w:val="0"/>
        <w:autoSpaceDE/>
        <w:autoSpaceDN/>
        <w:bidi w:val="0"/>
        <w:adjustRightInd/>
        <w:spacing w:before="0" w:after="0" w:line="360" w:lineRule="auto"/>
        <w:ind w:right="0" w:firstLine="1687" w:firstLineChars="700"/>
        <w:textAlignment w:val="auto"/>
        <w:rPr>
          <w:rFonts w:hint="default" w:ascii="Times New Roman" w:hAnsi="Times New Roman" w:eastAsia="宋体" w:cs="Times New Roman"/>
          <w:b/>
          <w:bCs/>
          <w:color w:val="auto"/>
          <w:kern w:val="0"/>
          <w:sz w:val="24"/>
          <w:szCs w:val="24"/>
          <w:highlight w:val="none"/>
          <w:lang w:val="en-US" w:eastAsia="zh-CN" w:bidi="ar"/>
        </w:rPr>
      </w:pPr>
    </w:p>
    <w:p w14:paraId="088E3DF8">
      <w:pPr>
        <w:pStyle w:val="2"/>
        <w:keepNext w:val="0"/>
        <w:keepLines w:val="0"/>
        <w:pageBreakBefore w:val="0"/>
        <w:kinsoku/>
        <w:wordWrap/>
        <w:overflowPunct/>
        <w:topLinePunct w:val="0"/>
        <w:autoSpaceDE/>
        <w:autoSpaceDN/>
        <w:bidi w:val="0"/>
        <w:adjustRightInd/>
        <w:spacing w:before="0" w:after="0" w:line="360" w:lineRule="auto"/>
        <w:ind w:right="0" w:firstLine="1687" w:firstLineChars="700"/>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cs="Times New Roman"/>
          <w:b/>
          <w:bCs/>
          <w:color w:val="auto"/>
          <w:kern w:val="0"/>
          <w:sz w:val="24"/>
          <w:szCs w:val="24"/>
          <w:highlight w:val="none"/>
          <w:lang w:val="en-US" w:eastAsia="zh-CN" w:bidi="ar"/>
        </w:rPr>
        <w:t>6.2-5</w:t>
      </w:r>
      <w:r>
        <w:rPr>
          <w:rFonts w:hint="eastAsia" w:ascii="Times New Roman" w:hAnsi="Times New Roman" w:eastAsia="宋体" w:cs="Times New Roman"/>
          <w:b/>
          <w:bCs/>
          <w:color w:val="auto"/>
          <w:kern w:val="0"/>
          <w:sz w:val="24"/>
          <w:szCs w:val="24"/>
          <w:highlight w:val="none"/>
          <w:lang w:val="en-US" w:eastAsia="zh-CN" w:bidi="ar"/>
        </w:rPr>
        <w:t xml:space="preserve"> </w:t>
      </w:r>
      <w:r>
        <w:rPr>
          <w:rFonts w:hint="default" w:ascii="Times New Roman" w:hAnsi="Times New Roman" w:eastAsia="宋体" w:cs="Times New Roman"/>
          <w:b/>
          <w:bCs/>
          <w:color w:val="auto"/>
          <w:kern w:val="0"/>
          <w:sz w:val="24"/>
          <w:szCs w:val="24"/>
          <w:highlight w:val="none"/>
          <w:lang w:val="en-US" w:eastAsia="zh-CN" w:bidi="ar"/>
        </w:rPr>
        <w:t>评价因子和评价标准表</w:t>
      </w:r>
      <w:r>
        <w:rPr>
          <w:b/>
          <w:bCs/>
          <w:color w:val="auto"/>
          <w:sz w:val="24"/>
          <w:szCs w:val="24"/>
          <w:highlight w:val="none"/>
        </w:rPr>
        <w:t>单位：μg/m</w:t>
      </w:r>
      <w:r>
        <w:rPr>
          <w:b/>
          <w:bCs/>
          <w:color w:val="auto"/>
          <w:sz w:val="24"/>
          <w:szCs w:val="24"/>
          <w:highlight w:val="none"/>
          <w:vertAlign w:val="superscript"/>
        </w:rPr>
        <w:t>3</w:t>
      </w:r>
    </w:p>
    <w:tbl>
      <w:tblPr>
        <w:tblStyle w:val="23"/>
        <w:tblW w:w="4999"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284"/>
        <w:gridCol w:w="1967"/>
        <w:gridCol w:w="1601"/>
        <w:gridCol w:w="1502"/>
        <w:gridCol w:w="2159"/>
      </w:tblGrid>
      <w:tr w14:paraId="2E622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tcBorders>
              <w:tl2br w:val="nil"/>
              <w:tr2bl w:val="nil"/>
            </w:tcBorders>
            <w:noWrap w:val="0"/>
            <w:vAlign w:val="center"/>
          </w:tcPr>
          <w:p w14:paraId="7C127C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评价因子</w:t>
            </w:r>
          </w:p>
        </w:tc>
        <w:tc>
          <w:tcPr>
            <w:tcW w:w="1155" w:type="pct"/>
            <w:tcBorders>
              <w:tl2br w:val="nil"/>
              <w:tr2bl w:val="nil"/>
            </w:tcBorders>
            <w:noWrap w:val="0"/>
            <w:vAlign w:val="center"/>
          </w:tcPr>
          <w:p w14:paraId="605125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取样时间</w:t>
            </w:r>
          </w:p>
        </w:tc>
        <w:tc>
          <w:tcPr>
            <w:tcW w:w="1822" w:type="pct"/>
            <w:gridSpan w:val="2"/>
            <w:tcBorders>
              <w:tl2br w:val="nil"/>
              <w:tr2bl w:val="nil"/>
            </w:tcBorders>
            <w:noWrap w:val="0"/>
            <w:vAlign w:val="center"/>
          </w:tcPr>
          <w:p w14:paraId="0F00B0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标准值</w:t>
            </w:r>
          </w:p>
        </w:tc>
        <w:tc>
          <w:tcPr>
            <w:tcW w:w="1267" w:type="pct"/>
            <w:tcBorders>
              <w:tl2br w:val="nil"/>
              <w:tr2bl w:val="nil"/>
            </w:tcBorders>
            <w:noWrap w:val="0"/>
            <w:vAlign w:val="center"/>
          </w:tcPr>
          <w:p w14:paraId="36F6B7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备注</w:t>
            </w:r>
          </w:p>
        </w:tc>
      </w:tr>
      <w:tr w14:paraId="063D0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0" w:hRule="atLeast"/>
        </w:trPr>
        <w:tc>
          <w:tcPr>
            <w:tcW w:w="754" w:type="pct"/>
            <w:vMerge w:val="restart"/>
            <w:tcBorders>
              <w:tl2br w:val="nil"/>
              <w:tr2bl w:val="nil"/>
            </w:tcBorders>
            <w:noWrap w:val="0"/>
            <w:vAlign w:val="center"/>
          </w:tcPr>
          <w:p w14:paraId="57746A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ascii="Times New Roman" w:hAnsi="Times New Roman" w:eastAsia="Times New Roman" w:cs="Times New Roman"/>
                <w:spacing w:val="2"/>
                <w:sz w:val="20"/>
                <w:szCs w:val="20"/>
                <w:highlight w:val="none"/>
              </w:rPr>
              <w:t>TSP</w:t>
            </w:r>
          </w:p>
        </w:tc>
        <w:tc>
          <w:tcPr>
            <w:tcW w:w="1155" w:type="pct"/>
            <w:tcBorders>
              <w:tl2br w:val="nil"/>
              <w:tr2bl w:val="nil"/>
            </w:tcBorders>
            <w:noWrap w:val="0"/>
            <w:vAlign w:val="center"/>
          </w:tcPr>
          <w:p w14:paraId="1A5BBDDF">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spacing w:val="6"/>
                <w:highlight w:val="none"/>
              </w:rPr>
              <w:t>年平均</w:t>
            </w:r>
          </w:p>
        </w:tc>
        <w:tc>
          <w:tcPr>
            <w:tcW w:w="940" w:type="pct"/>
            <w:tcBorders>
              <w:tl2br w:val="nil"/>
              <w:tr2bl w:val="nil"/>
            </w:tcBorders>
            <w:noWrap w:val="0"/>
            <w:vAlign w:val="center"/>
          </w:tcPr>
          <w:p w14:paraId="0352BA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27302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eastAsia="宋体" w:cs="Times New Roman"/>
                <w:i w:val="0"/>
                <w:iCs w:val="0"/>
                <w:color w:val="auto"/>
                <w:kern w:val="0"/>
                <w:sz w:val="21"/>
                <w:szCs w:val="21"/>
                <w:highlight w:val="none"/>
                <w:u w:val="none"/>
                <w:lang w:val="en-US" w:eastAsia="zh-CN" w:bidi="ar"/>
              </w:rPr>
              <w:t>200</w:t>
            </w:r>
          </w:p>
        </w:tc>
        <w:tc>
          <w:tcPr>
            <w:tcW w:w="1267" w:type="pct"/>
            <w:tcBorders>
              <w:tl2br w:val="nil"/>
              <w:tr2bl w:val="nil"/>
            </w:tcBorders>
            <w:noWrap w:val="0"/>
            <w:vAlign w:val="center"/>
          </w:tcPr>
          <w:p w14:paraId="1D3E1C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w:t>
            </w:r>
          </w:p>
        </w:tc>
      </w:tr>
      <w:tr w14:paraId="2CFF0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5" w:hRule="atLeast"/>
        </w:trPr>
        <w:tc>
          <w:tcPr>
            <w:tcW w:w="754" w:type="pct"/>
            <w:vMerge w:val="continue"/>
            <w:tcBorders>
              <w:tl2br w:val="nil"/>
              <w:tr2bl w:val="nil"/>
            </w:tcBorders>
            <w:noWrap w:val="0"/>
            <w:vAlign w:val="center"/>
          </w:tcPr>
          <w:p w14:paraId="439AB9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155" w:type="pct"/>
            <w:tcBorders>
              <w:tl2br w:val="nil"/>
              <w:tr2bl w:val="nil"/>
            </w:tcBorders>
            <w:noWrap/>
            <w:vAlign w:val="center"/>
          </w:tcPr>
          <w:p w14:paraId="63F5AC2C">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ascii="Times New Roman" w:hAnsi="Times New Roman" w:eastAsia="Times New Roman" w:cs="Times New Roman"/>
                <w:spacing w:val="4"/>
                <w:highlight w:val="none"/>
              </w:rPr>
              <w:t>24</w:t>
            </w:r>
            <w:r>
              <w:rPr>
                <w:rFonts w:ascii="Times New Roman" w:hAnsi="Times New Roman" w:eastAsia="Times New Roman" w:cs="Times New Roman"/>
                <w:spacing w:val="19"/>
                <w:w w:val="101"/>
                <w:highlight w:val="none"/>
              </w:rPr>
              <w:t xml:space="preserve"> </w:t>
            </w:r>
            <w:r>
              <w:rPr>
                <w:spacing w:val="4"/>
                <w:highlight w:val="none"/>
              </w:rPr>
              <w:t>小时平均</w:t>
            </w:r>
          </w:p>
        </w:tc>
        <w:tc>
          <w:tcPr>
            <w:tcW w:w="940" w:type="pct"/>
            <w:tcBorders>
              <w:tl2br w:val="nil"/>
              <w:tr2bl w:val="nil"/>
            </w:tcBorders>
            <w:noWrap w:val="0"/>
            <w:vAlign w:val="center"/>
          </w:tcPr>
          <w:p w14:paraId="233C64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61EE0F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eastAsia="宋体" w:cs="Times New Roman"/>
                <w:i w:val="0"/>
                <w:iCs w:val="0"/>
                <w:color w:val="auto"/>
                <w:kern w:val="0"/>
                <w:sz w:val="21"/>
                <w:szCs w:val="21"/>
                <w:highlight w:val="none"/>
                <w:u w:val="none"/>
                <w:lang w:val="en-US" w:eastAsia="zh-CN" w:bidi="ar"/>
              </w:rPr>
              <w:t>300</w:t>
            </w:r>
          </w:p>
        </w:tc>
        <w:tc>
          <w:tcPr>
            <w:tcW w:w="1267" w:type="pct"/>
            <w:tcBorders>
              <w:tl2br w:val="nil"/>
              <w:tr2bl w:val="nil"/>
            </w:tcBorders>
            <w:noWrap w:val="0"/>
            <w:vAlign w:val="center"/>
          </w:tcPr>
          <w:p w14:paraId="355BF6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w:t>
            </w:r>
          </w:p>
        </w:tc>
      </w:tr>
      <w:tr w14:paraId="22502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vMerge w:val="continue"/>
            <w:tcBorders>
              <w:tl2br w:val="nil"/>
              <w:tr2bl w:val="nil"/>
            </w:tcBorders>
            <w:noWrap w:val="0"/>
            <w:vAlign w:val="center"/>
          </w:tcPr>
          <w:p w14:paraId="0BBDCD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p>
        </w:tc>
        <w:tc>
          <w:tcPr>
            <w:tcW w:w="1155" w:type="pct"/>
            <w:tcBorders>
              <w:tl2br w:val="nil"/>
              <w:tr2bl w:val="nil"/>
            </w:tcBorders>
            <w:noWrap w:val="0"/>
            <w:vAlign w:val="center"/>
          </w:tcPr>
          <w:p w14:paraId="1F061F80">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ascii="Times New Roman" w:hAnsi="Times New Roman" w:eastAsia="Times New Roman" w:cs="Times New Roman"/>
                <w:highlight w:val="none"/>
              </w:rPr>
              <w:t>1</w:t>
            </w:r>
            <w:r>
              <w:rPr>
                <w:rFonts w:ascii="Times New Roman" w:hAnsi="Times New Roman" w:eastAsia="Times New Roman" w:cs="Times New Roman"/>
                <w:spacing w:val="20"/>
                <w:w w:val="101"/>
                <w:highlight w:val="none"/>
              </w:rPr>
              <w:t xml:space="preserve"> </w:t>
            </w:r>
            <w:r>
              <w:rPr>
                <w:highlight w:val="none"/>
              </w:rPr>
              <w:t>小时均值</w:t>
            </w:r>
          </w:p>
        </w:tc>
        <w:tc>
          <w:tcPr>
            <w:tcW w:w="940" w:type="pct"/>
            <w:tcBorders>
              <w:tl2br w:val="nil"/>
              <w:tr2bl w:val="nil"/>
            </w:tcBorders>
            <w:noWrap w:val="0"/>
            <w:vAlign w:val="center"/>
          </w:tcPr>
          <w:p w14:paraId="3A81FB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5F28E3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eastAsia="宋体" w:cs="Times New Roman"/>
                <w:i w:val="0"/>
                <w:iCs w:val="0"/>
                <w:color w:val="auto"/>
                <w:kern w:val="0"/>
                <w:sz w:val="21"/>
                <w:szCs w:val="21"/>
                <w:highlight w:val="none"/>
                <w:u w:val="none"/>
                <w:lang w:val="en-US" w:eastAsia="zh-CN" w:bidi="ar"/>
              </w:rPr>
              <w:t>900</w:t>
            </w:r>
          </w:p>
        </w:tc>
        <w:tc>
          <w:tcPr>
            <w:tcW w:w="1267" w:type="pct"/>
            <w:tcBorders>
              <w:tl2br w:val="nil"/>
              <w:tr2bl w:val="nil"/>
            </w:tcBorders>
            <w:noWrap w:val="0"/>
            <w:vAlign w:val="center"/>
          </w:tcPr>
          <w:p w14:paraId="0BD74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按</w:t>
            </w:r>
            <w:r>
              <w:rPr>
                <w:rFonts w:hint="eastAsia" w:ascii="Times New Roman" w:hAnsi="Times New Roman" w:eastAsia="宋体" w:cs="Times New Roman"/>
                <w:i w:val="0"/>
                <w:iCs w:val="0"/>
                <w:color w:val="auto"/>
                <w:kern w:val="0"/>
                <w:sz w:val="21"/>
                <w:szCs w:val="21"/>
                <w:highlight w:val="none"/>
                <w:u w:val="none"/>
                <w:lang w:val="en-US" w:eastAsia="zh-CN" w:bidi="ar"/>
              </w:rPr>
              <w:t>日</w:t>
            </w:r>
            <w:r>
              <w:rPr>
                <w:rFonts w:hint="default" w:ascii="Times New Roman" w:hAnsi="Times New Roman" w:eastAsia="宋体" w:cs="Times New Roman"/>
                <w:i w:val="0"/>
                <w:iCs w:val="0"/>
                <w:color w:val="auto"/>
                <w:kern w:val="0"/>
                <w:sz w:val="21"/>
                <w:szCs w:val="21"/>
                <w:highlight w:val="none"/>
                <w:u w:val="none"/>
                <w:lang w:val="en-US" w:eastAsia="zh-CN" w:bidi="ar"/>
              </w:rPr>
              <w:t>平均</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倍计</w:t>
            </w:r>
          </w:p>
        </w:tc>
      </w:tr>
      <w:tr w14:paraId="3E0EA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vMerge w:val="restart"/>
            <w:tcBorders>
              <w:tl2br w:val="nil"/>
              <w:tr2bl w:val="nil"/>
            </w:tcBorders>
            <w:noWrap w:val="0"/>
            <w:vAlign w:val="center"/>
          </w:tcPr>
          <w:p w14:paraId="7B938F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TVOC</w:t>
            </w:r>
          </w:p>
        </w:tc>
        <w:tc>
          <w:tcPr>
            <w:tcW w:w="1155" w:type="pct"/>
            <w:tcBorders>
              <w:tl2br w:val="nil"/>
              <w:tr2bl w:val="nil"/>
            </w:tcBorders>
            <w:noWrap w:val="0"/>
            <w:vAlign w:val="center"/>
          </w:tcPr>
          <w:p w14:paraId="05B1D6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 小时平均</w:t>
            </w:r>
          </w:p>
        </w:tc>
        <w:tc>
          <w:tcPr>
            <w:tcW w:w="940" w:type="pct"/>
            <w:tcBorders>
              <w:tl2br w:val="nil"/>
              <w:tr2bl w:val="nil"/>
            </w:tcBorders>
            <w:noWrap w:val="0"/>
            <w:vAlign w:val="center"/>
          </w:tcPr>
          <w:p w14:paraId="2920BA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2CA41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1200</w:t>
            </w:r>
          </w:p>
        </w:tc>
        <w:tc>
          <w:tcPr>
            <w:tcW w:w="1267" w:type="pct"/>
            <w:tcBorders>
              <w:tl2br w:val="nil"/>
              <w:tr2bl w:val="nil"/>
            </w:tcBorders>
            <w:noWrap w:val="0"/>
            <w:vAlign w:val="center"/>
          </w:tcPr>
          <w:p w14:paraId="3B6F44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按</w:t>
            </w: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小时平均</w:t>
            </w:r>
            <w:r>
              <w:rPr>
                <w:rFonts w:hint="eastAsia" w:eastAsia="宋体" w:cs="Times New Roman"/>
                <w:i w:val="0"/>
                <w:iCs w:val="0"/>
                <w:color w:val="auto"/>
                <w:kern w:val="0"/>
                <w:sz w:val="21"/>
                <w:szCs w:val="21"/>
                <w:highlight w:val="none"/>
                <w:u w:val="none"/>
                <w:lang w:val="en-US" w:eastAsia="zh-CN" w:bidi="ar"/>
              </w:rPr>
              <w:t>值2倍计</w:t>
            </w:r>
          </w:p>
        </w:tc>
      </w:tr>
      <w:tr w14:paraId="4FBF8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754" w:type="pct"/>
            <w:vMerge w:val="continue"/>
            <w:tcBorders>
              <w:tl2br w:val="nil"/>
              <w:tr2bl w:val="nil"/>
            </w:tcBorders>
            <w:noWrap w:val="0"/>
            <w:vAlign w:val="center"/>
          </w:tcPr>
          <w:p w14:paraId="73B5693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highlight w:val="none"/>
                <w:u w:val="none"/>
                <w:lang w:val="en-US" w:eastAsia="zh-CN"/>
              </w:rPr>
            </w:pPr>
          </w:p>
        </w:tc>
        <w:tc>
          <w:tcPr>
            <w:tcW w:w="1155" w:type="pct"/>
            <w:tcBorders>
              <w:tl2br w:val="nil"/>
              <w:tr2bl w:val="nil"/>
            </w:tcBorders>
            <w:noWrap w:val="0"/>
            <w:vAlign w:val="center"/>
          </w:tcPr>
          <w:p w14:paraId="6D0F9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小时平均</w:t>
            </w:r>
          </w:p>
        </w:tc>
        <w:tc>
          <w:tcPr>
            <w:tcW w:w="940" w:type="pct"/>
            <w:tcBorders>
              <w:tl2br w:val="nil"/>
              <w:tr2bl w:val="nil"/>
            </w:tcBorders>
            <w:noWrap w:val="0"/>
            <w:vAlign w:val="center"/>
          </w:tcPr>
          <w:p w14:paraId="07244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ug/m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82" w:type="pct"/>
            <w:tcBorders>
              <w:tl2br w:val="nil"/>
              <w:tr2bl w:val="nil"/>
            </w:tcBorders>
            <w:noWrap w:val="0"/>
            <w:vAlign w:val="center"/>
          </w:tcPr>
          <w:p w14:paraId="7B6FAC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600</w:t>
            </w:r>
          </w:p>
        </w:tc>
        <w:tc>
          <w:tcPr>
            <w:tcW w:w="1267" w:type="pct"/>
            <w:tcBorders>
              <w:tl2br w:val="nil"/>
              <w:tr2bl w:val="nil"/>
            </w:tcBorders>
            <w:noWrap w:val="0"/>
            <w:vAlign w:val="center"/>
          </w:tcPr>
          <w:p w14:paraId="215F24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w:t>
            </w:r>
          </w:p>
        </w:tc>
      </w:tr>
    </w:tbl>
    <w:p w14:paraId="41938509">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估算模型参数</w:t>
      </w:r>
    </w:p>
    <w:p w14:paraId="57D6D71F">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 xml:space="preserve">表6.2-5 </w:t>
      </w:r>
      <w:r>
        <w:rPr>
          <w:rFonts w:hint="default" w:ascii="Times New Roman" w:hAnsi="Times New Roman" w:eastAsia="宋体" w:cs="Times New Roman"/>
          <w:b/>
          <w:bCs/>
          <w:color w:val="auto"/>
          <w:kern w:val="0"/>
          <w:sz w:val="24"/>
          <w:szCs w:val="24"/>
          <w:highlight w:val="none"/>
          <w:lang w:val="en-US" w:eastAsia="zh-CN" w:bidi="ar"/>
        </w:rPr>
        <w:t>估算模型参数表</w:t>
      </w:r>
    </w:p>
    <w:tbl>
      <w:tblPr>
        <w:tblStyle w:val="23"/>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650"/>
        <w:gridCol w:w="3954"/>
        <w:gridCol w:w="1909"/>
      </w:tblGrid>
      <w:tr w14:paraId="02A4B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5" w:hRule="atLeast"/>
          <w:tblHeader/>
          <w:jc w:val="center"/>
        </w:trPr>
        <w:tc>
          <w:tcPr>
            <w:tcW w:w="3878" w:type="pct"/>
            <w:gridSpan w:val="2"/>
            <w:tcBorders>
              <w:tl2br w:val="nil"/>
              <w:tr2bl w:val="nil"/>
            </w:tcBorders>
            <w:noWrap w:val="0"/>
            <w:vAlign w:val="center"/>
          </w:tcPr>
          <w:p w14:paraId="70E36781">
            <w:pPr>
              <w:pStyle w:val="49"/>
              <w:adjustRightInd/>
              <w:spacing w:after="0"/>
              <w:ind w:firstLine="0" w:firstLineChars="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参数</w:t>
            </w:r>
          </w:p>
        </w:tc>
        <w:tc>
          <w:tcPr>
            <w:tcW w:w="1121" w:type="pct"/>
            <w:tcBorders>
              <w:tl2br w:val="nil"/>
              <w:tr2bl w:val="nil"/>
            </w:tcBorders>
            <w:noWrap w:val="0"/>
            <w:vAlign w:val="center"/>
          </w:tcPr>
          <w:p w14:paraId="26046C83">
            <w:pPr>
              <w:pStyle w:val="49"/>
              <w:adjustRightInd/>
              <w:spacing w:after="0"/>
              <w:ind w:firstLine="0" w:firstLineChars="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取值</w:t>
            </w:r>
          </w:p>
        </w:tc>
      </w:tr>
      <w:tr w14:paraId="170F2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1556" w:type="pct"/>
            <w:vMerge w:val="restart"/>
            <w:tcBorders>
              <w:tl2br w:val="nil"/>
              <w:tr2bl w:val="nil"/>
            </w:tcBorders>
            <w:noWrap w:val="0"/>
            <w:vAlign w:val="center"/>
          </w:tcPr>
          <w:p w14:paraId="5163FC6B">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城市农村/选项</w:t>
            </w:r>
          </w:p>
        </w:tc>
        <w:tc>
          <w:tcPr>
            <w:tcW w:w="2322" w:type="pct"/>
            <w:tcBorders>
              <w:tl2br w:val="nil"/>
              <w:tr2bl w:val="nil"/>
            </w:tcBorders>
            <w:noWrap w:val="0"/>
            <w:vAlign w:val="center"/>
          </w:tcPr>
          <w:p w14:paraId="231C0E5C">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城市/农村</w:t>
            </w:r>
          </w:p>
        </w:tc>
        <w:tc>
          <w:tcPr>
            <w:tcW w:w="1121" w:type="pct"/>
            <w:tcBorders>
              <w:tl2br w:val="nil"/>
              <w:tr2bl w:val="nil"/>
            </w:tcBorders>
            <w:noWrap w:val="0"/>
            <w:vAlign w:val="center"/>
          </w:tcPr>
          <w:p w14:paraId="4CCC9059">
            <w:pPr>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城市</w:t>
            </w:r>
          </w:p>
        </w:tc>
      </w:tr>
      <w:tr w14:paraId="41794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556" w:type="pct"/>
            <w:vMerge w:val="continue"/>
            <w:tcBorders>
              <w:tl2br w:val="nil"/>
              <w:tr2bl w:val="nil"/>
            </w:tcBorders>
            <w:noWrap w:val="0"/>
            <w:vAlign w:val="center"/>
          </w:tcPr>
          <w:p w14:paraId="63A079B2">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17FB0FF3">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人口数（城市人口数）</w:t>
            </w:r>
          </w:p>
        </w:tc>
        <w:tc>
          <w:tcPr>
            <w:tcW w:w="1121" w:type="pct"/>
            <w:tcBorders>
              <w:tl2br w:val="nil"/>
              <w:tr2bl w:val="nil"/>
            </w:tcBorders>
            <w:noWrap w:val="0"/>
            <w:vAlign w:val="center"/>
          </w:tcPr>
          <w:p w14:paraId="1847027E">
            <w:pPr>
              <w:keepNext w:val="0"/>
              <w:keepLines w:val="0"/>
              <w:pageBreakBefore w:val="0"/>
              <w:widowControl w:val="0"/>
              <w:kinsoku/>
              <w:wordWrap/>
              <w:overflowPunct/>
              <w:topLinePunct w:val="0"/>
              <w:autoSpaceDE/>
              <w:autoSpaceDN/>
              <w:bidi w:val="0"/>
              <w:snapToGrid/>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200000</w:t>
            </w:r>
          </w:p>
        </w:tc>
      </w:tr>
      <w:tr w14:paraId="4B02D2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 w:hRule="atLeast"/>
          <w:jc w:val="center"/>
        </w:trPr>
        <w:tc>
          <w:tcPr>
            <w:tcW w:w="3878" w:type="pct"/>
            <w:gridSpan w:val="2"/>
            <w:tcBorders>
              <w:tl2br w:val="nil"/>
              <w:tr2bl w:val="nil"/>
            </w:tcBorders>
            <w:noWrap w:val="0"/>
            <w:vAlign w:val="center"/>
          </w:tcPr>
          <w:p w14:paraId="3179586A">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最高环境温度（℃）</w:t>
            </w:r>
          </w:p>
        </w:tc>
        <w:tc>
          <w:tcPr>
            <w:tcW w:w="1121" w:type="pct"/>
            <w:tcBorders>
              <w:tl2br w:val="nil"/>
              <w:tr2bl w:val="nil"/>
            </w:tcBorders>
            <w:noWrap w:val="0"/>
            <w:vAlign w:val="center"/>
          </w:tcPr>
          <w:p w14:paraId="0875F4D8">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39.3</w:t>
            </w:r>
          </w:p>
        </w:tc>
      </w:tr>
      <w:tr w14:paraId="3086F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3878" w:type="pct"/>
            <w:gridSpan w:val="2"/>
            <w:tcBorders>
              <w:tl2br w:val="nil"/>
              <w:tr2bl w:val="nil"/>
            </w:tcBorders>
            <w:noWrap w:val="0"/>
            <w:vAlign w:val="center"/>
          </w:tcPr>
          <w:p w14:paraId="690366CF">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最低环境温度（℃）</w:t>
            </w:r>
          </w:p>
        </w:tc>
        <w:tc>
          <w:tcPr>
            <w:tcW w:w="1121" w:type="pct"/>
            <w:tcBorders>
              <w:tl2br w:val="nil"/>
              <w:tr2bl w:val="nil"/>
            </w:tcBorders>
            <w:noWrap w:val="0"/>
            <w:vAlign w:val="center"/>
          </w:tcPr>
          <w:p w14:paraId="151E5A69">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w:t>
            </w:r>
            <w:r>
              <w:rPr>
                <w:rFonts w:hint="eastAsia" w:ascii="Times New Roman" w:hAnsi="Times New Roman" w:cs="Times New Roman"/>
                <w:color w:val="auto"/>
                <w:sz w:val="21"/>
                <w:szCs w:val="21"/>
                <w:highlight w:val="none"/>
                <w:u w:val="none" w:color="auto"/>
                <w:lang w:val="en-US" w:eastAsia="zh-CN"/>
              </w:rPr>
              <w:t>11.8</w:t>
            </w:r>
          </w:p>
        </w:tc>
      </w:tr>
      <w:tr w14:paraId="122F9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3878" w:type="pct"/>
            <w:gridSpan w:val="2"/>
            <w:tcBorders>
              <w:tl2br w:val="nil"/>
              <w:tr2bl w:val="nil"/>
            </w:tcBorders>
            <w:noWrap w:val="0"/>
            <w:vAlign w:val="center"/>
          </w:tcPr>
          <w:p w14:paraId="01BCA169">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土地利用类型</w:t>
            </w:r>
          </w:p>
        </w:tc>
        <w:tc>
          <w:tcPr>
            <w:tcW w:w="1121" w:type="pct"/>
            <w:tcBorders>
              <w:tl2br w:val="nil"/>
              <w:tr2bl w:val="nil"/>
            </w:tcBorders>
            <w:noWrap w:val="0"/>
            <w:vAlign w:val="center"/>
          </w:tcPr>
          <w:p w14:paraId="0C5723B4">
            <w:pPr>
              <w:keepNext w:val="0"/>
              <w:keepLines w:val="0"/>
              <w:pageBreakBefore w:val="0"/>
              <w:widowControl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城市</w:t>
            </w:r>
          </w:p>
        </w:tc>
      </w:tr>
      <w:tr w14:paraId="15BC1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3878" w:type="pct"/>
            <w:gridSpan w:val="2"/>
            <w:tcBorders>
              <w:tl2br w:val="nil"/>
              <w:tr2bl w:val="nil"/>
            </w:tcBorders>
            <w:noWrap w:val="0"/>
            <w:vAlign w:val="center"/>
          </w:tcPr>
          <w:p w14:paraId="014AF533">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区域湿度条件</w:t>
            </w:r>
          </w:p>
        </w:tc>
        <w:tc>
          <w:tcPr>
            <w:tcW w:w="1121" w:type="pct"/>
            <w:tcBorders>
              <w:tl2br w:val="nil"/>
              <w:tr2bl w:val="nil"/>
            </w:tcBorders>
            <w:noWrap w:val="0"/>
            <w:vAlign w:val="center"/>
          </w:tcPr>
          <w:p w14:paraId="344F8DD4">
            <w:pPr>
              <w:adjustRightIn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潮湿气候</w:t>
            </w:r>
          </w:p>
        </w:tc>
      </w:tr>
      <w:tr w14:paraId="674E1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1556" w:type="pct"/>
            <w:vMerge w:val="restart"/>
            <w:tcBorders>
              <w:tl2br w:val="nil"/>
              <w:tr2bl w:val="nil"/>
            </w:tcBorders>
            <w:noWrap w:val="0"/>
            <w:vAlign w:val="center"/>
          </w:tcPr>
          <w:p w14:paraId="2A86832F">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是否考虑地形</w:t>
            </w:r>
          </w:p>
        </w:tc>
        <w:tc>
          <w:tcPr>
            <w:tcW w:w="2322" w:type="pct"/>
            <w:tcBorders>
              <w:tl2br w:val="nil"/>
              <w:tr2bl w:val="nil"/>
            </w:tcBorders>
            <w:noWrap w:val="0"/>
            <w:vAlign w:val="center"/>
          </w:tcPr>
          <w:p w14:paraId="1DBBF24B">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考虑地形</w:t>
            </w:r>
          </w:p>
        </w:tc>
        <w:tc>
          <w:tcPr>
            <w:tcW w:w="1121" w:type="pct"/>
            <w:tcBorders>
              <w:tl2br w:val="nil"/>
              <w:tr2bl w:val="nil"/>
            </w:tcBorders>
            <w:noWrap w:val="0"/>
            <w:vAlign w:val="center"/>
          </w:tcPr>
          <w:p w14:paraId="7044D4EA">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w:t>
            </w:r>
          </w:p>
        </w:tc>
      </w:tr>
      <w:tr w14:paraId="59BED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556" w:type="pct"/>
            <w:vMerge w:val="continue"/>
            <w:tcBorders>
              <w:tl2br w:val="nil"/>
              <w:tr2bl w:val="nil"/>
            </w:tcBorders>
            <w:noWrap w:val="0"/>
            <w:vAlign w:val="center"/>
          </w:tcPr>
          <w:p w14:paraId="35BCF977">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77A9BFFF">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地形数据分辨率（m）</w:t>
            </w:r>
          </w:p>
        </w:tc>
        <w:tc>
          <w:tcPr>
            <w:tcW w:w="1121" w:type="pct"/>
            <w:tcBorders>
              <w:tl2br w:val="nil"/>
              <w:tr2bl w:val="nil"/>
            </w:tcBorders>
            <w:noWrap w:val="0"/>
            <w:vAlign w:val="center"/>
          </w:tcPr>
          <w:p w14:paraId="0B0A9237">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w:t>
            </w:r>
          </w:p>
        </w:tc>
      </w:tr>
      <w:tr w14:paraId="368E1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556" w:type="pct"/>
            <w:vMerge w:val="restart"/>
            <w:tcBorders>
              <w:tl2br w:val="nil"/>
              <w:tr2bl w:val="nil"/>
            </w:tcBorders>
            <w:noWrap w:val="0"/>
            <w:vAlign w:val="center"/>
          </w:tcPr>
          <w:p w14:paraId="40CF6FED">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是否考虑海岸线熏烟</w:t>
            </w:r>
          </w:p>
        </w:tc>
        <w:tc>
          <w:tcPr>
            <w:tcW w:w="2322" w:type="pct"/>
            <w:tcBorders>
              <w:tl2br w:val="nil"/>
              <w:tr2bl w:val="nil"/>
            </w:tcBorders>
            <w:noWrap w:val="0"/>
            <w:vAlign w:val="center"/>
          </w:tcPr>
          <w:p w14:paraId="7C5592E1">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考虑海岸线熏烟</w:t>
            </w:r>
          </w:p>
        </w:tc>
        <w:tc>
          <w:tcPr>
            <w:tcW w:w="1121" w:type="pct"/>
            <w:tcBorders>
              <w:tl2br w:val="nil"/>
              <w:tr2bl w:val="nil"/>
            </w:tcBorders>
            <w:noWrap w:val="0"/>
            <w:vAlign w:val="center"/>
          </w:tcPr>
          <w:p w14:paraId="2F669D2F">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否</w:t>
            </w:r>
          </w:p>
        </w:tc>
      </w:tr>
      <w:tr w14:paraId="4B721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1556" w:type="pct"/>
            <w:vMerge w:val="continue"/>
            <w:tcBorders>
              <w:tl2br w:val="nil"/>
              <w:tr2bl w:val="nil"/>
            </w:tcBorders>
            <w:noWrap w:val="0"/>
            <w:vAlign w:val="center"/>
          </w:tcPr>
          <w:p w14:paraId="4CB9933B">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452589CF">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海岸线距离/km</w:t>
            </w:r>
          </w:p>
        </w:tc>
        <w:tc>
          <w:tcPr>
            <w:tcW w:w="1121" w:type="pct"/>
            <w:tcBorders>
              <w:tl2br w:val="nil"/>
              <w:tr2bl w:val="nil"/>
            </w:tcBorders>
            <w:noWrap w:val="0"/>
            <w:vAlign w:val="center"/>
          </w:tcPr>
          <w:p w14:paraId="1347AEDE">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3D5CE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1556" w:type="pct"/>
            <w:vMerge w:val="continue"/>
            <w:tcBorders>
              <w:tl2br w:val="nil"/>
              <w:tr2bl w:val="nil"/>
            </w:tcBorders>
            <w:noWrap w:val="0"/>
            <w:vAlign w:val="center"/>
          </w:tcPr>
          <w:p w14:paraId="3FAFCF3E">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p>
        </w:tc>
        <w:tc>
          <w:tcPr>
            <w:tcW w:w="2322" w:type="pct"/>
            <w:tcBorders>
              <w:tl2br w:val="nil"/>
              <w:tr2bl w:val="nil"/>
            </w:tcBorders>
            <w:noWrap w:val="0"/>
            <w:vAlign w:val="center"/>
          </w:tcPr>
          <w:p w14:paraId="337B8DF8">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岸线方向/ °</w:t>
            </w:r>
          </w:p>
        </w:tc>
        <w:tc>
          <w:tcPr>
            <w:tcW w:w="1121" w:type="pct"/>
            <w:tcBorders>
              <w:tl2br w:val="nil"/>
              <w:tr2bl w:val="nil"/>
            </w:tcBorders>
            <w:noWrap w:val="0"/>
            <w:vAlign w:val="center"/>
          </w:tcPr>
          <w:p w14:paraId="2486880F">
            <w:pPr>
              <w:pStyle w:val="49"/>
              <w:adjustRightInd/>
              <w:spacing w:after="0"/>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bl>
    <w:p w14:paraId="6277F79A">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both"/>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4、污染源参数</w:t>
      </w:r>
    </w:p>
    <w:p w14:paraId="7E0251D4">
      <w:pPr>
        <w:pStyle w:val="2"/>
        <w:spacing w:before="0" w:after="0" w:line="360" w:lineRule="auto"/>
        <w:ind w:left="0" w:right="0" w:firstLine="437"/>
        <w:jc w:val="both"/>
        <w:rPr>
          <w:rFonts w:hint="eastAsia" w:ascii="Times New Roman" w:hAnsi="Times New Roman" w:eastAsia="宋体" w:cs="Times New Roman"/>
          <w:b/>
          <w:bCs/>
          <w:color w:val="auto"/>
          <w:kern w:val="0"/>
          <w:sz w:val="24"/>
          <w:szCs w:val="24"/>
          <w:highlight w:val="none"/>
          <w:lang w:val="en-US" w:eastAsia="zh-CN" w:bidi="ar"/>
        </w:rPr>
      </w:pPr>
      <w:r>
        <w:rPr>
          <w:spacing w:val="-2"/>
          <w:highlight w:val="none"/>
        </w:rPr>
        <w:t>大气污染源点源参数调查清单见表</w:t>
      </w:r>
      <w:r>
        <w:rPr>
          <w:spacing w:val="-51"/>
          <w:highlight w:val="none"/>
        </w:rPr>
        <w:t xml:space="preserve"> </w:t>
      </w:r>
      <w:r>
        <w:rPr>
          <w:rFonts w:hint="eastAsia" w:eastAsia="宋体" w:cs="Times New Roman"/>
          <w:spacing w:val="-2"/>
          <w:highlight w:val="none"/>
          <w:lang w:val="en-US" w:eastAsia="zh-CN"/>
        </w:rPr>
        <w:t>6.2-6</w:t>
      </w:r>
      <w:r>
        <w:rPr>
          <w:rFonts w:ascii="Times New Roman" w:hAnsi="Times New Roman" w:eastAsia="Times New Roman" w:cs="Times New Roman"/>
          <w:spacing w:val="-31"/>
          <w:highlight w:val="none"/>
        </w:rPr>
        <w:t xml:space="preserve"> </w:t>
      </w:r>
      <w:r>
        <w:rPr>
          <w:spacing w:val="-2"/>
          <w:highlight w:val="none"/>
        </w:rPr>
        <w:t>，面源参数</w:t>
      </w:r>
      <w:r>
        <w:rPr>
          <w:spacing w:val="-3"/>
          <w:highlight w:val="none"/>
        </w:rPr>
        <w:t>调查清单见表</w:t>
      </w:r>
      <w:r>
        <w:rPr>
          <w:spacing w:val="-51"/>
          <w:highlight w:val="none"/>
        </w:rPr>
        <w:t xml:space="preserve"> </w:t>
      </w:r>
      <w:r>
        <w:rPr>
          <w:rFonts w:hint="eastAsia" w:eastAsia="宋体" w:cs="Times New Roman"/>
          <w:spacing w:val="-3"/>
          <w:highlight w:val="none"/>
          <w:lang w:val="en-US" w:eastAsia="zh-CN"/>
        </w:rPr>
        <w:t>6.2-7</w:t>
      </w:r>
      <w:r>
        <w:rPr>
          <w:spacing w:val="-3"/>
          <w:highlight w:val="none"/>
        </w:rPr>
        <w:t>。（本项目废污染物排放速率以最大小时排放速率计）</w:t>
      </w:r>
      <w:r>
        <w:rPr>
          <w:rFonts w:hint="eastAsia"/>
          <w:spacing w:val="-3"/>
          <w:highlight w:val="none"/>
          <w:lang w:eastAsia="zh-CN"/>
        </w:rPr>
        <w:t>。</w:t>
      </w:r>
    </w:p>
    <w:p w14:paraId="23E663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黑体" w:hAnsi="黑体" w:eastAsia="黑体" w:cs="黑体"/>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表 6.2-6    大气点源参数调查清单</w:t>
      </w:r>
    </w:p>
    <w:tbl>
      <w:tblPr>
        <w:tblStyle w:val="37"/>
        <w:tblW w:w="5051"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55"/>
        <w:gridCol w:w="1691"/>
        <w:gridCol w:w="1592"/>
        <w:gridCol w:w="668"/>
        <w:gridCol w:w="383"/>
        <w:gridCol w:w="494"/>
        <w:gridCol w:w="544"/>
        <w:gridCol w:w="489"/>
        <w:gridCol w:w="588"/>
        <w:gridCol w:w="489"/>
        <w:gridCol w:w="407"/>
      </w:tblGrid>
      <w:tr w14:paraId="49E8C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5" w:hRule="atLeast"/>
        </w:trPr>
        <w:tc>
          <w:tcPr>
            <w:tcW w:w="347" w:type="pct"/>
            <w:vMerge w:val="restart"/>
            <w:tcBorders>
              <w:tl2br w:val="nil"/>
              <w:tr2bl w:val="nil"/>
            </w:tcBorders>
            <w:noWrap w:val="0"/>
            <w:vAlign w:val="center"/>
          </w:tcPr>
          <w:p w14:paraId="052DA75B">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污染源名称</w:t>
            </w:r>
          </w:p>
        </w:tc>
        <w:tc>
          <w:tcPr>
            <w:tcW w:w="2027" w:type="pct"/>
            <w:gridSpan w:val="2"/>
            <w:tcBorders>
              <w:tl2br w:val="nil"/>
              <w:tr2bl w:val="nil"/>
            </w:tcBorders>
            <w:noWrap w:val="0"/>
            <w:vAlign w:val="center"/>
          </w:tcPr>
          <w:p w14:paraId="64FB4B81">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eastAsia="zh-CN"/>
              </w:rPr>
            </w:pPr>
            <w:r>
              <w:rPr>
                <w:rFonts w:hint="default" w:ascii="Times New Roman" w:hAnsi="Times New Roman" w:eastAsia="宋体" w:cs="Times New Roman"/>
                <w:b w:val="0"/>
                <w:bCs/>
                <w:color w:val="auto"/>
                <w:sz w:val="21"/>
                <w:szCs w:val="21"/>
                <w:highlight w:val="none"/>
                <w:u w:val="none" w:color="auto"/>
                <w:lang w:eastAsia="zh-CN"/>
              </w:rPr>
              <w:t>排气筒底部中心坐标(o)</w:t>
            </w:r>
          </w:p>
        </w:tc>
        <w:tc>
          <w:tcPr>
            <w:tcW w:w="434" w:type="pct"/>
            <w:vMerge w:val="restart"/>
            <w:tcBorders>
              <w:tl2br w:val="nil"/>
              <w:tr2bl w:val="nil"/>
            </w:tcBorders>
            <w:noWrap w:val="0"/>
            <w:vAlign w:val="center"/>
          </w:tcPr>
          <w:p w14:paraId="60540B64">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排气筒底部海拔高度(m)</w:t>
            </w:r>
          </w:p>
        </w:tc>
        <w:tc>
          <w:tcPr>
            <w:tcW w:w="1239" w:type="pct"/>
            <w:gridSpan w:val="4"/>
            <w:tcBorders>
              <w:tl2br w:val="nil"/>
              <w:tr2bl w:val="nil"/>
            </w:tcBorders>
            <w:noWrap w:val="0"/>
            <w:vAlign w:val="center"/>
          </w:tcPr>
          <w:p w14:paraId="7EAA1312">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排气筒参数</w:t>
            </w:r>
          </w:p>
        </w:tc>
        <w:tc>
          <w:tcPr>
            <w:tcW w:w="345" w:type="pct"/>
            <w:vMerge w:val="restart"/>
            <w:tcBorders>
              <w:tl2br w:val="nil"/>
              <w:tr2bl w:val="nil"/>
            </w:tcBorders>
            <w:noWrap w:val="0"/>
            <w:vAlign w:val="center"/>
          </w:tcPr>
          <w:p w14:paraId="373A70CA">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污染物名称</w:t>
            </w:r>
          </w:p>
        </w:tc>
        <w:tc>
          <w:tcPr>
            <w:tcW w:w="315" w:type="pct"/>
            <w:vMerge w:val="restart"/>
            <w:tcBorders>
              <w:tl2br w:val="nil"/>
              <w:tr2bl w:val="nil"/>
            </w:tcBorders>
            <w:noWrap w:val="0"/>
            <w:vAlign w:val="center"/>
          </w:tcPr>
          <w:p w14:paraId="29AFB381">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排放速率</w:t>
            </w:r>
          </w:p>
        </w:tc>
        <w:tc>
          <w:tcPr>
            <w:tcW w:w="291" w:type="pct"/>
            <w:vMerge w:val="restart"/>
            <w:tcBorders>
              <w:tl2br w:val="nil"/>
              <w:tr2bl w:val="nil"/>
            </w:tcBorders>
            <w:noWrap w:val="0"/>
            <w:vAlign w:val="center"/>
          </w:tcPr>
          <w:p w14:paraId="12091BA7">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单位</w:t>
            </w:r>
          </w:p>
        </w:tc>
      </w:tr>
      <w:tr w14:paraId="600E6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5" w:hRule="atLeast"/>
        </w:trPr>
        <w:tc>
          <w:tcPr>
            <w:tcW w:w="347" w:type="pct"/>
            <w:vMerge w:val="continue"/>
            <w:tcBorders>
              <w:tl2br w:val="nil"/>
              <w:tr2bl w:val="nil"/>
            </w:tcBorders>
            <w:noWrap w:val="0"/>
            <w:vAlign w:val="center"/>
          </w:tcPr>
          <w:p w14:paraId="65BFF72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p>
        </w:tc>
        <w:tc>
          <w:tcPr>
            <w:tcW w:w="1043" w:type="pct"/>
            <w:tcBorders>
              <w:tl2br w:val="nil"/>
              <w:tr2bl w:val="nil"/>
            </w:tcBorders>
            <w:noWrap w:val="0"/>
            <w:vAlign w:val="center"/>
          </w:tcPr>
          <w:p w14:paraId="2F59BFA2">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经度</w:t>
            </w:r>
          </w:p>
        </w:tc>
        <w:tc>
          <w:tcPr>
            <w:tcW w:w="984" w:type="pct"/>
            <w:tcBorders>
              <w:tl2br w:val="nil"/>
              <w:tr2bl w:val="nil"/>
            </w:tcBorders>
            <w:noWrap w:val="0"/>
            <w:vAlign w:val="center"/>
          </w:tcPr>
          <w:p w14:paraId="7B5C19C1">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纬度</w:t>
            </w:r>
          </w:p>
        </w:tc>
        <w:tc>
          <w:tcPr>
            <w:tcW w:w="434" w:type="pct"/>
            <w:vMerge w:val="continue"/>
            <w:tcBorders>
              <w:tl2br w:val="nil"/>
              <w:tr2bl w:val="nil"/>
            </w:tcBorders>
            <w:noWrap w:val="0"/>
            <w:vAlign w:val="center"/>
          </w:tcPr>
          <w:p w14:paraId="3C83D0BC">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p>
        </w:tc>
        <w:tc>
          <w:tcPr>
            <w:tcW w:w="264" w:type="pct"/>
            <w:tcBorders>
              <w:tl2br w:val="nil"/>
              <w:tr2bl w:val="nil"/>
            </w:tcBorders>
            <w:noWrap w:val="0"/>
            <w:vAlign w:val="center"/>
          </w:tcPr>
          <w:p w14:paraId="3BA3C05C">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高度</w:t>
            </w:r>
          </w:p>
          <w:p w14:paraId="277EEF26">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(m)</w:t>
            </w:r>
          </w:p>
        </w:tc>
        <w:tc>
          <w:tcPr>
            <w:tcW w:w="330" w:type="pct"/>
            <w:tcBorders>
              <w:tl2br w:val="nil"/>
              <w:tr2bl w:val="nil"/>
            </w:tcBorders>
            <w:noWrap w:val="0"/>
            <w:vAlign w:val="center"/>
          </w:tcPr>
          <w:p w14:paraId="4BFE2A02">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内径</w:t>
            </w:r>
          </w:p>
          <w:p w14:paraId="5A3FA13A">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(m)</w:t>
            </w:r>
          </w:p>
        </w:tc>
        <w:tc>
          <w:tcPr>
            <w:tcW w:w="360" w:type="pct"/>
            <w:tcBorders>
              <w:tl2br w:val="nil"/>
              <w:tr2bl w:val="nil"/>
            </w:tcBorders>
            <w:noWrap w:val="0"/>
            <w:vAlign w:val="center"/>
          </w:tcPr>
          <w:p w14:paraId="2FCE99C2">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温度</w:t>
            </w:r>
          </w:p>
          <w:p w14:paraId="195D230B">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w:t>
            </w:r>
          </w:p>
        </w:tc>
        <w:tc>
          <w:tcPr>
            <w:tcW w:w="285" w:type="pct"/>
            <w:tcBorders>
              <w:tl2br w:val="nil"/>
              <w:tr2bl w:val="nil"/>
            </w:tcBorders>
            <w:noWrap w:val="0"/>
            <w:vAlign w:val="center"/>
          </w:tcPr>
          <w:p w14:paraId="69A200FC">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流速</w:t>
            </w:r>
          </w:p>
          <w:p w14:paraId="500C9131">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(m/s)</w:t>
            </w:r>
          </w:p>
        </w:tc>
        <w:tc>
          <w:tcPr>
            <w:tcW w:w="345" w:type="pct"/>
            <w:vMerge w:val="continue"/>
            <w:tcBorders>
              <w:tl2br w:val="nil"/>
              <w:tr2bl w:val="nil"/>
            </w:tcBorders>
            <w:noWrap w:val="0"/>
            <w:vAlign w:val="center"/>
          </w:tcPr>
          <w:p w14:paraId="0AD0251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p>
        </w:tc>
        <w:tc>
          <w:tcPr>
            <w:tcW w:w="315" w:type="pct"/>
            <w:vMerge w:val="continue"/>
            <w:tcBorders>
              <w:tl2br w:val="nil"/>
              <w:tr2bl w:val="nil"/>
            </w:tcBorders>
            <w:noWrap w:val="0"/>
            <w:vAlign w:val="center"/>
          </w:tcPr>
          <w:p w14:paraId="33FB9CF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p>
        </w:tc>
        <w:tc>
          <w:tcPr>
            <w:tcW w:w="291" w:type="pct"/>
            <w:vMerge w:val="continue"/>
            <w:tcBorders>
              <w:tl2br w:val="nil"/>
              <w:tr2bl w:val="nil"/>
            </w:tcBorders>
            <w:noWrap w:val="0"/>
            <w:vAlign w:val="center"/>
          </w:tcPr>
          <w:p w14:paraId="0A5DC4D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p>
        </w:tc>
      </w:tr>
      <w:tr w14:paraId="53A28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94" w:hRule="atLeast"/>
        </w:trPr>
        <w:tc>
          <w:tcPr>
            <w:tcW w:w="347" w:type="pct"/>
            <w:tcBorders>
              <w:tl2br w:val="nil"/>
              <w:tr2bl w:val="nil"/>
            </w:tcBorders>
            <w:noWrap w:val="0"/>
            <w:vAlign w:val="center"/>
          </w:tcPr>
          <w:p w14:paraId="723C0A0C">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z w:val="21"/>
                <w:szCs w:val="21"/>
                <w:highlight w:val="none"/>
                <w:u w:val="none" w:color="auto"/>
                <w:lang w:eastAsia="zh-CN"/>
              </w:rPr>
            </w:pPr>
            <w:r>
              <w:rPr>
                <w:rFonts w:hint="default" w:ascii="Times New Roman" w:hAnsi="Times New Roman" w:eastAsia="宋体" w:cs="Times New Roman"/>
                <w:b w:val="0"/>
                <w:bCs/>
                <w:color w:val="auto"/>
                <w:sz w:val="21"/>
                <w:szCs w:val="21"/>
                <w:highlight w:val="none"/>
                <w:u w:val="none" w:color="auto"/>
              </w:rPr>
              <w:t>点源</w:t>
            </w:r>
            <w:r>
              <w:rPr>
                <w:rFonts w:hint="eastAsia" w:eastAsia="宋体" w:cs="Times New Roman"/>
                <w:b w:val="0"/>
                <w:bCs/>
                <w:color w:val="auto"/>
                <w:sz w:val="21"/>
                <w:szCs w:val="21"/>
                <w:highlight w:val="none"/>
                <w:u w:val="none" w:color="auto"/>
                <w:lang w:eastAsia="zh-CN"/>
              </w:rPr>
              <w:t>（</w:t>
            </w:r>
            <w:r>
              <w:rPr>
                <w:rFonts w:hint="eastAsia" w:eastAsia="宋体" w:cs="Times New Roman"/>
                <w:b w:val="0"/>
                <w:bCs/>
                <w:color w:val="auto"/>
                <w:sz w:val="21"/>
                <w:szCs w:val="21"/>
                <w:highlight w:val="none"/>
                <w:u w:val="none" w:color="auto"/>
                <w:lang w:val="en-US" w:eastAsia="zh-CN"/>
              </w:rPr>
              <w:t>DA001</w:t>
            </w:r>
            <w:r>
              <w:rPr>
                <w:rFonts w:hint="eastAsia" w:eastAsia="宋体" w:cs="Times New Roman"/>
                <w:b w:val="0"/>
                <w:bCs/>
                <w:color w:val="auto"/>
                <w:sz w:val="21"/>
                <w:szCs w:val="21"/>
                <w:highlight w:val="none"/>
                <w:u w:val="none" w:color="auto"/>
                <w:lang w:eastAsia="zh-CN"/>
              </w:rPr>
              <w:t>）</w:t>
            </w:r>
          </w:p>
        </w:tc>
        <w:tc>
          <w:tcPr>
            <w:tcW w:w="1043" w:type="pct"/>
            <w:tcBorders>
              <w:tl2br w:val="nil"/>
              <w:tr2bl w:val="nil"/>
            </w:tcBorders>
            <w:noWrap w:val="0"/>
            <w:vAlign w:val="center"/>
          </w:tcPr>
          <w:p w14:paraId="5737C776">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113.140909122</w:t>
            </w:r>
            <w:r>
              <w:rPr>
                <w:rFonts w:hint="eastAsia" w:ascii="Times New Roman" w:hAnsi="Times New Roman" w:eastAsia="宋体" w:cs="Times New Roman"/>
                <w:b w:val="0"/>
                <w:bCs/>
                <w:color w:val="auto"/>
                <w:sz w:val="21"/>
                <w:szCs w:val="21"/>
                <w:highlight w:val="none"/>
                <w:u w:val="none" w:color="auto"/>
                <w:lang w:val="en-US" w:eastAsia="zh-CN"/>
              </w:rPr>
              <w:t>°</w:t>
            </w:r>
          </w:p>
        </w:tc>
        <w:tc>
          <w:tcPr>
            <w:tcW w:w="984" w:type="pct"/>
            <w:tcBorders>
              <w:tl2br w:val="nil"/>
              <w:tr2bl w:val="nil"/>
            </w:tcBorders>
            <w:noWrap w:val="0"/>
            <w:vAlign w:val="center"/>
          </w:tcPr>
          <w:p w14:paraId="19C466B4">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default" w:ascii="Times New Roman" w:hAnsi="Times New Roman" w:eastAsia="宋体" w:cs="Times New Roman"/>
                <w:b w:val="0"/>
                <w:bCs/>
                <w:color w:val="auto"/>
                <w:sz w:val="21"/>
                <w:szCs w:val="21"/>
                <w:highlight w:val="none"/>
                <w:u w:val="none" w:color="auto"/>
                <w:lang w:val="en-US" w:eastAsia="zh-CN"/>
              </w:rPr>
              <w:t>29.122258061</w:t>
            </w:r>
            <w:r>
              <w:rPr>
                <w:rFonts w:hint="eastAsia" w:ascii="Times New Roman" w:hAnsi="Times New Roman" w:eastAsia="宋体" w:cs="Times New Roman"/>
                <w:b w:val="0"/>
                <w:bCs/>
                <w:color w:val="auto"/>
                <w:sz w:val="21"/>
                <w:szCs w:val="21"/>
                <w:highlight w:val="none"/>
                <w:u w:val="none" w:color="auto"/>
                <w:lang w:val="en-US" w:eastAsia="zh-CN"/>
              </w:rPr>
              <w:t>°</w:t>
            </w:r>
          </w:p>
        </w:tc>
        <w:tc>
          <w:tcPr>
            <w:tcW w:w="434" w:type="pct"/>
            <w:tcBorders>
              <w:tl2br w:val="nil"/>
              <w:tr2bl w:val="nil"/>
            </w:tcBorders>
            <w:noWrap w:val="0"/>
            <w:vAlign w:val="center"/>
          </w:tcPr>
          <w:p w14:paraId="7A59FCF0">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cs="Times New Roman"/>
                <w:b w:val="0"/>
                <w:bCs/>
                <w:color w:val="auto"/>
                <w:sz w:val="21"/>
                <w:szCs w:val="21"/>
                <w:highlight w:val="none"/>
                <w:u w:val="none" w:color="auto"/>
                <w:lang w:val="en-US" w:eastAsia="zh-CN"/>
              </w:rPr>
              <w:t>60</w:t>
            </w:r>
          </w:p>
        </w:tc>
        <w:tc>
          <w:tcPr>
            <w:tcW w:w="264" w:type="pct"/>
            <w:tcBorders>
              <w:tl2br w:val="nil"/>
              <w:tr2bl w:val="nil"/>
            </w:tcBorders>
            <w:noWrap w:val="0"/>
            <w:vAlign w:val="center"/>
          </w:tcPr>
          <w:p w14:paraId="19AC1BD5">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cs="Times New Roman"/>
                <w:b w:val="0"/>
                <w:bCs/>
                <w:color w:val="auto"/>
                <w:sz w:val="21"/>
                <w:szCs w:val="21"/>
                <w:highlight w:val="none"/>
                <w:u w:val="none" w:color="auto"/>
                <w:lang w:val="en-US" w:eastAsia="zh-CN"/>
              </w:rPr>
              <w:t>15</w:t>
            </w:r>
          </w:p>
        </w:tc>
        <w:tc>
          <w:tcPr>
            <w:tcW w:w="330" w:type="pct"/>
            <w:tcBorders>
              <w:tl2br w:val="nil"/>
              <w:tr2bl w:val="nil"/>
            </w:tcBorders>
            <w:noWrap w:val="0"/>
            <w:vAlign w:val="center"/>
          </w:tcPr>
          <w:p w14:paraId="38EB1682">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cs="Times New Roman"/>
                <w:b w:val="0"/>
                <w:bCs/>
                <w:color w:val="auto"/>
                <w:sz w:val="21"/>
                <w:szCs w:val="21"/>
                <w:highlight w:val="none"/>
                <w:u w:val="none" w:color="auto"/>
                <w:lang w:val="en-US" w:eastAsia="zh-CN"/>
              </w:rPr>
              <w:t>0.6</w:t>
            </w:r>
          </w:p>
        </w:tc>
        <w:tc>
          <w:tcPr>
            <w:tcW w:w="360" w:type="pct"/>
            <w:tcBorders>
              <w:tl2br w:val="nil"/>
              <w:tr2bl w:val="nil"/>
            </w:tcBorders>
            <w:noWrap w:val="0"/>
            <w:vAlign w:val="center"/>
          </w:tcPr>
          <w:p w14:paraId="62804B4D">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cs="Times New Roman"/>
                <w:b w:val="0"/>
                <w:bCs/>
                <w:color w:val="auto"/>
                <w:sz w:val="21"/>
                <w:szCs w:val="21"/>
                <w:highlight w:val="none"/>
                <w:u w:val="none" w:color="auto"/>
                <w:lang w:val="en-US" w:eastAsia="zh-CN"/>
              </w:rPr>
              <w:t>30</w:t>
            </w:r>
          </w:p>
        </w:tc>
        <w:tc>
          <w:tcPr>
            <w:tcW w:w="285" w:type="pct"/>
            <w:tcBorders>
              <w:tl2br w:val="nil"/>
              <w:tr2bl w:val="nil"/>
            </w:tcBorders>
            <w:noWrap w:val="0"/>
            <w:vAlign w:val="center"/>
          </w:tcPr>
          <w:p w14:paraId="703DBE65">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cs="Times New Roman"/>
                <w:b w:val="0"/>
                <w:bCs/>
                <w:color w:val="auto"/>
                <w:sz w:val="21"/>
                <w:szCs w:val="21"/>
                <w:highlight w:val="none"/>
                <w:u w:val="none" w:color="auto"/>
                <w:lang w:val="en-US" w:eastAsia="zh-CN"/>
              </w:rPr>
              <w:t>14.73</w:t>
            </w:r>
          </w:p>
        </w:tc>
        <w:tc>
          <w:tcPr>
            <w:tcW w:w="345" w:type="pct"/>
            <w:tcBorders>
              <w:tl2br w:val="nil"/>
              <w:tr2bl w:val="nil"/>
            </w:tcBorders>
            <w:noWrap w:val="0"/>
            <w:vAlign w:val="center"/>
          </w:tcPr>
          <w:p w14:paraId="241DB76C">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ascii="Times New Roman" w:hAnsi="Times New Roman" w:eastAsia="宋体"/>
                <w:b w:val="0"/>
                <w:bCs/>
                <w:color w:val="auto"/>
                <w:sz w:val="21"/>
                <w:highlight w:val="none"/>
                <w:u w:val="none" w:color="auto"/>
                <w:lang w:val="en-US" w:eastAsia="zh-CN"/>
              </w:rPr>
              <w:t>TVOC</w:t>
            </w:r>
          </w:p>
        </w:tc>
        <w:tc>
          <w:tcPr>
            <w:tcW w:w="315" w:type="pct"/>
            <w:tcBorders>
              <w:tl2br w:val="nil"/>
              <w:tr2bl w:val="nil"/>
            </w:tcBorders>
            <w:noWrap w:val="0"/>
            <w:vAlign w:val="center"/>
          </w:tcPr>
          <w:p w14:paraId="4A63F39D">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lang w:val="en-US" w:eastAsia="zh-CN"/>
              </w:rPr>
            </w:pPr>
            <w:r>
              <w:rPr>
                <w:rFonts w:hint="eastAsia" w:eastAsia="宋体" w:cs="Times New Roman"/>
                <w:b w:val="0"/>
                <w:bCs/>
                <w:color w:val="auto"/>
                <w:sz w:val="21"/>
                <w:szCs w:val="21"/>
                <w:highlight w:val="none"/>
                <w:u w:val="none" w:color="auto"/>
                <w:lang w:val="en-US" w:eastAsia="zh-CN"/>
              </w:rPr>
              <w:t>0.116</w:t>
            </w:r>
          </w:p>
        </w:tc>
        <w:tc>
          <w:tcPr>
            <w:tcW w:w="291" w:type="pct"/>
            <w:tcBorders>
              <w:tl2br w:val="nil"/>
              <w:tr2bl w:val="nil"/>
            </w:tcBorders>
            <w:noWrap w:val="0"/>
            <w:vAlign w:val="center"/>
          </w:tcPr>
          <w:p w14:paraId="009825EE">
            <w:pPr>
              <w:pStyle w:val="51"/>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kg/h</w:t>
            </w:r>
          </w:p>
        </w:tc>
      </w:tr>
    </w:tbl>
    <w:p w14:paraId="056F7B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表6.2-7   大气污染物面源参数表</w:t>
      </w:r>
    </w:p>
    <w:tbl>
      <w:tblPr>
        <w:tblStyle w:val="23"/>
        <w:tblW w:w="5111"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81"/>
        <w:gridCol w:w="1663"/>
        <w:gridCol w:w="1472"/>
        <w:gridCol w:w="815"/>
        <w:gridCol w:w="481"/>
        <w:gridCol w:w="482"/>
        <w:gridCol w:w="579"/>
        <w:gridCol w:w="598"/>
        <w:gridCol w:w="859"/>
        <w:gridCol w:w="671"/>
      </w:tblGrid>
      <w:tr w14:paraId="38053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exact"/>
        </w:trPr>
        <w:tc>
          <w:tcPr>
            <w:tcW w:w="518" w:type="pct"/>
            <w:vMerge w:val="restart"/>
            <w:tcBorders>
              <w:tl2br w:val="nil"/>
              <w:tr2bl w:val="nil"/>
            </w:tcBorders>
            <w:noWrap w:val="0"/>
            <w:vAlign w:val="center"/>
          </w:tcPr>
          <w:p w14:paraId="55B4D22B">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污染源名称</w:t>
            </w:r>
          </w:p>
        </w:tc>
        <w:tc>
          <w:tcPr>
            <w:tcW w:w="1844" w:type="pct"/>
            <w:gridSpan w:val="2"/>
            <w:tcBorders>
              <w:tl2br w:val="nil"/>
              <w:tr2bl w:val="nil"/>
            </w:tcBorders>
            <w:noWrap w:val="0"/>
            <w:vAlign w:val="center"/>
          </w:tcPr>
          <w:p w14:paraId="15B344B7">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坐标</w:t>
            </w:r>
          </w:p>
        </w:tc>
        <w:tc>
          <w:tcPr>
            <w:tcW w:w="479" w:type="pct"/>
            <w:vMerge w:val="restart"/>
            <w:tcBorders>
              <w:tl2br w:val="nil"/>
              <w:tr2bl w:val="nil"/>
            </w:tcBorders>
            <w:noWrap w:val="0"/>
            <w:vAlign w:val="center"/>
          </w:tcPr>
          <w:p w14:paraId="02424611">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海拔高度/m</w:t>
            </w:r>
          </w:p>
        </w:tc>
        <w:tc>
          <w:tcPr>
            <w:tcW w:w="907" w:type="pct"/>
            <w:gridSpan w:val="3"/>
            <w:tcBorders>
              <w:tl2br w:val="nil"/>
              <w:tr2bl w:val="nil"/>
            </w:tcBorders>
            <w:noWrap w:val="0"/>
            <w:vAlign w:val="center"/>
          </w:tcPr>
          <w:p w14:paraId="40AF83F4">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矩形面源</w:t>
            </w:r>
          </w:p>
        </w:tc>
        <w:tc>
          <w:tcPr>
            <w:tcW w:w="351" w:type="pct"/>
            <w:vMerge w:val="restart"/>
            <w:tcBorders>
              <w:tl2br w:val="nil"/>
              <w:tr2bl w:val="nil"/>
            </w:tcBorders>
            <w:noWrap w:val="0"/>
            <w:vAlign w:val="center"/>
          </w:tcPr>
          <w:p w14:paraId="19ACC7C0">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污染物</w:t>
            </w:r>
          </w:p>
        </w:tc>
        <w:tc>
          <w:tcPr>
            <w:tcW w:w="505" w:type="pct"/>
            <w:vMerge w:val="restart"/>
            <w:tcBorders>
              <w:tl2br w:val="nil"/>
              <w:tr2bl w:val="nil"/>
            </w:tcBorders>
            <w:noWrap w:val="0"/>
            <w:vAlign w:val="center"/>
          </w:tcPr>
          <w:p w14:paraId="180E1825">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排放速率</w:t>
            </w:r>
          </w:p>
        </w:tc>
        <w:tc>
          <w:tcPr>
            <w:tcW w:w="394" w:type="pct"/>
            <w:vMerge w:val="restart"/>
            <w:tcBorders>
              <w:tl2br w:val="nil"/>
              <w:tr2bl w:val="nil"/>
            </w:tcBorders>
            <w:noWrap w:val="0"/>
            <w:vAlign w:val="center"/>
          </w:tcPr>
          <w:p w14:paraId="6016EB06">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单位</w:t>
            </w:r>
          </w:p>
        </w:tc>
      </w:tr>
      <w:tr w14:paraId="0502F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exact"/>
        </w:trPr>
        <w:tc>
          <w:tcPr>
            <w:tcW w:w="518" w:type="pct"/>
            <w:vMerge w:val="continue"/>
            <w:tcBorders>
              <w:tl2br w:val="nil"/>
              <w:tr2bl w:val="nil"/>
            </w:tcBorders>
            <w:noWrap w:val="0"/>
            <w:vAlign w:val="center"/>
          </w:tcPr>
          <w:p w14:paraId="78A4F522">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p>
        </w:tc>
        <w:tc>
          <w:tcPr>
            <w:tcW w:w="978" w:type="pct"/>
            <w:tcBorders>
              <w:tl2br w:val="nil"/>
              <w:tr2bl w:val="nil"/>
            </w:tcBorders>
            <w:noWrap w:val="0"/>
            <w:vAlign w:val="center"/>
          </w:tcPr>
          <w:p w14:paraId="396A39CB">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highlight w:val="none"/>
                <w:u w:val="none" w:color="auto"/>
                <w:lang w:val="en-US" w:eastAsia="en-US" w:bidi="ar-SA"/>
              </w:rPr>
            </w:pPr>
            <w:r>
              <w:rPr>
                <w:rFonts w:hint="eastAsia" w:ascii="Times New Roman" w:hAnsi="Times New Roman" w:eastAsia="宋体"/>
                <w:b w:val="0"/>
                <w:bCs/>
                <w:color w:val="auto"/>
                <w:sz w:val="21"/>
                <w:highlight w:val="none"/>
                <w:u w:val="none" w:color="auto"/>
              </w:rPr>
              <w:t>经度</w:t>
            </w:r>
          </w:p>
        </w:tc>
        <w:tc>
          <w:tcPr>
            <w:tcW w:w="865" w:type="pct"/>
            <w:tcBorders>
              <w:tl2br w:val="nil"/>
              <w:tr2bl w:val="nil"/>
            </w:tcBorders>
            <w:noWrap w:val="0"/>
            <w:vAlign w:val="center"/>
          </w:tcPr>
          <w:p w14:paraId="52CE4807">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highlight w:val="none"/>
                <w:u w:val="none" w:color="auto"/>
                <w:lang w:val="en-US" w:eastAsia="en-US" w:bidi="ar-SA"/>
              </w:rPr>
            </w:pPr>
            <w:r>
              <w:rPr>
                <w:rFonts w:hint="eastAsia" w:ascii="Times New Roman" w:hAnsi="Times New Roman" w:eastAsia="宋体"/>
                <w:b w:val="0"/>
                <w:bCs/>
                <w:color w:val="auto"/>
                <w:sz w:val="21"/>
                <w:highlight w:val="none"/>
                <w:u w:val="none" w:color="auto"/>
              </w:rPr>
              <w:t>纬度</w:t>
            </w:r>
          </w:p>
        </w:tc>
        <w:tc>
          <w:tcPr>
            <w:tcW w:w="479" w:type="pct"/>
            <w:vMerge w:val="continue"/>
            <w:tcBorders>
              <w:tl2br w:val="nil"/>
              <w:tr2bl w:val="nil"/>
            </w:tcBorders>
            <w:noWrap w:val="0"/>
            <w:vAlign w:val="center"/>
          </w:tcPr>
          <w:p w14:paraId="6150BA45">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p>
        </w:tc>
        <w:tc>
          <w:tcPr>
            <w:tcW w:w="282" w:type="pct"/>
            <w:tcBorders>
              <w:tl2br w:val="nil"/>
              <w:tr2bl w:val="nil"/>
            </w:tcBorders>
            <w:noWrap w:val="0"/>
            <w:vAlign w:val="center"/>
          </w:tcPr>
          <w:p w14:paraId="25E8F34E">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长度</w:t>
            </w:r>
          </w:p>
        </w:tc>
        <w:tc>
          <w:tcPr>
            <w:tcW w:w="283" w:type="pct"/>
            <w:tcBorders>
              <w:tl2br w:val="nil"/>
              <w:tr2bl w:val="nil"/>
            </w:tcBorders>
            <w:noWrap w:val="0"/>
            <w:vAlign w:val="center"/>
          </w:tcPr>
          <w:p w14:paraId="239299C7">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宽度</w:t>
            </w:r>
          </w:p>
        </w:tc>
        <w:tc>
          <w:tcPr>
            <w:tcW w:w="340" w:type="pct"/>
            <w:tcBorders>
              <w:tl2br w:val="nil"/>
              <w:tr2bl w:val="nil"/>
            </w:tcBorders>
            <w:noWrap w:val="0"/>
            <w:vAlign w:val="center"/>
          </w:tcPr>
          <w:p w14:paraId="77EA7B09">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有效高度</w:t>
            </w:r>
          </w:p>
        </w:tc>
        <w:tc>
          <w:tcPr>
            <w:tcW w:w="351" w:type="pct"/>
            <w:vMerge w:val="continue"/>
            <w:tcBorders>
              <w:tl2br w:val="nil"/>
              <w:tr2bl w:val="nil"/>
            </w:tcBorders>
            <w:noWrap w:val="0"/>
            <w:vAlign w:val="center"/>
          </w:tcPr>
          <w:p w14:paraId="202F5793">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p>
        </w:tc>
        <w:tc>
          <w:tcPr>
            <w:tcW w:w="505" w:type="pct"/>
            <w:vMerge w:val="continue"/>
            <w:tcBorders>
              <w:tl2br w:val="nil"/>
              <w:tr2bl w:val="nil"/>
            </w:tcBorders>
            <w:noWrap w:val="0"/>
            <w:vAlign w:val="center"/>
          </w:tcPr>
          <w:p w14:paraId="2F5EB757">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p>
        </w:tc>
        <w:tc>
          <w:tcPr>
            <w:tcW w:w="394" w:type="pct"/>
            <w:vMerge w:val="continue"/>
            <w:tcBorders>
              <w:tl2br w:val="nil"/>
              <w:tr2bl w:val="nil"/>
            </w:tcBorders>
            <w:noWrap w:val="0"/>
            <w:vAlign w:val="center"/>
          </w:tcPr>
          <w:p w14:paraId="512AAF84">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p>
        </w:tc>
      </w:tr>
      <w:tr w14:paraId="3751F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0" w:hRule="exact"/>
        </w:trPr>
        <w:tc>
          <w:tcPr>
            <w:tcW w:w="518" w:type="pct"/>
            <w:vMerge w:val="restart"/>
            <w:tcBorders>
              <w:tl2br w:val="nil"/>
              <w:tr2bl w:val="nil"/>
            </w:tcBorders>
            <w:noWrap w:val="0"/>
            <w:vAlign w:val="center"/>
          </w:tcPr>
          <w:p w14:paraId="55224360">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面源1（生产厂房）</w:t>
            </w:r>
          </w:p>
        </w:tc>
        <w:tc>
          <w:tcPr>
            <w:tcW w:w="978" w:type="pct"/>
            <w:vMerge w:val="restart"/>
            <w:tcBorders>
              <w:tl2br w:val="nil"/>
              <w:tr2bl w:val="nil"/>
            </w:tcBorders>
            <w:noWrap w:val="0"/>
            <w:vAlign w:val="center"/>
          </w:tcPr>
          <w:p w14:paraId="156D38FD">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highlight w:val="none"/>
                <w:u w:val="none" w:color="auto"/>
                <w:lang w:val="en-US" w:eastAsia="zh-CN" w:bidi="ar-SA"/>
              </w:rPr>
            </w:pPr>
            <w:r>
              <w:rPr>
                <w:rFonts w:hint="eastAsia" w:ascii="Times New Roman" w:hAnsi="Times New Roman" w:eastAsia="宋体" w:cs="Times New Roman"/>
                <w:b w:val="0"/>
                <w:bCs/>
                <w:color w:val="auto"/>
                <w:kern w:val="0"/>
                <w:sz w:val="21"/>
                <w:highlight w:val="none"/>
                <w:u w:val="none" w:color="auto"/>
                <w:lang w:val="en-US" w:eastAsia="zh-CN" w:bidi="ar-SA"/>
              </w:rPr>
              <w:t>113.140726732</w:t>
            </w:r>
            <w:r>
              <w:rPr>
                <w:rFonts w:hint="eastAsia" w:eastAsia="宋体" w:cs="Times New Roman"/>
                <w:b w:val="0"/>
                <w:bCs/>
                <w:color w:val="auto"/>
                <w:kern w:val="0"/>
                <w:sz w:val="21"/>
                <w:highlight w:val="none"/>
                <w:u w:val="none" w:color="auto"/>
                <w:lang w:val="en-US" w:eastAsia="zh-CN" w:bidi="ar-SA"/>
              </w:rPr>
              <w:t>°</w:t>
            </w:r>
          </w:p>
        </w:tc>
        <w:tc>
          <w:tcPr>
            <w:tcW w:w="865" w:type="pct"/>
            <w:vMerge w:val="restart"/>
            <w:tcBorders>
              <w:tl2br w:val="nil"/>
              <w:tr2bl w:val="nil"/>
            </w:tcBorders>
            <w:noWrap w:val="0"/>
            <w:vAlign w:val="center"/>
          </w:tcPr>
          <w:p w14:paraId="19163204">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kern w:val="0"/>
                <w:sz w:val="21"/>
                <w:highlight w:val="none"/>
                <w:u w:val="none" w:color="auto"/>
                <w:lang w:val="en-US" w:eastAsia="zh-CN" w:bidi="ar-SA"/>
              </w:rPr>
            </w:pPr>
            <w:r>
              <w:rPr>
                <w:rFonts w:hint="eastAsia" w:ascii="Times New Roman" w:hAnsi="Times New Roman" w:eastAsia="宋体" w:cs="Times New Roman"/>
                <w:b w:val="0"/>
                <w:bCs/>
                <w:color w:val="auto"/>
                <w:kern w:val="0"/>
                <w:sz w:val="21"/>
                <w:highlight w:val="none"/>
                <w:u w:val="none" w:color="auto"/>
                <w:lang w:val="en-US" w:eastAsia="zh-CN" w:bidi="ar-SA"/>
              </w:rPr>
              <w:t>29.122318411</w:t>
            </w:r>
            <w:r>
              <w:rPr>
                <w:rFonts w:hint="eastAsia" w:eastAsia="宋体" w:cs="Times New Roman"/>
                <w:b w:val="0"/>
                <w:bCs/>
                <w:color w:val="auto"/>
                <w:kern w:val="0"/>
                <w:sz w:val="21"/>
                <w:highlight w:val="none"/>
                <w:u w:val="none" w:color="auto"/>
                <w:lang w:val="en-US" w:eastAsia="zh-CN" w:bidi="ar-SA"/>
              </w:rPr>
              <w:t>°</w:t>
            </w:r>
          </w:p>
        </w:tc>
        <w:tc>
          <w:tcPr>
            <w:tcW w:w="479" w:type="pct"/>
            <w:vMerge w:val="restart"/>
            <w:tcBorders>
              <w:tl2br w:val="nil"/>
              <w:tr2bl w:val="nil"/>
            </w:tcBorders>
            <w:noWrap w:val="0"/>
            <w:vAlign w:val="center"/>
          </w:tcPr>
          <w:p w14:paraId="3F889A0B">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60</w:t>
            </w:r>
          </w:p>
        </w:tc>
        <w:tc>
          <w:tcPr>
            <w:tcW w:w="282" w:type="pct"/>
            <w:vMerge w:val="restart"/>
            <w:tcBorders>
              <w:tl2br w:val="nil"/>
              <w:tr2bl w:val="nil"/>
            </w:tcBorders>
            <w:noWrap w:val="0"/>
            <w:vAlign w:val="center"/>
          </w:tcPr>
          <w:p w14:paraId="7CDFDD32">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29</w:t>
            </w:r>
          </w:p>
        </w:tc>
        <w:tc>
          <w:tcPr>
            <w:tcW w:w="283" w:type="pct"/>
            <w:vMerge w:val="restart"/>
            <w:tcBorders>
              <w:tl2br w:val="nil"/>
              <w:tr2bl w:val="nil"/>
            </w:tcBorders>
            <w:noWrap w:val="0"/>
            <w:vAlign w:val="center"/>
          </w:tcPr>
          <w:p w14:paraId="617F4896">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75</w:t>
            </w:r>
          </w:p>
        </w:tc>
        <w:tc>
          <w:tcPr>
            <w:tcW w:w="340" w:type="pct"/>
            <w:vMerge w:val="restart"/>
            <w:tcBorders>
              <w:tl2br w:val="nil"/>
              <w:tr2bl w:val="nil"/>
            </w:tcBorders>
            <w:noWrap w:val="0"/>
            <w:vAlign w:val="center"/>
          </w:tcPr>
          <w:p w14:paraId="27D7E50D">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10</w:t>
            </w:r>
          </w:p>
        </w:tc>
        <w:tc>
          <w:tcPr>
            <w:tcW w:w="351" w:type="pct"/>
            <w:tcBorders>
              <w:tl2br w:val="nil"/>
              <w:tr2bl w:val="nil"/>
            </w:tcBorders>
            <w:noWrap w:val="0"/>
            <w:vAlign w:val="center"/>
          </w:tcPr>
          <w:p w14:paraId="48F89A81">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TSP</w:t>
            </w:r>
          </w:p>
        </w:tc>
        <w:tc>
          <w:tcPr>
            <w:tcW w:w="505" w:type="pct"/>
            <w:tcBorders>
              <w:tl2br w:val="nil"/>
              <w:tr2bl w:val="nil"/>
            </w:tcBorders>
            <w:noWrap w:val="0"/>
            <w:vAlign w:val="center"/>
          </w:tcPr>
          <w:p w14:paraId="3488947F">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0.0055</w:t>
            </w:r>
          </w:p>
        </w:tc>
        <w:tc>
          <w:tcPr>
            <w:tcW w:w="394" w:type="pct"/>
            <w:tcBorders>
              <w:tl2br w:val="nil"/>
              <w:tr2bl w:val="nil"/>
            </w:tcBorders>
            <w:noWrap w:val="0"/>
            <w:vAlign w:val="center"/>
          </w:tcPr>
          <w:p w14:paraId="6F54396E">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kg/h</w:t>
            </w:r>
          </w:p>
        </w:tc>
      </w:tr>
      <w:tr w14:paraId="35053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0" w:hRule="exact"/>
        </w:trPr>
        <w:tc>
          <w:tcPr>
            <w:tcW w:w="518" w:type="pct"/>
            <w:vMerge w:val="continue"/>
            <w:tcBorders>
              <w:tl2br w:val="nil"/>
              <w:tr2bl w:val="nil"/>
            </w:tcBorders>
            <w:noWrap w:val="0"/>
            <w:vAlign w:val="center"/>
          </w:tcPr>
          <w:p w14:paraId="424CFCAF">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highlight w:val="none"/>
                <w:u w:val="none" w:color="auto"/>
                <w:lang w:val="en-US" w:eastAsia="zh-CN"/>
              </w:rPr>
            </w:pPr>
          </w:p>
        </w:tc>
        <w:tc>
          <w:tcPr>
            <w:tcW w:w="978" w:type="pct"/>
            <w:vMerge w:val="continue"/>
            <w:tcBorders>
              <w:tl2br w:val="nil"/>
              <w:tr2bl w:val="nil"/>
            </w:tcBorders>
            <w:noWrap w:val="0"/>
            <w:vAlign w:val="center"/>
          </w:tcPr>
          <w:p w14:paraId="6F3F7935">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highlight w:val="none"/>
                <w:u w:val="none" w:color="auto"/>
                <w:lang w:val="en-US" w:eastAsia="zh-CN" w:bidi="ar-SA"/>
              </w:rPr>
            </w:pPr>
          </w:p>
        </w:tc>
        <w:tc>
          <w:tcPr>
            <w:tcW w:w="865" w:type="pct"/>
            <w:vMerge w:val="continue"/>
            <w:tcBorders>
              <w:tl2br w:val="nil"/>
              <w:tr2bl w:val="nil"/>
            </w:tcBorders>
            <w:noWrap w:val="0"/>
            <w:vAlign w:val="center"/>
          </w:tcPr>
          <w:p w14:paraId="121869C7">
            <w:pPr>
              <w:pStyle w:val="51"/>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0"/>
                <w:sz w:val="21"/>
                <w:highlight w:val="none"/>
                <w:u w:val="none" w:color="auto"/>
                <w:lang w:val="en-US" w:eastAsia="zh-CN" w:bidi="ar-SA"/>
              </w:rPr>
            </w:pPr>
          </w:p>
        </w:tc>
        <w:tc>
          <w:tcPr>
            <w:tcW w:w="479" w:type="pct"/>
            <w:vMerge w:val="continue"/>
            <w:tcBorders>
              <w:tl2br w:val="nil"/>
              <w:tr2bl w:val="nil"/>
            </w:tcBorders>
            <w:noWrap w:val="0"/>
            <w:vAlign w:val="center"/>
          </w:tcPr>
          <w:p w14:paraId="36CBA2A6">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eastAsia="宋体" w:cs="Times New Roman"/>
                <w:color w:val="auto"/>
                <w:sz w:val="21"/>
                <w:highlight w:val="none"/>
                <w:u w:val="none" w:color="auto"/>
                <w:lang w:val="en-US" w:eastAsia="zh-CN"/>
              </w:rPr>
            </w:pPr>
          </w:p>
        </w:tc>
        <w:tc>
          <w:tcPr>
            <w:tcW w:w="282" w:type="pct"/>
            <w:vMerge w:val="continue"/>
            <w:tcBorders>
              <w:tl2br w:val="nil"/>
              <w:tr2bl w:val="nil"/>
            </w:tcBorders>
            <w:noWrap w:val="0"/>
            <w:vAlign w:val="center"/>
          </w:tcPr>
          <w:p w14:paraId="6B40CE6B">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eastAsia="宋体" w:cs="Times New Roman"/>
                <w:color w:val="auto"/>
                <w:sz w:val="21"/>
                <w:highlight w:val="none"/>
                <w:u w:val="none" w:color="auto"/>
                <w:lang w:val="en-US" w:eastAsia="zh-CN"/>
              </w:rPr>
            </w:pPr>
          </w:p>
        </w:tc>
        <w:tc>
          <w:tcPr>
            <w:tcW w:w="283" w:type="pct"/>
            <w:vMerge w:val="continue"/>
            <w:tcBorders>
              <w:tl2br w:val="nil"/>
              <w:tr2bl w:val="nil"/>
            </w:tcBorders>
            <w:noWrap w:val="0"/>
            <w:vAlign w:val="center"/>
          </w:tcPr>
          <w:p w14:paraId="39E548D3">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eastAsia="宋体" w:cs="Times New Roman"/>
                <w:color w:val="auto"/>
                <w:sz w:val="21"/>
                <w:highlight w:val="none"/>
                <w:u w:val="none" w:color="auto"/>
                <w:lang w:val="en-US" w:eastAsia="zh-CN"/>
              </w:rPr>
            </w:pPr>
          </w:p>
        </w:tc>
        <w:tc>
          <w:tcPr>
            <w:tcW w:w="340" w:type="pct"/>
            <w:vMerge w:val="continue"/>
            <w:tcBorders>
              <w:tl2br w:val="nil"/>
              <w:tr2bl w:val="nil"/>
            </w:tcBorders>
            <w:noWrap w:val="0"/>
            <w:vAlign w:val="center"/>
          </w:tcPr>
          <w:p w14:paraId="555C498B">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eastAsia="宋体" w:cs="Times New Roman"/>
                <w:color w:val="auto"/>
                <w:sz w:val="21"/>
                <w:highlight w:val="none"/>
                <w:u w:val="none" w:color="auto"/>
                <w:lang w:val="en-US" w:eastAsia="zh-CN"/>
              </w:rPr>
            </w:pPr>
          </w:p>
        </w:tc>
        <w:tc>
          <w:tcPr>
            <w:tcW w:w="351" w:type="pct"/>
            <w:tcBorders>
              <w:tl2br w:val="nil"/>
              <w:tr2bl w:val="nil"/>
            </w:tcBorders>
            <w:noWrap w:val="0"/>
            <w:vAlign w:val="center"/>
          </w:tcPr>
          <w:p w14:paraId="54FE2512">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eastAsia="宋体" w:cs="Times New Roman"/>
                <w:color w:val="auto"/>
                <w:sz w:val="21"/>
                <w:highlight w:val="none"/>
                <w:u w:val="none" w:color="auto"/>
                <w:lang w:val="en-US" w:eastAsia="zh-CN"/>
              </w:rPr>
            </w:pPr>
            <w:r>
              <w:rPr>
                <w:rFonts w:hint="eastAsia" w:ascii="Times New Roman" w:hAnsi="Times New Roman" w:eastAsia="宋体"/>
                <w:b w:val="0"/>
                <w:bCs/>
                <w:color w:val="auto"/>
                <w:sz w:val="21"/>
                <w:highlight w:val="none"/>
                <w:u w:val="none" w:color="auto"/>
                <w:lang w:val="en-US" w:eastAsia="zh-CN"/>
              </w:rPr>
              <w:t>TVOC</w:t>
            </w:r>
          </w:p>
        </w:tc>
        <w:tc>
          <w:tcPr>
            <w:tcW w:w="505" w:type="pct"/>
            <w:tcBorders>
              <w:tl2br w:val="nil"/>
              <w:tr2bl w:val="nil"/>
            </w:tcBorders>
            <w:noWrap w:val="0"/>
            <w:vAlign w:val="center"/>
          </w:tcPr>
          <w:p w14:paraId="08B1A25E">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eastAsia="宋体" w:cs="Times New Roman"/>
                <w:color w:val="auto"/>
                <w:sz w:val="21"/>
                <w:highlight w:val="none"/>
                <w:u w:val="none" w:color="auto"/>
                <w:lang w:val="en-US" w:eastAsia="zh-CN"/>
              </w:rPr>
            </w:pPr>
            <w:r>
              <w:rPr>
                <w:rFonts w:hint="eastAsia" w:eastAsia="宋体" w:cs="Times New Roman"/>
                <w:color w:val="auto"/>
                <w:sz w:val="21"/>
                <w:highlight w:val="none"/>
                <w:u w:val="none" w:color="auto"/>
                <w:lang w:val="en-US" w:eastAsia="zh-CN"/>
              </w:rPr>
              <w:t>0.024</w:t>
            </w:r>
          </w:p>
        </w:tc>
        <w:tc>
          <w:tcPr>
            <w:tcW w:w="394" w:type="pct"/>
            <w:tcBorders>
              <w:tl2br w:val="nil"/>
              <w:tr2bl w:val="nil"/>
            </w:tcBorders>
            <w:noWrap w:val="0"/>
            <w:vAlign w:val="center"/>
          </w:tcPr>
          <w:p w14:paraId="7DE42BC9">
            <w:pPr>
              <w:pStyle w:val="51"/>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highlight w:val="none"/>
                <w:u w:val="none" w:color="auto"/>
              </w:rPr>
            </w:pPr>
            <w:r>
              <w:rPr>
                <w:rFonts w:hint="eastAsia" w:ascii="Times New Roman" w:hAnsi="Times New Roman" w:eastAsia="宋体" w:cs="Times New Roman"/>
                <w:color w:val="auto"/>
                <w:sz w:val="21"/>
                <w:highlight w:val="none"/>
                <w:u w:val="none" w:color="auto"/>
              </w:rPr>
              <w:t>kg/h</w:t>
            </w:r>
          </w:p>
        </w:tc>
      </w:tr>
    </w:tbl>
    <w:p w14:paraId="6F76DBFF">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both"/>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4、预测结果及评价</w:t>
      </w:r>
    </w:p>
    <w:p w14:paraId="14C5E38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表6.2-8  点源估算模式预测结果</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09"/>
        <w:gridCol w:w="3475"/>
        <w:gridCol w:w="2528"/>
      </w:tblGrid>
      <w:tr w14:paraId="2BBFE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D9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助剂粉剂冷却废气（DA001）——TVOC</w:t>
            </w:r>
          </w:p>
        </w:tc>
      </w:tr>
      <w:tr w14:paraId="76074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93F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下风向距离D/(m)</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8C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1小时浓度(ug/m</w:t>
            </w:r>
            <w:r>
              <w:rPr>
                <w:rFonts w:hint="default" w:ascii="Times New Roman" w:hAnsi="Times New Roman" w:eastAsia="宋体" w:cs="Times New Roman"/>
                <w:i w:val="0"/>
                <w:iCs w:val="0"/>
                <w:color w:val="000000"/>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E0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占标率%</w:t>
            </w:r>
          </w:p>
        </w:tc>
      </w:tr>
      <w:tr w14:paraId="0927C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27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CD4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4.82E-17</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0DE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1F85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51C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A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2.15E+00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74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0.18</w:t>
            </w:r>
          </w:p>
        </w:tc>
      </w:tr>
      <w:tr w14:paraId="0438B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EBB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ED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2.06E+00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25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0.17</w:t>
            </w:r>
          </w:p>
        </w:tc>
      </w:tr>
      <w:tr w14:paraId="66D1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C5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green"/>
                <w:u w:val="none"/>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60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A1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green"/>
                <w:u w:val="none"/>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2.21E+00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A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green"/>
                <w:u w:val="none"/>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0.18</w:t>
            </w:r>
          </w:p>
        </w:tc>
      </w:tr>
      <w:tr w14:paraId="7F78F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7B8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B12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2.09E+00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2C9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0.17</w:t>
            </w:r>
          </w:p>
        </w:tc>
      </w:tr>
      <w:tr w14:paraId="16D04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396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EC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1.73E+00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4B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5A874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3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6A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1.56E+00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20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0.13</w:t>
            </w:r>
          </w:p>
        </w:tc>
      </w:tr>
      <w:tr w14:paraId="714E6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15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B3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1.37E+00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EA2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0.11</w:t>
            </w:r>
          </w:p>
        </w:tc>
      </w:tr>
      <w:tr w14:paraId="550FC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132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B3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1.29E+00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D2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0.11</w:t>
            </w:r>
          </w:p>
        </w:tc>
      </w:tr>
      <w:tr w14:paraId="429E4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09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3C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1.21E+00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E9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4F790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4F4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32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1.08E+00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164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7EF4E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ADA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5C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1.09E+00</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D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72EF2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BF2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278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9.48E-01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91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6F42D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EA5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0C8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8.05E-01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9D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18C40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30F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4F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7.43E-01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33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05B46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35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FB3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6.41E-01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2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0.05</w:t>
            </w:r>
          </w:p>
        </w:tc>
      </w:tr>
      <w:tr w14:paraId="68F01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3F0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39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5.32E-01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FE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0.04</w:t>
            </w:r>
          </w:p>
        </w:tc>
      </w:tr>
      <w:tr w14:paraId="6C010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B82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EF1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4.50E-01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B4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0.04</w:t>
            </w:r>
          </w:p>
        </w:tc>
      </w:tr>
      <w:tr w14:paraId="30469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A0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FF1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4.08E-01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DD9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33145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1AD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45E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3.55E-01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0B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6E072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7B0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20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AF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3.27E-01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97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green"/>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56AFB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9D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下风向最大质量浓度及 占标率%</w:t>
            </w:r>
          </w:p>
        </w:tc>
        <w:tc>
          <w:tcPr>
            <w:tcW w:w="3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B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2.21E+00</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12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0.18</w:t>
            </w:r>
          </w:p>
        </w:tc>
      </w:tr>
      <w:tr w14:paraId="74364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68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D10%最远距离</w:t>
            </w:r>
          </w:p>
        </w:tc>
        <w:tc>
          <w:tcPr>
            <w:tcW w:w="352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662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60</w:t>
            </w:r>
          </w:p>
        </w:tc>
      </w:tr>
    </w:tbl>
    <w:p w14:paraId="443E233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表6.2-9   面源估算模式预测结果</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38"/>
        <w:gridCol w:w="1290"/>
        <w:gridCol w:w="1095"/>
        <w:gridCol w:w="1505"/>
        <w:gridCol w:w="1593"/>
        <w:gridCol w:w="1594"/>
      </w:tblGrid>
      <w:tr w14:paraId="7198C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44" w:type="pct"/>
            <w:vMerge w:val="restart"/>
            <w:tcBorders>
              <w:top w:val="single" w:color="000000" w:sz="4" w:space="0"/>
              <w:left w:val="single" w:color="000000" w:sz="4" w:space="0"/>
              <w:right w:val="single" w:color="000000" w:sz="4" w:space="0"/>
            </w:tcBorders>
            <w:shd w:val="clear" w:color="auto" w:fill="auto"/>
            <w:noWrap/>
            <w:vAlign w:val="center"/>
          </w:tcPr>
          <w:p w14:paraId="69601A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下风向距离D/(m)</w:t>
            </w: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9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u w:val="none" w:color="auto"/>
                <w:lang w:val="en-US" w:eastAsia="zh-CN"/>
              </w:rPr>
              <w:t>（投料、打粉</w:t>
            </w:r>
            <w:r>
              <w:rPr>
                <w:rFonts w:hint="eastAsia" w:eastAsia="宋体" w:cs="Times New Roman"/>
                <w:b/>
                <w:bCs/>
                <w:color w:val="auto"/>
                <w:sz w:val="21"/>
                <w:szCs w:val="21"/>
                <w:highlight w:val="none"/>
                <w:u w:val="none" w:color="auto"/>
                <w:lang w:val="en-US" w:eastAsia="zh-CN"/>
              </w:rPr>
              <w:t>粉尘</w:t>
            </w:r>
            <w:r>
              <w:rPr>
                <w:rFonts w:hint="default" w:ascii="Times New Roman" w:hAnsi="Times New Roman" w:eastAsia="宋体" w:cs="Times New Roman"/>
                <w:b/>
                <w:bCs/>
                <w:color w:val="auto"/>
                <w:sz w:val="21"/>
                <w:szCs w:val="21"/>
                <w:highlight w:val="none"/>
                <w:u w:val="none" w:color="auto"/>
                <w:lang w:val="en-US" w:eastAsia="zh-CN"/>
              </w:rPr>
              <w:t>）——</w:t>
            </w:r>
            <w:r>
              <w:rPr>
                <w:rFonts w:hint="default" w:ascii="Times New Roman" w:hAnsi="Times New Roman" w:eastAsia="宋体" w:cs="Times New Roman"/>
                <w:b/>
                <w:bCs/>
                <w:i w:val="0"/>
                <w:iCs w:val="0"/>
                <w:color w:val="000000"/>
                <w:kern w:val="0"/>
                <w:sz w:val="21"/>
                <w:szCs w:val="21"/>
                <w:highlight w:val="none"/>
                <w:u w:val="none"/>
                <w:lang w:val="en-US" w:eastAsia="zh-CN" w:bidi="ar"/>
              </w:rPr>
              <w:t>TSP</w:t>
            </w:r>
          </w:p>
        </w:tc>
        <w:tc>
          <w:tcPr>
            <w:tcW w:w="883" w:type="pct"/>
            <w:vMerge w:val="restart"/>
            <w:tcBorders>
              <w:top w:val="single" w:color="000000" w:sz="4" w:space="0"/>
              <w:left w:val="single" w:color="000000" w:sz="4" w:space="0"/>
              <w:right w:val="single" w:color="000000" w:sz="4" w:space="0"/>
            </w:tcBorders>
            <w:shd w:val="clear" w:color="auto" w:fill="auto"/>
            <w:noWrap/>
            <w:vAlign w:val="center"/>
          </w:tcPr>
          <w:p w14:paraId="4A0105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下风向距离D/(m)</w:t>
            </w:r>
          </w:p>
        </w:tc>
        <w:tc>
          <w:tcPr>
            <w:tcW w:w="187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61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（助剂冷却</w:t>
            </w:r>
            <w:r>
              <w:rPr>
                <w:rFonts w:hint="eastAsia" w:eastAsia="宋体" w:cs="Times New Roman"/>
                <w:b/>
                <w:bCs/>
                <w:color w:val="auto"/>
                <w:sz w:val="21"/>
                <w:szCs w:val="21"/>
                <w:highlight w:val="none"/>
                <w:u w:val="none" w:color="auto"/>
                <w:lang w:val="en-US" w:eastAsia="zh-CN"/>
              </w:rPr>
              <w:t>有机废气</w:t>
            </w:r>
            <w:r>
              <w:rPr>
                <w:rFonts w:hint="default" w:ascii="Times New Roman" w:hAnsi="Times New Roman" w:eastAsia="宋体" w:cs="Times New Roman"/>
                <w:b/>
                <w:bCs/>
                <w:color w:val="auto"/>
                <w:sz w:val="21"/>
                <w:szCs w:val="21"/>
                <w:highlight w:val="none"/>
                <w:u w:val="none" w:color="auto"/>
                <w:lang w:val="en-US" w:eastAsia="zh-CN"/>
              </w:rPr>
              <w:t>）</w:t>
            </w:r>
          </w:p>
          <w:p w14:paraId="62AA6E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color w:val="auto"/>
                <w:sz w:val="21"/>
                <w:szCs w:val="21"/>
                <w:highlight w:val="none"/>
                <w:u w:val="none" w:color="auto"/>
                <w:lang w:val="en-US" w:eastAsia="zh-CN"/>
              </w:rPr>
              <w:t>——</w:t>
            </w:r>
            <w:r>
              <w:rPr>
                <w:rFonts w:hint="default" w:ascii="Times New Roman" w:hAnsi="Times New Roman" w:eastAsia="宋体" w:cs="Times New Roman"/>
                <w:b/>
                <w:bCs/>
                <w:i w:val="0"/>
                <w:iCs w:val="0"/>
                <w:color w:val="000000"/>
                <w:kern w:val="0"/>
                <w:sz w:val="21"/>
                <w:szCs w:val="21"/>
                <w:highlight w:val="none"/>
                <w:u w:val="none"/>
                <w:lang w:val="en-US" w:eastAsia="zh-CN" w:bidi="ar"/>
              </w:rPr>
              <w:t>TVOC</w:t>
            </w:r>
          </w:p>
        </w:tc>
      </w:tr>
      <w:tr w14:paraId="2BBA5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844" w:type="pct"/>
            <w:vMerge w:val="continue"/>
            <w:tcBorders>
              <w:left w:val="single" w:color="000000" w:sz="4" w:space="0"/>
              <w:bottom w:val="single" w:color="000000" w:sz="4" w:space="0"/>
              <w:right w:val="single" w:color="000000" w:sz="4" w:space="0"/>
            </w:tcBorders>
            <w:shd w:val="clear" w:color="auto" w:fill="auto"/>
            <w:vAlign w:val="center"/>
          </w:tcPr>
          <w:p w14:paraId="2FBB8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80E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1小时浓度(ug/m</w:t>
            </w:r>
            <w:r>
              <w:rPr>
                <w:rFonts w:hint="default" w:ascii="Times New Roman" w:hAnsi="Times New Roman" w:eastAsia="宋体" w:cs="Times New Roman"/>
                <w:i w:val="0"/>
                <w:iCs w:val="0"/>
                <w:color w:val="000000"/>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6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0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占标率%</w:t>
            </w:r>
          </w:p>
        </w:tc>
        <w:tc>
          <w:tcPr>
            <w:tcW w:w="883" w:type="pct"/>
            <w:vMerge w:val="continue"/>
            <w:tcBorders>
              <w:left w:val="single" w:color="000000" w:sz="4" w:space="0"/>
              <w:bottom w:val="single" w:color="000000" w:sz="4" w:space="0"/>
              <w:right w:val="single" w:color="000000" w:sz="4" w:space="0"/>
            </w:tcBorders>
            <w:shd w:val="clear" w:color="auto" w:fill="auto"/>
            <w:vAlign w:val="center"/>
          </w:tcPr>
          <w:p w14:paraId="68387C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B4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1小时浓度(ug/m</w:t>
            </w:r>
            <w:r>
              <w:rPr>
                <w:rFonts w:hint="default" w:ascii="Times New Roman" w:hAnsi="Times New Roman" w:eastAsia="宋体" w:cs="Times New Roman"/>
                <w:i w:val="0"/>
                <w:iCs w:val="0"/>
                <w:color w:val="000000"/>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806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占标率%</w:t>
            </w:r>
          </w:p>
        </w:tc>
      </w:tr>
      <w:tr w14:paraId="6BEAE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60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C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3.1634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83E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0D7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C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13.80393</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0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1.15</w:t>
            </w:r>
          </w:p>
        </w:tc>
      </w:tr>
      <w:tr w14:paraId="605AF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8F3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3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4.1377</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83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0.46</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1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D9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18.05542</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259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1.5</w:t>
            </w:r>
          </w:p>
        </w:tc>
      </w:tr>
      <w:tr w14:paraId="060BA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25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A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4.4541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4C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0.49</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97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34</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05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19.43607</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C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1.62</w:t>
            </w:r>
          </w:p>
        </w:tc>
      </w:tr>
      <w:tr w14:paraId="55E07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D3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79F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3.8014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3A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08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53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16.58793</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4A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w:t>
            </w:r>
          </w:p>
        </w:tc>
      </w:tr>
      <w:tr w14:paraId="4B39D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FD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CC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2.4499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F8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FA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6C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10.69047</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7BB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0.89</w:t>
            </w:r>
          </w:p>
        </w:tc>
      </w:tr>
      <w:tr w14:paraId="512DB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DB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D5A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1.7068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51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89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262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7.447855</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C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0.62</w:t>
            </w:r>
          </w:p>
        </w:tc>
      </w:tr>
      <w:tr w14:paraId="71FD0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2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657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1.2743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4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A8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2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5.560582</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33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0.46</w:t>
            </w:r>
          </w:p>
        </w:tc>
      </w:tr>
      <w:tr w14:paraId="1040F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6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D5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0.99969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74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D35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D51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4.362284</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AA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0.36</w:t>
            </w:r>
          </w:p>
        </w:tc>
      </w:tr>
      <w:tr w14:paraId="51190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C95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C7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0.81307</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DF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4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F11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3.547942</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2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w:t>
            </w:r>
          </w:p>
        </w:tc>
      </w:tr>
      <w:tr w14:paraId="741B0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E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8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0.67916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3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8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54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2.963607</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D9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w:t>
            </w:r>
          </w:p>
        </w:tc>
      </w:tr>
      <w:tr w14:paraId="13696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3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BB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0.39266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2B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F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733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1.713426</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DC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0CAA1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9B8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7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0.2653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4C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C8D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998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1.157673</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8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09DC2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D7C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13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0.19572</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7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7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E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0.8540509</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3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21DE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49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D2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0.15266</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30C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C0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91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0.6661528</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88C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487E1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02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BF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0.12398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A7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4D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40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0.5410036</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4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w:t>
            </w:r>
          </w:p>
        </w:tc>
      </w:tr>
      <w:tr w14:paraId="52BD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8C4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39D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0.10333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7F6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03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C1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0.4508946</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58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w:t>
            </w:r>
          </w:p>
        </w:tc>
      </w:tr>
      <w:tr w14:paraId="5DB04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C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25A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0.087995</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2E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0C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3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0.3839782</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726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03A18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7F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CA7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0.076229</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D7A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5A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F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0.3326356</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D0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61A13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3C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8E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0.059554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7D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B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2E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0.259872</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6A0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4509A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160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F99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0.048538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B6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F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3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0.2118022</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8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502EB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88E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B6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0.0444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F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BB0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D6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0.1937455</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0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6FC8E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478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08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3.1634</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1CB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64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D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13.80393</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74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1.15</w:t>
            </w:r>
          </w:p>
        </w:tc>
      </w:tr>
      <w:tr w14:paraId="4B553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ED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DB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4.1377</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2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0.46</w:t>
            </w:r>
          </w:p>
        </w:tc>
        <w:tc>
          <w:tcPr>
            <w:tcW w:w="15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9C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A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18.05542</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C3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r>
      <w:tr w14:paraId="39F33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C18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下风向最大质量浓度及 占标率%</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6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4.4541</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835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0.49</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2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下风向最大质量浓度及占标率%</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33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19.43607</w:t>
            </w:r>
          </w:p>
        </w:tc>
        <w:tc>
          <w:tcPr>
            <w:tcW w:w="1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69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FF0000"/>
                <w:kern w:val="0"/>
                <w:sz w:val="21"/>
                <w:szCs w:val="21"/>
                <w:u w:val="none"/>
                <w:lang w:val="en-US" w:eastAsia="zh-CN" w:bidi="ar"/>
              </w:rPr>
              <w:t>1.62</w:t>
            </w:r>
          </w:p>
        </w:tc>
      </w:tr>
      <w:tr w14:paraId="7EE7D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8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E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D10%最远距离</w:t>
            </w:r>
          </w:p>
        </w:tc>
        <w:tc>
          <w:tcPr>
            <w:tcW w:w="14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9E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34</w:t>
            </w:r>
          </w:p>
        </w:tc>
        <w:tc>
          <w:tcPr>
            <w:tcW w:w="8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8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D10%最远距离</w:t>
            </w:r>
          </w:p>
        </w:tc>
        <w:tc>
          <w:tcPr>
            <w:tcW w:w="187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27D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34</w:t>
            </w:r>
          </w:p>
        </w:tc>
      </w:tr>
    </w:tbl>
    <w:p w14:paraId="3C0C69E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454A35A7">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35AD25C1">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1DA25CE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21CBB39A">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18965BF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7AAD535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673F18B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603778CE">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cs="Times New Roman"/>
          <w:color w:val="auto"/>
          <w:highlight w:val="none"/>
          <w:u w:val="none" w:color="auto"/>
          <w:lang w:val="en-US" w:eastAsia="zh-CN"/>
        </w:rPr>
      </w:pPr>
    </w:p>
    <w:p w14:paraId="409F0CCC">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 xml:space="preserve">表6.2-10 </w:t>
      </w:r>
      <w:r>
        <w:rPr>
          <w:rFonts w:hint="eastAsia" w:cs="Times New Roman"/>
          <w:b/>
          <w:bCs/>
          <w:color w:val="auto"/>
          <w:kern w:val="0"/>
          <w:sz w:val="24"/>
          <w:szCs w:val="24"/>
          <w:highlight w:val="none"/>
          <w:lang w:val="en-US" w:eastAsia="zh-CN" w:bidi="ar"/>
        </w:rPr>
        <w:t xml:space="preserve"> </w:t>
      </w:r>
      <w:r>
        <w:rPr>
          <w:rFonts w:hint="eastAsia" w:ascii="Times New Roman" w:hAnsi="Times New Roman" w:eastAsia="宋体" w:cs="Times New Roman"/>
          <w:b/>
          <w:bCs/>
          <w:color w:val="auto"/>
          <w:kern w:val="0"/>
          <w:sz w:val="24"/>
          <w:szCs w:val="24"/>
          <w:highlight w:val="none"/>
          <w:lang w:val="en-US" w:eastAsia="zh-CN" w:bidi="ar"/>
        </w:rPr>
        <w:t>污染物下风向预测最大地面浓度、占标率一览表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5"/>
      </w:tblGrid>
      <w:tr w14:paraId="586B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5" w:type="dxa"/>
          </w:tcPr>
          <w:p w14:paraId="11D36F71">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ascii="Times New Roman" w:hAnsi="Times New Roman" w:eastAsia="宋体" w:cs="Times New Roman"/>
                <w:color w:val="auto"/>
                <w:highlight w:val="none"/>
                <w:u w:val="none" w:color="auto"/>
                <w:vertAlign w:val="baseline"/>
                <w:lang w:eastAsia="zh-CN"/>
              </w:rPr>
            </w:pPr>
            <w:r>
              <w:rPr>
                <w:rFonts w:ascii="Times New Roman" w:hAnsi="Times New Roman" w:eastAsia="宋体" w:cs="Times New Roman"/>
                <w:color w:val="auto"/>
                <w:highlight w:val="none"/>
                <w:u w:val="none" w:color="auto"/>
                <w:vertAlign w:val="baseline"/>
                <w:lang w:eastAsia="zh-CN"/>
              </w:rPr>
              <w:drawing>
                <wp:inline distT="0" distB="0" distL="114300" distR="114300">
                  <wp:extent cx="4376420" cy="2673350"/>
                  <wp:effectExtent l="0" t="0" r="5080" b="12700"/>
                  <wp:docPr id="41" name="图片 41" descr="f7d4c7fcdb905faa0ae549f886c4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7d4c7fcdb905faa0ae549f886c42fe"/>
                          <pic:cNvPicPr>
                            <a:picLocks noChangeAspect="1"/>
                          </pic:cNvPicPr>
                        </pic:nvPicPr>
                        <pic:blipFill>
                          <a:blip r:embed="rId28"/>
                          <a:stretch>
                            <a:fillRect/>
                          </a:stretch>
                        </pic:blipFill>
                        <pic:spPr>
                          <a:xfrm>
                            <a:off x="0" y="0"/>
                            <a:ext cx="4376420" cy="2673350"/>
                          </a:xfrm>
                          <a:prstGeom prst="rect">
                            <a:avLst/>
                          </a:prstGeom>
                        </pic:spPr>
                      </pic:pic>
                    </a:graphicData>
                  </a:graphic>
                </wp:inline>
              </w:drawing>
            </w:r>
          </w:p>
        </w:tc>
      </w:tr>
      <w:tr w14:paraId="794A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5" w:type="dxa"/>
          </w:tcPr>
          <w:p w14:paraId="6C5F6F2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ascii="Times New Roman" w:hAnsi="Times New Roman" w:eastAsia="宋体" w:cs="Times New Roman"/>
                <w:color w:val="auto"/>
                <w:highlight w:val="none"/>
                <w:u w:val="none" w:color="auto"/>
                <w:vertAlign w:val="baseline"/>
                <w:lang w:eastAsia="zh-CN"/>
              </w:rPr>
            </w:pPr>
            <w:r>
              <w:rPr>
                <w:rFonts w:ascii="Times New Roman" w:hAnsi="Times New Roman" w:eastAsia="宋体" w:cs="Times New Roman"/>
                <w:color w:val="auto"/>
                <w:highlight w:val="none"/>
                <w:u w:val="none" w:color="auto"/>
                <w:vertAlign w:val="baseline"/>
                <w:lang w:eastAsia="zh-CN"/>
              </w:rPr>
              <w:drawing>
                <wp:inline distT="0" distB="0" distL="114300" distR="114300">
                  <wp:extent cx="4363720" cy="2589530"/>
                  <wp:effectExtent l="0" t="0" r="17780" b="1270"/>
                  <wp:docPr id="48" name="图片 48" descr="3e1d8e84c7b84d6b245e1d10b6325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e1d8e84c7b84d6b245e1d10b6325ec"/>
                          <pic:cNvPicPr>
                            <a:picLocks noChangeAspect="1"/>
                          </pic:cNvPicPr>
                        </pic:nvPicPr>
                        <pic:blipFill>
                          <a:blip r:embed="rId29"/>
                          <a:stretch>
                            <a:fillRect/>
                          </a:stretch>
                        </pic:blipFill>
                        <pic:spPr>
                          <a:xfrm>
                            <a:off x="0" y="0"/>
                            <a:ext cx="4363720" cy="2589530"/>
                          </a:xfrm>
                          <a:prstGeom prst="rect">
                            <a:avLst/>
                          </a:prstGeom>
                        </pic:spPr>
                      </pic:pic>
                    </a:graphicData>
                  </a:graphic>
                </wp:inline>
              </w:drawing>
            </w:r>
          </w:p>
        </w:tc>
      </w:tr>
    </w:tbl>
    <w:p w14:paraId="54C3150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default" w:eastAsia="宋体"/>
          <w:highlight w:val="none"/>
          <w:lang w:val="en-US" w:eastAsia="zh-CN"/>
        </w:rPr>
      </w:pPr>
      <w:r>
        <w:rPr>
          <w:rFonts w:ascii="Times New Roman" w:hAnsi="Times New Roman" w:eastAsia="宋体" w:cs="Times New Roman"/>
          <w:color w:val="auto"/>
          <w:highlight w:val="none"/>
          <w:u w:val="none" w:color="auto"/>
          <w:lang w:eastAsia="zh-CN"/>
        </w:rPr>
        <w:t>预测结果显示，在正常情况下，本项目各污染源各污染物的小时平均最大落地浓度贡献值较小，最大占标率均低于1</w:t>
      </w:r>
      <w:r>
        <w:rPr>
          <w:rFonts w:hint="eastAsia" w:cs="Times New Roman"/>
          <w:color w:val="auto"/>
          <w:highlight w:val="none"/>
          <w:u w:val="none" w:color="auto"/>
          <w:lang w:val="en-US" w:eastAsia="zh-CN"/>
        </w:rPr>
        <w:t>0</w:t>
      </w:r>
      <w:r>
        <w:rPr>
          <w:rFonts w:ascii="Times New Roman" w:hAnsi="Times New Roman" w:eastAsia="宋体" w:cs="Times New Roman"/>
          <w:color w:val="auto"/>
          <w:highlight w:val="none"/>
          <w:u w:val="none" w:color="auto"/>
          <w:lang w:eastAsia="zh-CN"/>
        </w:rPr>
        <w:t>%，对周边大气环境影响不明显</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有组织排放的TVOC</w:t>
      </w:r>
      <w:r>
        <w:rPr>
          <w:rFonts w:ascii="Times New Roman" w:hAnsi="Times New Roman" w:eastAsia="宋体" w:cs="Times New Roman"/>
          <w:color w:val="auto"/>
          <w:highlight w:val="none"/>
          <w:u w:val="none" w:color="auto"/>
          <w:lang w:eastAsia="zh-CN"/>
        </w:rPr>
        <w:t>最大占标率Pmax=</w:t>
      </w:r>
      <w:r>
        <w:rPr>
          <w:rFonts w:hint="eastAsia" w:ascii="Times New Roman" w:hAnsi="Times New Roman" w:eastAsia="宋体" w:cs="Times New Roman"/>
          <w:color w:val="auto"/>
          <w:highlight w:val="none"/>
          <w:u w:val="none" w:color="auto"/>
          <w:lang w:val="en-US" w:eastAsia="zh-CN"/>
        </w:rPr>
        <w:t>0.</w:t>
      </w:r>
      <w:r>
        <w:rPr>
          <w:rFonts w:hint="eastAsia" w:cs="Times New Roman"/>
          <w:color w:val="auto"/>
          <w:highlight w:val="none"/>
          <w:u w:val="none" w:color="auto"/>
          <w:lang w:val="en-US" w:eastAsia="zh-CN"/>
        </w:rPr>
        <w:t>18</w:t>
      </w:r>
      <w:r>
        <w:rPr>
          <w:rFonts w:hint="eastAsia" w:ascii="Times New Roman" w:hAnsi="Times New Roman" w:eastAsia="宋体" w:cs="Times New Roman"/>
          <w:color w:val="auto"/>
          <w:highlight w:val="none"/>
          <w:u w:val="none" w:color="auto"/>
          <w:lang w:val="en-US" w:eastAsia="zh-CN"/>
        </w:rPr>
        <w:t>%</w:t>
      </w:r>
      <w:r>
        <w:rPr>
          <w:rFonts w:ascii="Times New Roman" w:hAnsi="Times New Roman" w:eastAsia="宋体" w:cs="Times New Roman"/>
          <w:color w:val="auto"/>
          <w:highlight w:val="none"/>
          <w:u w:val="none" w:color="auto"/>
          <w:lang w:eastAsia="zh-CN"/>
        </w:rPr>
        <w:t>，无组织</w:t>
      </w:r>
      <w:r>
        <w:rPr>
          <w:rFonts w:hint="eastAsia" w:ascii="Times New Roman" w:hAnsi="Times New Roman" w:eastAsia="宋体" w:cs="Times New Roman"/>
          <w:color w:val="auto"/>
          <w:highlight w:val="none"/>
          <w:u w:val="none" w:color="auto"/>
          <w:lang w:val="en-US" w:eastAsia="zh-CN"/>
        </w:rPr>
        <w:t>排放的</w:t>
      </w:r>
      <w:r>
        <w:rPr>
          <w:rFonts w:hint="eastAsia" w:ascii="Times New Roman" w:hAnsi="Times New Roman" w:eastAsia="宋体" w:cs="Times New Roman"/>
          <w:color w:val="auto"/>
          <w:highlight w:val="none"/>
          <w:u w:val="none" w:color="auto"/>
          <w:lang w:eastAsia="zh-CN"/>
        </w:rPr>
        <w:t>粉尘</w:t>
      </w:r>
      <w:r>
        <w:rPr>
          <w:rFonts w:ascii="Times New Roman" w:hAnsi="Times New Roman" w:eastAsia="宋体" w:cs="Times New Roman"/>
          <w:color w:val="auto"/>
          <w:highlight w:val="none"/>
          <w:u w:val="none" w:color="auto"/>
          <w:lang w:eastAsia="zh-CN"/>
        </w:rPr>
        <w:t>最大占标率Pmax=</w:t>
      </w:r>
      <w:r>
        <w:rPr>
          <w:rFonts w:hint="eastAsia" w:cs="Times New Roman"/>
          <w:color w:val="auto"/>
          <w:highlight w:val="none"/>
          <w:u w:val="none" w:color="auto"/>
          <w:lang w:val="en-US" w:eastAsia="zh-CN"/>
        </w:rPr>
        <w:t>0.49</w:t>
      </w:r>
      <w:r>
        <w:rPr>
          <w:rFonts w:hint="eastAsia" w:ascii="Times New Roman" w:hAnsi="Times New Roman" w:eastAsia="宋体" w:cs="Times New Roman"/>
          <w:color w:val="auto"/>
          <w:highlight w:val="none"/>
          <w:u w:val="none" w:color="auto"/>
          <w:lang w:val="en-US" w:eastAsia="zh-CN"/>
        </w:rPr>
        <w:t>%</w:t>
      </w:r>
      <w:r>
        <w:rPr>
          <w:rFonts w:hint="eastAsia" w:cs="Times New Roman"/>
          <w:color w:val="auto"/>
          <w:highlight w:val="none"/>
          <w:u w:val="none" w:color="auto"/>
          <w:lang w:val="en-US" w:eastAsia="zh-CN"/>
        </w:rPr>
        <w:t>，</w:t>
      </w:r>
      <w:r>
        <w:rPr>
          <w:rFonts w:ascii="Times New Roman" w:hAnsi="Times New Roman" w:eastAsia="宋体" w:cs="Times New Roman"/>
          <w:color w:val="auto"/>
          <w:highlight w:val="none"/>
          <w:u w:val="none" w:color="auto"/>
          <w:lang w:eastAsia="zh-CN"/>
        </w:rPr>
        <w:t>无组织</w:t>
      </w:r>
      <w:r>
        <w:rPr>
          <w:rFonts w:hint="eastAsia" w:ascii="Times New Roman" w:hAnsi="Times New Roman" w:eastAsia="宋体" w:cs="Times New Roman"/>
          <w:color w:val="auto"/>
          <w:highlight w:val="none"/>
          <w:u w:val="none" w:color="auto"/>
          <w:lang w:val="en-US" w:eastAsia="zh-CN"/>
        </w:rPr>
        <w:t>排放的TVOC</w:t>
      </w:r>
      <w:r>
        <w:rPr>
          <w:rFonts w:ascii="Times New Roman" w:hAnsi="Times New Roman" w:eastAsia="宋体" w:cs="Times New Roman"/>
          <w:color w:val="auto"/>
          <w:highlight w:val="none"/>
          <w:u w:val="none" w:color="auto"/>
          <w:lang w:eastAsia="zh-CN"/>
        </w:rPr>
        <w:t>最大占标率Pmax=</w:t>
      </w:r>
      <w:r>
        <w:rPr>
          <w:rFonts w:hint="eastAsia" w:cs="Times New Roman"/>
          <w:color w:val="auto"/>
          <w:highlight w:val="none"/>
          <w:u w:val="none" w:color="auto"/>
          <w:lang w:val="en-US" w:eastAsia="zh-CN"/>
        </w:rPr>
        <w:t>1.62%</w:t>
      </w:r>
      <w:r>
        <w:rPr>
          <w:rFonts w:hint="eastAsia" w:ascii="Times New Roman" w:hAnsi="Times New Roman" w:eastAsia="宋体" w:cs="Times New Roman"/>
          <w:color w:val="auto"/>
          <w:highlight w:val="none"/>
          <w:u w:val="none" w:color="auto"/>
          <w:lang w:val="en-US" w:eastAsia="zh-CN"/>
        </w:rPr>
        <w:t>。</w:t>
      </w:r>
    </w:p>
    <w:p w14:paraId="2E2425E7">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eastAsia="宋体"/>
          <w:spacing w:val="-2"/>
          <w:highlight w:val="none"/>
          <w:lang w:eastAsia="zh-CN"/>
        </w:rPr>
      </w:pPr>
      <w:r>
        <w:rPr>
          <w:highlight w:val="none"/>
        </w:rPr>
        <w:t>根据《环境影响评价技术导则</w:t>
      </w:r>
      <w:r>
        <w:rPr>
          <w:rFonts w:ascii="Times New Roman" w:hAnsi="Times New Roman" w:eastAsia="Times New Roman" w:cs="Times New Roman"/>
          <w:highlight w:val="none"/>
        </w:rPr>
        <w:t>-</w:t>
      </w:r>
      <w:r>
        <w:rPr>
          <w:highlight w:val="none"/>
        </w:rPr>
        <w:t>大气环境》</w:t>
      </w:r>
      <w:r>
        <w:rPr>
          <w:rFonts w:ascii="Times New Roman" w:hAnsi="Times New Roman" w:eastAsia="Times New Roman" w:cs="Times New Roman"/>
          <w:highlight w:val="none"/>
        </w:rPr>
        <w:t>(HJ2.2-2018)</w:t>
      </w:r>
      <w:r>
        <w:rPr>
          <w:highlight w:val="none"/>
        </w:rPr>
        <w:t>中</w:t>
      </w:r>
      <w:r>
        <w:rPr>
          <w:rFonts w:ascii="Times New Roman" w:hAnsi="Times New Roman" w:eastAsia="Times New Roman" w:cs="Times New Roman"/>
          <w:highlight w:val="none"/>
        </w:rPr>
        <w:t>“5.3.3.1</w:t>
      </w:r>
      <w:r>
        <w:rPr>
          <w:rFonts w:ascii="Times New Roman" w:hAnsi="Times New Roman" w:eastAsia="Times New Roman" w:cs="Times New Roman"/>
          <w:spacing w:val="23"/>
          <w:w w:val="101"/>
          <w:highlight w:val="none"/>
        </w:rPr>
        <w:t xml:space="preserve">  </w:t>
      </w:r>
      <w:r>
        <w:rPr>
          <w:highlight w:val="none"/>
        </w:rPr>
        <w:t>同一项目</w:t>
      </w:r>
      <w:r>
        <w:rPr>
          <w:spacing w:val="-3"/>
          <w:highlight w:val="none"/>
        </w:rPr>
        <w:t>有多个污染源时，则按各污染源分别确定评价等级，并取评价等级最高者作为项</w:t>
      </w:r>
      <w:r>
        <w:rPr>
          <w:spacing w:val="-2"/>
          <w:highlight w:val="none"/>
        </w:rPr>
        <w:t>目的评价等级</w:t>
      </w:r>
      <w:r>
        <w:rPr>
          <w:rFonts w:ascii="Times New Roman" w:hAnsi="Times New Roman" w:eastAsia="Times New Roman" w:cs="Times New Roman"/>
          <w:spacing w:val="-2"/>
          <w:highlight w:val="none"/>
        </w:rPr>
        <w:t>”</w:t>
      </w:r>
      <w:r>
        <w:rPr>
          <w:spacing w:val="-2"/>
          <w:highlight w:val="none"/>
        </w:rPr>
        <w:t>，本项目最大占标率</w:t>
      </w:r>
      <w:r>
        <w:rPr>
          <w:spacing w:val="-56"/>
          <w:highlight w:val="none"/>
        </w:rPr>
        <w:t xml:space="preserve"> </w:t>
      </w:r>
      <w:r>
        <w:rPr>
          <w:rFonts w:ascii="Times New Roman" w:hAnsi="Times New Roman" w:eastAsia="Times New Roman" w:cs="Times New Roman"/>
          <w:spacing w:val="-2"/>
          <w:highlight w:val="none"/>
        </w:rPr>
        <w:t xml:space="preserve">Pmax </w:t>
      </w:r>
      <w:r>
        <w:rPr>
          <w:spacing w:val="-2"/>
          <w:highlight w:val="none"/>
        </w:rPr>
        <w:t>为</w:t>
      </w:r>
      <w:r>
        <w:rPr>
          <w:rFonts w:hint="eastAsia" w:cs="Times New Roman"/>
          <w:color w:val="auto"/>
          <w:highlight w:val="none"/>
          <w:u w:val="none" w:color="auto"/>
          <w:lang w:val="en-US" w:eastAsia="zh-CN"/>
        </w:rPr>
        <w:t>1.62</w:t>
      </w:r>
      <w:r>
        <w:rPr>
          <w:rFonts w:hint="eastAsia" w:ascii="Times New Roman" w:hAnsi="Times New Roman" w:eastAsia="宋体" w:cs="Times New Roman"/>
          <w:color w:val="auto"/>
          <w:highlight w:val="none"/>
          <w:u w:val="none" w:color="auto"/>
          <w:lang w:val="en-US" w:eastAsia="zh-CN"/>
        </w:rPr>
        <w:t>%</w:t>
      </w:r>
      <w:r>
        <w:rPr>
          <w:spacing w:val="-2"/>
          <w:highlight w:val="none"/>
        </w:rPr>
        <w:t>＜</w:t>
      </w:r>
      <w:r>
        <w:rPr>
          <w:rFonts w:ascii="Times New Roman" w:hAnsi="Times New Roman" w:eastAsia="Times New Roman" w:cs="Times New Roman"/>
          <w:spacing w:val="-2"/>
          <w:highlight w:val="none"/>
        </w:rPr>
        <w:t>1</w:t>
      </w:r>
      <w:r>
        <w:rPr>
          <w:rFonts w:hint="eastAsia" w:eastAsia="宋体" w:cs="Times New Roman"/>
          <w:spacing w:val="-2"/>
          <w:highlight w:val="none"/>
          <w:lang w:val="en-US" w:eastAsia="zh-CN"/>
        </w:rPr>
        <w:t>0</w:t>
      </w:r>
      <w:r>
        <w:rPr>
          <w:rFonts w:ascii="Times New Roman" w:hAnsi="Times New Roman" w:eastAsia="Times New Roman" w:cs="Times New Roman"/>
          <w:spacing w:val="-2"/>
          <w:highlight w:val="none"/>
        </w:rPr>
        <w:t>%</w:t>
      </w:r>
      <w:r>
        <w:rPr>
          <w:rFonts w:hint="eastAsia" w:eastAsia="宋体" w:cs="Times New Roman"/>
          <w:spacing w:val="-2"/>
          <w:highlight w:val="none"/>
          <w:lang w:eastAsia="zh-CN"/>
        </w:rPr>
        <w:t>。</w:t>
      </w:r>
    </w:p>
    <w:p w14:paraId="12190A61">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spacing w:val="-2"/>
          <w:highlight w:val="none"/>
          <w:lang w:val="en-US" w:eastAsia="zh-CN"/>
        </w:rPr>
      </w:pPr>
      <w:r>
        <w:rPr>
          <w:rFonts w:hint="eastAsia"/>
          <w:highlight w:val="none"/>
        </w:rPr>
        <w:t>对照《湖南省“两高”项目管理目录》可知，本项目属于C2661化学试剂和助剂制造和和C2662专项化学用品制造，不涉及《湖南省“两高”项目管理目录》中列明的产品及工艺，故本项目不属于高耗能行业的多源项目或使用高污染燃料为主的多源项目，因此根据《环境影响评价技术导则 大气环境》（HJ2.2-2018），确定本项目大气环境影响评价等级为二级</w:t>
      </w:r>
      <w:r>
        <w:rPr>
          <w:rFonts w:hint="eastAsia"/>
          <w:highlight w:val="none"/>
          <w:lang w:eastAsia="zh-CN"/>
        </w:rPr>
        <w:t>。</w:t>
      </w:r>
    </w:p>
    <w:p w14:paraId="715364A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37"/>
        <w:jc w:val="both"/>
        <w:textAlignment w:val="auto"/>
        <w:rPr>
          <w:rFonts w:hint="eastAsia"/>
          <w:spacing w:val="-3"/>
          <w:highlight w:val="none"/>
          <w:lang w:eastAsia="zh-CN"/>
        </w:rPr>
      </w:pPr>
      <w:r>
        <w:rPr>
          <w:rFonts w:hint="eastAsia"/>
          <w:spacing w:val="-2"/>
          <w:highlight w:val="none"/>
          <w:lang w:val="en-US" w:eastAsia="zh-CN"/>
        </w:rPr>
        <w:t>大气</w:t>
      </w:r>
      <w:r>
        <w:rPr>
          <w:spacing w:val="-3"/>
          <w:highlight w:val="none"/>
        </w:rPr>
        <w:t>评价等级</w:t>
      </w:r>
      <w:r>
        <w:rPr>
          <w:spacing w:val="1"/>
          <w:highlight w:val="none"/>
        </w:rPr>
        <w:t>为</w:t>
      </w:r>
      <w:r>
        <w:rPr>
          <w:rFonts w:hint="eastAsia"/>
          <w:spacing w:val="1"/>
          <w:highlight w:val="none"/>
          <w:lang w:val="en-US" w:eastAsia="zh-CN"/>
        </w:rPr>
        <w:t>二</w:t>
      </w:r>
      <w:r>
        <w:rPr>
          <w:spacing w:val="1"/>
          <w:highlight w:val="none"/>
        </w:rPr>
        <w:t>级</w:t>
      </w:r>
      <w:r>
        <w:rPr>
          <w:rFonts w:hint="eastAsia"/>
          <w:spacing w:val="1"/>
          <w:highlight w:val="none"/>
          <w:lang w:eastAsia="zh-CN"/>
        </w:rPr>
        <w:t>，</w:t>
      </w:r>
      <w:r>
        <w:rPr>
          <w:spacing w:val="1"/>
          <w:highlight w:val="none"/>
        </w:rPr>
        <w:t>不需进一步预测与评价，其评价范围为厂界外</w:t>
      </w:r>
      <w:r>
        <w:rPr>
          <w:spacing w:val="-46"/>
          <w:highlight w:val="none"/>
        </w:rPr>
        <w:t xml:space="preserve"> </w:t>
      </w:r>
      <w:r>
        <w:rPr>
          <w:rFonts w:ascii="Times New Roman" w:hAnsi="Times New Roman" w:eastAsia="Times New Roman" w:cs="Times New Roman"/>
          <w:spacing w:val="1"/>
          <w:highlight w:val="none"/>
        </w:rPr>
        <w:t>5</w:t>
      </w:r>
      <w:r>
        <w:rPr>
          <w:rFonts w:ascii="Times New Roman" w:hAnsi="Times New Roman" w:eastAsia="Times New Roman" w:cs="Times New Roman"/>
          <w:highlight w:val="none"/>
        </w:rPr>
        <w:t>km</w:t>
      </w:r>
      <w:r>
        <w:rPr>
          <w:highlight w:val="none"/>
        </w:rPr>
        <w:t>的矩形区域</w:t>
      </w:r>
      <w:r>
        <w:rPr>
          <w:rFonts w:hint="eastAsia"/>
          <w:highlight w:val="none"/>
          <w:lang w:eastAsia="zh-CN"/>
        </w:rPr>
        <w:t>，</w:t>
      </w:r>
      <w:r>
        <w:rPr>
          <w:spacing w:val="-3"/>
          <w:highlight w:val="none"/>
        </w:rPr>
        <w:t>项目厂界浓度满足大气污染物厂界浓度限值，且厂界外大气污染物短期贡献浓度不超过环境质量浓度限值，所以本项目不需要设置大气环境防护距离。</w:t>
      </w:r>
    </w:p>
    <w:p w14:paraId="71DEC745">
      <w:pPr>
        <w:pStyle w:val="7"/>
        <w:rPr>
          <w:rFonts w:hint="default" w:ascii="Times New Roman" w:hAnsi="Times New Roman" w:eastAsia="宋体" w:cs="Times New Roman"/>
          <w:color w:val="auto"/>
          <w:szCs w:val="22"/>
          <w:highlight w:val="none"/>
          <w:u w:val="none" w:color="auto"/>
        </w:rPr>
      </w:pPr>
      <w:bookmarkStart w:id="180" w:name="_Toc27860"/>
      <w:r>
        <w:rPr>
          <w:rFonts w:hint="eastAsia" w:ascii="Times New Roman" w:hAnsi="Times New Roman" w:cs="Times New Roman"/>
          <w:color w:val="auto"/>
          <w:szCs w:val="22"/>
          <w:highlight w:val="none"/>
          <w:u w:val="none" w:color="auto"/>
          <w:lang w:val="en-US" w:eastAsia="zh-CN"/>
        </w:rPr>
        <w:t>6.2</w:t>
      </w:r>
      <w:r>
        <w:rPr>
          <w:rFonts w:hint="default" w:ascii="Times New Roman" w:hAnsi="Times New Roman" w:eastAsia="宋体" w:cs="Times New Roman"/>
          <w:color w:val="auto"/>
          <w:szCs w:val="22"/>
          <w:highlight w:val="none"/>
          <w:u w:val="none" w:color="auto"/>
        </w:rPr>
        <w:t>.</w:t>
      </w:r>
      <w:r>
        <w:rPr>
          <w:rFonts w:hint="eastAsia" w:ascii="Times New Roman" w:hAnsi="Times New Roman" w:eastAsia="宋体" w:cs="Times New Roman"/>
          <w:color w:val="auto"/>
          <w:szCs w:val="22"/>
          <w:highlight w:val="none"/>
          <w:u w:val="none" w:color="auto"/>
          <w:lang w:val="en-US" w:eastAsia="zh-CN"/>
        </w:rPr>
        <w:t>3</w:t>
      </w:r>
      <w:r>
        <w:rPr>
          <w:rFonts w:hint="default" w:ascii="Times New Roman" w:hAnsi="Times New Roman" w:eastAsia="宋体" w:cs="Times New Roman"/>
          <w:color w:val="auto"/>
          <w:szCs w:val="22"/>
          <w:highlight w:val="none"/>
          <w:u w:val="none" w:color="auto"/>
        </w:rPr>
        <w:t>大气环境影响评价结论</w:t>
      </w:r>
      <w:bookmarkEnd w:id="180"/>
    </w:p>
    <w:p w14:paraId="4A22C889">
      <w:pPr>
        <w:pStyle w:val="50"/>
        <w:rPr>
          <w:rFonts w:ascii="Times New Roman" w:hAnsi="Times New Roman" w:eastAsia="宋体" w:cs="Times New Roman"/>
          <w:color w:val="auto"/>
          <w:highlight w:val="none"/>
          <w:u w:val="none" w:color="auto"/>
          <w:lang w:eastAsia="zh-CN"/>
        </w:rPr>
      </w:pP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1</w:t>
      </w:r>
      <w:r>
        <w:rPr>
          <w:rFonts w:hint="eastAsia" w:ascii="Times New Roman" w:hAnsi="Times New Roman" w:eastAsia="宋体" w:cs="Times New Roman"/>
          <w:color w:val="auto"/>
          <w:highlight w:val="none"/>
          <w:u w:val="none" w:color="auto"/>
          <w:lang w:eastAsia="zh-CN"/>
        </w:rPr>
        <w:t>）项目运营期废气主要废气污染物为VOC</w:t>
      </w:r>
      <w:r>
        <w:rPr>
          <w:rFonts w:hint="eastAsia" w:ascii="Times New Roman" w:hAnsi="Times New Roman" w:cs="Times New Roman"/>
          <w:color w:val="auto"/>
          <w:highlight w:val="none"/>
          <w:u w:val="none" w:color="auto"/>
          <w:lang w:val="en-US" w:eastAsia="zh-CN"/>
        </w:rPr>
        <w:t>s</w:t>
      </w:r>
      <w:r>
        <w:rPr>
          <w:rFonts w:hint="eastAsia" w:ascii="Times New Roman" w:hAnsi="Times New Roman" w:eastAsia="宋体" w:cs="Times New Roman"/>
          <w:color w:val="auto"/>
          <w:highlight w:val="none"/>
          <w:u w:val="none" w:color="auto"/>
          <w:lang w:eastAsia="zh-CN"/>
        </w:rPr>
        <w:t>和颗粒物。</w:t>
      </w:r>
      <w:r>
        <w:rPr>
          <w:rFonts w:hint="eastAsia" w:ascii="Times New Roman" w:hAnsi="Times New Roman" w:cs="Times New Roman"/>
          <w:color w:val="auto"/>
          <w:highlight w:val="none"/>
          <w:u w:val="none" w:color="auto"/>
          <w:lang w:val="en-US" w:eastAsia="zh-CN"/>
        </w:rPr>
        <w:t>经预测</w:t>
      </w:r>
      <w:r>
        <w:rPr>
          <w:rFonts w:ascii="Times New Roman" w:hAnsi="Times New Roman" w:eastAsia="宋体" w:cs="Times New Roman"/>
          <w:color w:val="auto"/>
          <w:highlight w:val="none"/>
          <w:u w:val="none" w:color="auto"/>
          <w:lang w:eastAsia="zh-CN"/>
        </w:rPr>
        <w:t>项目产生的废气最大落地浓度均能达到评价标准的要求，对周围环境的影响较小。</w:t>
      </w:r>
    </w:p>
    <w:p w14:paraId="1098CDA6">
      <w:pPr>
        <w:pStyle w:val="50"/>
        <w:rPr>
          <w:rFonts w:ascii="Times New Roman" w:hAnsi="Times New Roman" w:eastAsia="宋体" w:cs="Times New Roman"/>
          <w:color w:val="auto"/>
          <w:highlight w:val="none"/>
          <w:u w:val="none" w:color="auto"/>
          <w:lang w:eastAsia="zh-CN"/>
        </w:rPr>
      </w:pP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2</w:t>
      </w:r>
      <w:r>
        <w:rPr>
          <w:rFonts w:hint="eastAsia" w:ascii="Times New Roman" w:hAnsi="Times New Roman" w:eastAsia="宋体" w:cs="Times New Roman"/>
          <w:color w:val="auto"/>
          <w:highlight w:val="none"/>
          <w:u w:val="none" w:color="auto"/>
          <w:lang w:eastAsia="zh-CN"/>
        </w:rPr>
        <w:t>）</w:t>
      </w:r>
      <w:r>
        <w:rPr>
          <w:rFonts w:ascii="Times New Roman" w:hAnsi="Times New Roman" w:eastAsia="宋体" w:cs="Times New Roman"/>
          <w:color w:val="auto"/>
          <w:highlight w:val="none"/>
          <w:u w:val="none" w:color="auto"/>
          <w:lang w:eastAsia="zh-CN"/>
        </w:rPr>
        <w:t>根据导则推荐的大气环境防护距离计算公式计算结果，无组织排放各大气污染物到达厂界的无组织浓度限值满足相关浓度限值要求，无需设置大气环境防护区域。</w:t>
      </w:r>
    </w:p>
    <w:p w14:paraId="512D0088">
      <w:pPr>
        <w:pStyle w:val="50"/>
        <w:rPr>
          <w:highlight w:val="none"/>
        </w:rPr>
      </w:pPr>
      <w:r>
        <w:rPr>
          <w:rFonts w:ascii="Times New Roman" w:hAnsi="Times New Roman" w:eastAsia="宋体" w:cs="Times New Roman"/>
          <w:color w:val="auto"/>
          <w:highlight w:val="none"/>
          <w:u w:val="none" w:color="auto"/>
          <w:lang w:eastAsia="zh-CN"/>
        </w:rPr>
        <w:t>评价结果表明，本项目运营期正常工况下排放的大气污染物对周围地区空气质量影响不明显，不会造成区域大气环境质量明显下降。</w:t>
      </w:r>
    </w:p>
    <w:p w14:paraId="68229154">
      <w:pPr>
        <w:pStyle w:val="6"/>
        <w:bidi w:val="0"/>
        <w:rPr>
          <w:highlight w:val="none"/>
        </w:rPr>
      </w:pPr>
      <w:bookmarkStart w:id="181" w:name="_Toc30557"/>
      <w:bookmarkStart w:id="182" w:name="_Toc488833083"/>
      <w:r>
        <w:rPr>
          <w:highlight w:val="none"/>
        </w:rPr>
        <w:t>6.</w:t>
      </w:r>
      <w:r>
        <w:rPr>
          <w:rFonts w:hint="eastAsia"/>
          <w:highlight w:val="none"/>
          <w:lang w:val="en-US" w:eastAsia="zh-CN"/>
        </w:rPr>
        <w:t>3营运期</w:t>
      </w:r>
      <w:r>
        <w:rPr>
          <w:highlight w:val="none"/>
        </w:rPr>
        <w:t>地表水环境影响分析</w:t>
      </w:r>
      <w:bookmarkEnd w:id="181"/>
      <w:bookmarkEnd w:id="182"/>
    </w:p>
    <w:p w14:paraId="5578400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3"/>
        <w:jc w:val="both"/>
        <w:textAlignment w:val="auto"/>
        <w:rPr>
          <w:rFonts w:hint="default" w:ascii="Times New Roman" w:hAnsi="Times New Roman" w:eastAsia="宋体" w:cs="Times New Roman"/>
          <w:color w:val="auto"/>
          <w:sz w:val="24"/>
          <w:szCs w:val="24"/>
          <w:highlight w:val="none"/>
          <w:u w:val="none" w:color="auto"/>
        </w:rPr>
      </w:pPr>
      <w:r>
        <w:rPr>
          <w:rFonts w:hint="eastAsia"/>
          <w:color w:val="auto"/>
          <w:highlight w:val="none"/>
        </w:rPr>
        <w:t>根据本项目工程分析的有关内容</w:t>
      </w:r>
      <w:r>
        <w:rPr>
          <w:highlight w:val="none"/>
        </w:rPr>
        <w:t>，根据《环境影响评价技术导则</w:t>
      </w:r>
      <w:r>
        <w:rPr>
          <w:rFonts w:ascii="Times New Roman" w:hAnsi="Times New Roman" w:eastAsia="Times New Roman" w:cs="Times New Roman"/>
          <w:highlight w:val="none"/>
        </w:rPr>
        <w:t>—</w:t>
      </w:r>
      <w:r>
        <w:rPr>
          <w:highlight w:val="none"/>
        </w:rPr>
        <w:t>地表水环境》（</w:t>
      </w:r>
      <w:r>
        <w:rPr>
          <w:rFonts w:ascii="Times New Roman" w:hAnsi="Times New Roman" w:eastAsia="Times New Roman" w:cs="Times New Roman"/>
          <w:highlight w:val="none"/>
        </w:rPr>
        <w:t>HJ2.3-2018</w:t>
      </w:r>
      <w:r>
        <w:rPr>
          <w:spacing w:val="6"/>
          <w:highlight w:val="none"/>
        </w:rPr>
        <w:t>），</w:t>
      </w:r>
      <w:r>
        <w:rPr>
          <w:highlight w:val="none"/>
        </w:rPr>
        <w:t>确定项目地表</w:t>
      </w:r>
      <w:r>
        <w:rPr>
          <w:spacing w:val="-2"/>
          <w:highlight w:val="none"/>
        </w:rPr>
        <w:t>水环境评价等级为三级</w:t>
      </w:r>
      <w:r>
        <w:rPr>
          <w:spacing w:val="-39"/>
          <w:highlight w:val="none"/>
        </w:rPr>
        <w:t xml:space="preserve"> </w:t>
      </w:r>
      <w:r>
        <w:rPr>
          <w:rFonts w:ascii="Times New Roman" w:hAnsi="Times New Roman" w:eastAsia="Times New Roman" w:cs="Times New Roman"/>
          <w:spacing w:val="-2"/>
          <w:highlight w:val="none"/>
        </w:rPr>
        <w:t>B</w:t>
      </w:r>
      <w:r>
        <w:rPr>
          <w:rFonts w:ascii="Times New Roman" w:hAnsi="Times New Roman" w:eastAsia="Times New Roman" w:cs="Times New Roman"/>
          <w:spacing w:val="-28"/>
          <w:highlight w:val="none"/>
        </w:rPr>
        <w:t xml:space="preserve"> </w:t>
      </w:r>
      <w:r>
        <w:rPr>
          <w:rFonts w:hint="eastAsia" w:ascii="Times New Roman" w:hAnsi="Times New Roman" w:eastAsia="宋体" w:cs="Times New Roman"/>
          <w:spacing w:val="-28"/>
          <w:highlight w:val="none"/>
          <w:lang w:eastAsia="zh-CN"/>
        </w:rPr>
        <w:t>，</w:t>
      </w:r>
      <w:r>
        <w:rPr>
          <w:rFonts w:hint="default" w:ascii="Times New Roman" w:hAnsi="Times New Roman" w:eastAsia="宋体" w:cs="Times New Roman"/>
          <w:color w:val="auto"/>
          <w:sz w:val="24"/>
          <w:szCs w:val="24"/>
          <w:highlight w:val="none"/>
          <w:u w:val="none" w:color="auto"/>
        </w:rPr>
        <w:t>可不进行水环境影响预测。主要评价内容包括</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①水污染控制和水环境影响减缓措施有效性评价；②依托污水处理设施的环境可行性评价。</w:t>
      </w:r>
    </w:p>
    <w:p w14:paraId="24273411">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水污染控制和水环境影响减缓措施有效性评价</w:t>
      </w:r>
    </w:p>
    <w:p w14:paraId="48BA01F6">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ascii="Times New Roman" w:hAnsi="Times New Roman" w:cs="Times New Roman"/>
          <w:spacing w:val="-2"/>
          <w:kern w:val="0"/>
          <w:sz w:val="24"/>
          <w:szCs w:val="20"/>
          <w:highlight w:val="none"/>
          <w:lang w:val="en-US" w:eastAsia="zh-CN" w:bidi="ar-SA"/>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园区排水设计为“雨污分流”、“清污分流”系统。雨水经</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园区</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雨水管网收集排入</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最终</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排入新墙河。</w:t>
      </w:r>
    </w:p>
    <w:p w14:paraId="1204CE97">
      <w:pPr>
        <w:pStyle w:val="2"/>
        <w:keepNext w:val="0"/>
        <w:keepLines w:val="0"/>
        <w:pageBreakBefore w:val="0"/>
        <w:kinsoku/>
        <w:wordWrap/>
        <w:overflowPunct/>
        <w:topLinePunct w:val="0"/>
        <w:autoSpaceDE/>
        <w:autoSpaceDN/>
        <w:bidi w:val="0"/>
        <w:adjustRightInd/>
        <w:spacing w:before="0" w:after="0" w:line="360" w:lineRule="auto"/>
        <w:ind w:left="0" w:right="0"/>
        <w:jc w:val="both"/>
        <w:textAlignment w:val="auto"/>
        <w:rPr>
          <w:rFonts w:hint="eastAsia" w:ascii="Times New Roman" w:hAnsi="Times New Roman" w:eastAsia="宋体" w:cs="Times New Roman"/>
          <w:spacing w:val="-2"/>
          <w:kern w:val="0"/>
          <w:sz w:val="24"/>
          <w:szCs w:val="20"/>
          <w:highlight w:val="none"/>
          <w:lang w:val="en-US" w:eastAsia="zh-CN" w:bidi="ar-SA"/>
        </w:rPr>
      </w:pPr>
      <w:r>
        <w:rPr>
          <w:rFonts w:hint="eastAsia" w:ascii="Times New Roman" w:hAnsi="Times New Roman" w:cs="Times New Roman"/>
          <w:spacing w:val="-2"/>
          <w:kern w:val="0"/>
          <w:sz w:val="24"/>
          <w:szCs w:val="20"/>
          <w:highlight w:val="none"/>
          <w:lang w:val="en-US" w:eastAsia="zh-CN" w:bidi="ar-SA"/>
        </w:rPr>
        <w:t>项目</w:t>
      </w:r>
      <w:r>
        <w:rPr>
          <w:rFonts w:hint="eastAsia" w:ascii="Times New Roman" w:hAnsi="Times New Roman" w:eastAsia="宋体" w:cs="Times New Roman"/>
          <w:spacing w:val="-2"/>
          <w:kern w:val="0"/>
          <w:sz w:val="24"/>
          <w:szCs w:val="20"/>
          <w:highlight w:val="none"/>
          <w:lang w:val="en-US" w:eastAsia="zh-CN" w:bidi="ar-SA"/>
        </w:rPr>
        <w:t>冷却水循环利用不外排，生产用水全部进入产品</w:t>
      </w:r>
      <w:r>
        <w:rPr>
          <w:rFonts w:hint="eastAsia" w:cs="Times New Roman"/>
          <w:spacing w:val="-2"/>
          <w:kern w:val="0"/>
          <w:sz w:val="24"/>
          <w:szCs w:val="20"/>
          <w:highlight w:val="none"/>
          <w:lang w:val="en-US" w:eastAsia="zh-CN" w:bidi="ar-SA"/>
        </w:rPr>
        <w:t>不外排</w:t>
      </w:r>
      <w:r>
        <w:rPr>
          <w:rFonts w:hint="eastAsia" w:ascii="Times New Roman" w:hAnsi="Times New Roman" w:eastAsia="宋体" w:cs="Times New Roman"/>
          <w:spacing w:val="-2"/>
          <w:kern w:val="0"/>
          <w:sz w:val="24"/>
          <w:szCs w:val="20"/>
          <w:highlight w:val="none"/>
          <w:lang w:val="en-US" w:eastAsia="zh-CN" w:bidi="ar-SA"/>
        </w:rPr>
        <w:t>。</w:t>
      </w:r>
    </w:p>
    <w:p w14:paraId="6102BAB1">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outlineLvl w:val="9"/>
        <w:rPr>
          <w:rFonts w:hint="eastAsia" w:ascii="Times New Roman" w:hAnsi="Times New Roman" w:eastAsia="宋体" w:cs="Times New Roman"/>
          <w:spacing w:val="-2"/>
          <w:kern w:val="0"/>
          <w:sz w:val="24"/>
          <w:szCs w:val="20"/>
          <w:highlight w:val="none"/>
          <w:lang w:val="en-US" w:eastAsia="zh-CN" w:bidi="ar-SA"/>
        </w:rPr>
      </w:pP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本</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项目所有搅拌罐设备清洗</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用水</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量为13.5m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，设备清洗水全部回用于3T的助剂水剂搅拌罐</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，用于生产</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助剂水剂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防染剂。</w:t>
      </w:r>
      <w:r>
        <w:rPr>
          <w:rFonts w:hint="eastAsia" w:ascii="Times New Roman" w:hAnsi="Times New Roman" w:eastAsia="宋体" w:cs="Times New Roman"/>
          <w:spacing w:val="-2"/>
          <w:sz w:val="24"/>
          <w:szCs w:val="24"/>
          <w:highlight w:val="yellow"/>
          <w:lang w:val="en-US" w:eastAsia="zh-CN"/>
        </w:rPr>
        <w:t>防染剂的生产是在密闭的固体助剂车间向3T的</w:t>
      </w:r>
      <w:r>
        <w:rPr>
          <w:rFonts w:hint="default" w:ascii="Times New Roman" w:hAnsi="Times New Roman" w:eastAsia="宋体" w:cs="Times New Roman"/>
          <w:spacing w:val="-2"/>
          <w:sz w:val="24"/>
          <w:szCs w:val="24"/>
          <w:highlight w:val="yellow"/>
          <w:lang w:val="en-US" w:eastAsia="zh-CN"/>
        </w:rPr>
        <w:t>电加热搅拌釜</w:t>
      </w:r>
      <w:r>
        <w:rPr>
          <w:rFonts w:hint="eastAsia" w:ascii="Times New Roman" w:hAnsi="Times New Roman" w:eastAsia="宋体" w:cs="Times New Roman"/>
          <w:spacing w:val="-2"/>
          <w:sz w:val="24"/>
          <w:szCs w:val="24"/>
          <w:highlight w:val="yellow"/>
          <w:lang w:val="en-US" w:eastAsia="zh-CN"/>
        </w:rPr>
        <w:t>中，</w:t>
      </w:r>
      <w:r>
        <w:rPr>
          <w:rFonts w:hint="eastAsia" w:eastAsia="宋体" w:cs="Times New Roman"/>
          <w:color w:val="auto"/>
          <w:kern w:val="0"/>
          <w:sz w:val="24"/>
          <w:szCs w:val="24"/>
          <w:highlight w:val="yellow"/>
          <w:u w:val="none"/>
          <w:lang w:val="en-US" w:eastAsia="zh-CN"/>
        </w:rPr>
        <w:t>取</w:t>
      </w:r>
      <w:r>
        <w:rPr>
          <w:rFonts w:hint="eastAsia" w:ascii="Times New Roman" w:hAnsi="Times New Roman" w:eastAsia="宋体" w:cs="Times New Roman"/>
          <w:color w:val="auto"/>
          <w:kern w:val="0"/>
          <w:sz w:val="24"/>
          <w:szCs w:val="24"/>
          <w:highlight w:val="yellow"/>
          <w:u w:val="none"/>
          <w:lang w:val="en-US" w:eastAsia="zh-CN"/>
        </w:rPr>
        <w:t>本项目</w:t>
      </w:r>
      <w:r>
        <w:rPr>
          <w:rFonts w:hint="eastAsia" w:eastAsia="宋体" w:cs="Times New Roman"/>
          <w:color w:val="auto"/>
          <w:kern w:val="0"/>
          <w:sz w:val="24"/>
          <w:szCs w:val="24"/>
          <w:highlight w:val="yellow"/>
          <w:u w:val="none"/>
          <w:lang w:val="en-US" w:eastAsia="zh-CN"/>
        </w:rPr>
        <w:t>防染粉1#中间</w:t>
      </w:r>
      <w:r>
        <w:rPr>
          <w:rFonts w:hint="eastAsia" w:ascii="Times New Roman" w:hAnsi="Times New Roman" w:eastAsia="宋体" w:cs="Times New Roman"/>
          <w:color w:val="auto"/>
          <w:kern w:val="0"/>
          <w:sz w:val="24"/>
          <w:szCs w:val="24"/>
          <w:highlight w:val="yellow"/>
          <w:u w:val="none"/>
          <w:lang w:val="en-US" w:eastAsia="zh-CN"/>
        </w:rPr>
        <w:t>产品</w:t>
      </w:r>
      <w:r>
        <w:rPr>
          <w:rFonts w:hint="eastAsia" w:eastAsia="宋体" w:cs="Times New Roman"/>
          <w:color w:val="auto"/>
          <w:kern w:val="0"/>
          <w:sz w:val="24"/>
          <w:szCs w:val="24"/>
          <w:highlight w:val="yellow"/>
          <w:u w:val="none"/>
          <w:lang w:val="en-US" w:eastAsia="zh-CN"/>
        </w:rPr>
        <w:t>（</w:t>
      </w:r>
      <w:r>
        <w:rPr>
          <w:rFonts w:hint="eastAsia" w:ascii="Times New Roman" w:hAnsi="Times New Roman" w:eastAsia="宋体" w:cs="Times New Roman"/>
          <w:color w:val="auto"/>
          <w:kern w:val="0"/>
          <w:sz w:val="24"/>
          <w:szCs w:val="24"/>
          <w:highlight w:val="yellow"/>
          <w:u w:val="none"/>
          <w:lang w:val="en-US" w:eastAsia="zh-CN"/>
        </w:rPr>
        <w:t>20%</w:t>
      </w:r>
      <w:r>
        <w:rPr>
          <w:rFonts w:hint="eastAsia" w:eastAsia="宋体" w:cs="Times New Roman"/>
          <w:color w:val="auto"/>
          <w:kern w:val="0"/>
          <w:sz w:val="24"/>
          <w:szCs w:val="24"/>
          <w:highlight w:val="yellow"/>
          <w:u w:val="none"/>
          <w:lang w:val="en-US" w:eastAsia="zh-CN"/>
        </w:rPr>
        <w:t>助剂粉剂</w:t>
      </w:r>
      <w:r>
        <w:rPr>
          <w:rFonts w:hint="eastAsia" w:ascii="Times New Roman" w:hAnsi="Times New Roman" w:eastAsia="宋体" w:cs="Times New Roman"/>
          <w:color w:val="auto"/>
          <w:kern w:val="0"/>
          <w:sz w:val="24"/>
          <w:szCs w:val="24"/>
          <w:highlight w:val="yellow"/>
          <w:u w:val="none"/>
          <w:lang w:val="en-US" w:eastAsia="zh-CN"/>
        </w:rPr>
        <w:t>热浆</w:t>
      </w:r>
      <w:r>
        <w:rPr>
          <w:rFonts w:hint="eastAsia" w:eastAsia="宋体" w:cs="Times New Roman"/>
          <w:color w:val="auto"/>
          <w:kern w:val="0"/>
          <w:sz w:val="24"/>
          <w:szCs w:val="24"/>
          <w:highlight w:val="yellow"/>
          <w:u w:val="none"/>
          <w:lang w:val="en-US" w:eastAsia="zh-CN"/>
        </w:rPr>
        <w:t>）作为原材料</w:t>
      </w:r>
      <w:r>
        <w:rPr>
          <w:rFonts w:hint="eastAsia" w:ascii="Times New Roman" w:hAnsi="Times New Roman" w:eastAsia="宋体" w:cs="Times New Roman"/>
          <w:color w:val="auto"/>
          <w:kern w:val="0"/>
          <w:sz w:val="24"/>
          <w:szCs w:val="24"/>
          <w:highlight w:val="yellow"/>
          <w:u w:val="none"/>
          <w:lang w:val="en-US" w:eastAsia="zh-CN"/>
        </w:rPr>
        <w:t>加水开稀</w:t>
      </w:r>
      <w:r>
        <w:rPr>
          <w:rFonts w:hint="eastAsia" w:eastAsia="宋体" w:cs="Times New Roman"/>
          <w:color w:val="auto"/>
          <w:kern w:val="0"/>
          <w:sz w:val="24"/>
          <w:szCs w:val="24"/>
          <w:highlight w:val="yellow"/>
          <w:u w:val="none"/>
          <w:lang w:val="en-US" w:eastAsia="zh-CN"/>
        </w:rPr>
        <w:t>复配而成</w:t>
      </w:r>
      <w:r>
        <w:rPr>
          <w:rFonts w:hint="eastAsia" w:ascii="Times New Roman" w:hAnsi="Times New Roman" w:eastAsia="宋体" w:cs="Times New Roman"/>
          <w:spacing w:val="-2"/>
          <w:sz w:val="24"/>
          <w:szCs w:val="24"/>
          <w:highlight w:val="yellow"/>
          <w:lang w:val="en-US" w:eastAsia="zh-CN"/>
        </w:rPr>
        <w:t>（用水包括自来水，不足的用各搅拌罐设备的清洗水</w:t>
      </w:r>
      <w:r>
        <w:rPr>
          <w:rFonts w:hint="default" w:ascii="Times New Roman" w:hAnsi="Times New Roman" w:eastAsia="宋体" w:cs="Times New Roman"/>
          <w:spacing w:val="-2"/>
          <w:sz w:val="24"/>
          <w:szCs w:val="24"/>
          <w:highlight w:val="yellow"/>
          <w:lang w:val="en-US" w:eastAsia="zh-CN"/>
        </w:rPr>
        <w:t>回用于3T的助剂水剂搅拌罐</w:t>
      </w:r>
      <w:r>
        <w:rPr>
          <w:rFonts w:hint="eastAsia" w:eastAsia="宋体" w:cs="Times New Roman"/>
          <w:spacing w:val="-2"/>
          <w:sz w:val="24"/>
          <w:szCs w:val="24"/>
          <w:highlight w:val="yellow"/>
          <w:lang w:val="en-US" w:eastAsia="zh-CN"/>
        </w:rPr>
        <w:t>，由于本项目搅拌罐清洗次数很少，每次用水量很少，同时</w:t>
      </w:r>
      <w:r>
        <w:rPr>
          <w:rFonts w:hint="eastAsia" w:ascii="Times New Roman" w:hAnsi="Times New Roman" w:eastAsia="宋体" w:cs="Times New Roman"/>
          <w:spacing w:val="-2"/>
          <w:sz w:val="24"/>
          <w:szCs w:val="24"/>
          <w:highlight w:val="yellow"/>
          <w:lang w:val="en-US" w:eastAsia="zh-CN"/>
        </w:rPr>
        <w:t>各搅拌罐设备的清洗水</w:t>
      </w:r>
      <w:r>
        <w:rPr>
          <w:rFonts w:hint="eastAsia" w:eastAsia="宋体" w:cs="Times New Roman"/>
          <w:spacing w:val="-2"/>
          <w:sz w:val="24"/>
          <w:szCs w:val="24"/>
          <w:highlight w:val="yellow"/>
          <w:lang w:val="en-US" w:eastAsia="zh-CN"/>
        </w:rPr>
        <w:t>中残留的少量原材料不影响防染剂产品质量，因此搅拌罐清洗水回用于生产助剂水剂——防染剂可行</w:t>
      </w:r>
      <w:r>
        <w:rPr>
          <w:rFonts w:hint="eastAsia" w:ascii="Times New Roman" w:hAnsi="Times New Roman" w:eastAsia="宋体" w:cs="Times New Roman"/>
          <w:spacing w:val="-2"/>
          <w:sz w:val="24"/>
          <w:szCs w:val="24"/>
          <w:highlight w:val="yellow"/>
          <w:lang w:val="en-US" w:eastAsia="zh-CN"/>
        </w:rPr>
        <w:t>）</w:t>
      </w:r>
      <w:r>
        <w:rPr>
          <w:rFonts w:hint="eastAsia" w:ascii="Times New Roman" w:eastAsia="宋体" w:cs="Times New Roman"/>
          <w:spacing w:val="-2"/>
          <w:sz w:val="24"/>
          <w:szCs w:val="24"/>
          <w:highlight w:val="yellow"/>
          <w:lang w:val="en-US" w:eastAsia="zh-CN"/>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因此本项目产生的</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搅拌罐</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设备清洗水全部二次</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利用</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，回用于助剂水剂</w:t>
      </w:r>
      <w:r>
        <w:rPr>
          <w:rFonts w:hint="eastAsia" w:eastAsia="宋体" w:cs="Times New Roman"/>
          <w:spacing w:val="-2"/>
          <w:sz w:val="24"/>
          <w:szCs w:val="24"/>
          <w:highlight w:val="yellow"/>
          <w:lang w:val="en-US" w:eastAsia="zh-CN"/>
        </w:rPr>
        <w:t>——防染剂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中</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不</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外排。</w:t>
      </w:r>
    </w:p>
    <w:p w14:paraId="7B032382">
      <w:pPr>
        <w:pStyle w:val="2"/>
        <w:keepNext w:val="0"/>
        <w:keepLines w:val="0"/>
        <w:pageBreakBefore w:val="0"/>
        <w:kinsoku/>
        <w:wordWrap/>
        <w:overflowPunct/>
        <w:topLinePunct w:val="0"/>
        <w:autoSpaceDE/>
        <w:autoSpaceDN/>
        <w:bidi w:val="0"/>
        <w:adjustRightInd/>
        <w:spacing w:before="0" w:after="0" w:line="360" w:lineRule="auto"/>
        <w:ind w:left="0" w:right="0"/>
        <w:jc w:val="both"/>
        <w:textAlignment w:val="auto"/>
        <w:rPr>
          <w:rFonts w:hint="eastAsia" w:ascii="Times New Roman" w:hAnsi="Times New Roman" w:eastAsia="宋体" w:cs="Times New Roman"/>
          <w:spacing w:val="-2"/>
          <w:kern w:val="0"/>
          <w:sz w:val="24"/>
          <w:szCs w:val="20"/>
          <w:highlight w:val="none"/>
          <w:lang w:val="en-US" w:eastAsia="zh-CN" w:bidi="ar-SA"/>
        </w:rPr>
      </w:pPr>
      <w:r>
        <w:rPr>
          <w:rFonts w:hint="eastAsia" w:ascii="Times New Roman" w:hAnsi="Times New Roman" w:eastAsia="宋体" w:cs="Times New Roman"/>
          <w:spacing w:val="-2"/>
          <w:kern w:val="0"/>
          <w:sz w:val="24"/>
          <w:szCs w:val="20"/>
          <w:highlight w:val="none"/>
          <w:lang w:val="en-US" w:eastAsia="zh-CN" w:bidi="ar-SA"/>
        </w:rPr>
        <w:t>运营期间搅拌釜设备附近会沉降少量原料粉尘，建设单位拟对其进行清扫收集回收利用，厂区地面无需冲洗，只需要用拖把进行拖地，拖把清洗会产生少量废水。</w:t>
      </w:r>
    </w:p>
    <w:p w14:paraId="28CA5BD0">
      <w:pPr>
        <w:pStyle w:val="2"/>
        <w:keepNext w:val="0"/>
        <w:keepLines w:val="0"/>
        <w:pageBreakBefore w:val="0"/>
        <w:kinsoku/>
        <w:wordWrap/>
        <w:overflowPunct/>
        <w:topLinePunct w:val="0"/>
        <w:autoSpaceDE/>
        <w:autoSpaceDN/>
        <w:bidi w:val="0"/>
        <w:adjustRightInd/>
        <w:spacing w:before="0" w:after="0" w:line="360" w:lineRule="auto"/>
        <w:ind w:left="0" w:right="0"/>
        <w:jc w:val="both"/>
        <w:textAlignment w:val="auto"/>
        <w:rPr>
          <w:rFonts w:hint="eastAsia" w:ascii="Times New Roman" w:hAnsi="Times New Roman" w:cs="Times New Roman"/>
          <w:spacing w:val="1"/>
          <w:highlight w:val="none"/>
          <w:lang w:val="en-US" w:eastAsia="zh-CN"/>
        </w:rPr>
      </w:pPr>
      <w:r>
        <w:rPr>
          <w:rFonts w:hint="eastAsia" w:ascii="Times New Roman" w:hAnsi="Times New Roman" w:eastAsia="宋体" w:cs="Times New Roman"/>
          <w:spacing w:val="-2"/>
          <w:kern w:val="0"/>
          <w:sz w:val="24"/>
          <w:szCs w:val="20"/>
          <w:highlight w:val="none"/>
          <w:lang w:val="en-US" w:eastAsia="zh-CN" w:bidi="ar-SA"/>
        </w:rPr>
        <w:t>地面清洁废水经</w:t>
      </w:r>
      <w:r>
        <w:rPr>
          <w:rFonts w:hint="eastAsia" w:cs="Times New Roman"/>
          <w:spacing w:val="-2"/>
          <w:kern w:val="0"/>
          <w:sz w:val="24"/>
          <w:szCs w:val="20"/>
          <w:highlight w:val="none"/>
          <w:lang w:val="en-US" w:eastAsia="zh-CN" w:bidi="ar-SA"/>
        </w:rPr>
        <w:t>1立方米的</w:t>
      </w:r>
      <w:r>
        <w:rPr>
          <w:rFonts w:hint="eastAsia" w:ascii="Times New Roman" w:hAnsi="Times New Roman" w:eastAsia="宋体" w:cs="Times New Roman"/>
          <w:spacing w:val="-2"/>
          <w:kern w:val="0"/>
          <w:sz w:val="24"/>
          <w:szCs w:val="20"/>
          <w:highlight w:val="none"/>
          <w:lang w:val="en-US" w:eastAsia="zh-CN" w:bidi="ar-SA"/>
        </w:rPr>
        <w:t>沉淀池沉淀后同纯水制备浓水一起进入园区污水管网，</w:t>
      </w:r>
      <w:r>
        <w:rPr>
          <w:spacing w:val="1"/>
          <w:highlight w:val="none"/>
        </w:rPr>
        <w:t>生活污水</w:t>
      </w:r>
      <w:r>
        <w:rPr>
          <w:rFonts w:hint="eastAsia"/>
          <w:spacing w:val="1"/>
          <w:highlight w:val="none"/>
        </w:rPr>
        <w:t>依托园区创新创业基地</w:t>
      </w:r>
      <w:r>
        <w:rPr>
          <w:spacing w:val="1"/>
          <w:highlight w:val="none"/>
        </w:rPr>
        <w:t>隔油池</w:t>
      </w:r>
      <w:r>
        <w:rPr>
          <w:rFonts w:ascii="Times New Roman" w:hAnsi="Times New Roman" w:eastAsia="Times New Roman" w:cs="Times New Roman"/>
          <w:spacing w:val="1"/>
          <w:highlight w:val="none"/>
        </w:rPr>
        <w:t>+</w:t>
      </w:r>
      <w:r>
        <w:rPr>
          <w:spacing w:val="1"/>
          <w:highlight w:val="none"/>
        </w:rPr>
        <w:t>化粪池</w:t>
      </w:r>
      <w:r>
        <w:rPr>
          <w:highlight w:val="none"/>
        </w:rPr>
        <w:t>预处理后达到《污水</w:t>
      </w:r>
      <w:r>
        <w:rPr>
          <w:spacing w:val="1"/>
          <w:highlight w:val="none"/>
        </w:rPr>
        <w:t>综合排放标准》（</w:t>
      </w:r>
      <w:r>
        <w:rPr>
          <w:rFonts w:ascii="Times New Roman" w:hAnsi="Times New Roman" w:eastAsia="Times New Roman" w:cs="Times New Roman"/>
          <w:highlight w:val="none"/>
        </w:rPr>
        <w:t>GB</w:t>
      </w:r>
      <w:r>
        <w:rPr>
          <w:rFonts w:ascii="Times New Roman" w:hAnsi="Times New Roman" w:eastAsia="Times New Roman" w:cs="Times New Roman"/>
          <w:spacing w:val="1"/>
          <w:highlight w:val="none"/>
        </w:rPr>
        <w:t>16297-1996</w:t>
      </w:r>
      <w:r>
        <w:rPr>
          <w:spacing w:val="1"/>
          <w:highlight w:val="none"/>
        </w:rPr>
        <w:t>）表</w:t>
      </w:r>
      <w:r>
        <w:rPr>
          <w:spacing w:val="-53"/>
          <w:highlight w:val="none"/>
        </w:rPr>
        <w:t xml:space="preserve"> </w:t>
      </w:r>
      <w:r>
        <w:rPr>
          <w:rFonts w:ascii="Times New Roman" w:hAnsi="Times New Roman" w:eastAsia="Times New Roman" w:cs="Times New Roman"/>
          <w:spacing w:val="1"/>
          <w:highlight w:val="none"/>
        </w:rPr>
        <w:t>4</w:t>
      </w:r>
      <w:r>
        <w:rPr>
          <w:spacing w:val="1"/>
          <w:highlight w:val="none"/>
        </w:rPr>
        <w:t>的三级标准后及污水处理厂进水水质标</w:t>
      </w:r>
      <w:r>
        <w:rPr>
          <w:spacing w:val="-2"/>
          <w:highlight w:val="none"/>
        </w:rPr>
        <w:t>准，排</w:t>
      </w:r>
      <w:r>
        <w:rPr>
          <w:rFonts w:ascii="Times New Roman" w:hAnsi="Times New Roman" w:cs="Times New Roman"/>
          <w:spacing w:val="1"/>
          <w:highlight w:val="none"/>
        </w:rPr>
        <w:t>入</w:t>
      </w:r>
      <w:r>
        <w:rPr>
          <w:rFonts w:hint="eastAsia" w:ascii="Times New Roman" w:hAnsi="Times New Roman" w:cs="Times New Roman"/>
          <w:spacing w:val="1"/>
          <w:highlight w:val="none"/>
          <w:lang w:val="en-US" w:eastAsia="zh-CN"/>
        </w:rPr>
        <w:t>园区污水管网，进入岳阳高新技术产业园区污水处理厂处理达标后排入新墙河。</w:t>
      </w:r>
    </w:p>
    <w:p w14:paraId="447A7FD6">
      <w:pPr>
        <w:pStyle w:val="2"/>
        <w:keepNext w:val="0"/>
        <w:keepLines w:val="0"/>
        <w:pageBreakBefore w:val="0"/>
        <w:kinsoku/>
        <w:wordWrap/>
        <w:overflowPunct/>
        <w:topLinePunct w:val="0"/>
        <w:autoSpaceDE/>
        <w:autoSpaceDN/>
        <w:bidi w:val="0"/>
        <w:adjustRightInd/>
        <w:spacing w:before="0" w:after="0" w:line="360" w:lineRule="auto"/>
        <w:ind w:left="0" w:right="0"/>
        <w:jc w:val="both"/>
        <w:textAlignment w:val="auto"/>
        <w:rPr>
          <w:rFonts w:ascii="Arial"/>
          <w:sz w:val="21"/>
          <w:highlight w:val="none"/>
        </w:rPr>
      </w:pPr>
      <w:r>
        <w:rPr>
          <w:rFonts w:hint="eastAsia" w:ascii="Times New Roman" w:hAnsi="Times New Roman" w:cs="Times New Roman"/>
          <w:spacing w:val="1"/>
          <w:highlight w:val="none"/>
          <w:lang w:val="en-US" w:eastAsia="zh-CN"/>
        </w:rPr>
        <w:t>因此，</w:t>
      </w:r>
      <w:r>
        <w:rPr>
          <w:rFonts w:hint="default" w:ascii="Times New Roman" w:hAnsi="Times New Roman" w:cs="Times New Roman"/>
          <w:spacing w:val="1"/>
          <w:highlight w:val="none"/>
          <w:lang w:val="en-US" w:eastAsia="zh-CN"/>
        </w:rPr>
        <w:t>项目外排废水为职工生活污水（含食堂废水）和纯水制备浓水、地面清洁废水。</w:t>
      </w:r>
      <w:r>
        <w:rPr>
          <w:rFonts w:hint="eastAsia" w:ascii="Times New Roman" w:hAnsi="Times New Roman" w:cs="Times New Roman"/>
          <w:spacing w:val="1"/>
          <w:highlight w:val="none"/>
          <w:lang w:val="en-US" w:eastAsia="zh-CN"/>
        </w:rPr>
        <w:t>废水的外排量为779.2t/a。</w:t>
      </w:r>
      <w:r>
        <w:rPr>
          <w:rFonts w:ascii="Times New Roman" w:hAnsi="Times New Roman" w:cs="Times New Roman"/>
          <w:spacing w:val="1"/>
          <w:highlight w:val="none"/>
        </w:rPr>
        <w:t>综上本项目对地表水的影响很小。</w:t>
      </w:r>
    </w:p>
    <w:p w14:paraId="385B829A">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依托污水处理设施的环境可行性评价</w:t>
      </w:r>
    </w:p>
    <w:p w14:paraId="341085C3">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highlight w:val="none"/>
        </w:rPr>
      </w:pPr>
      <w:r>
        <w:rPr>
          <w:spacing w:val="4"/>
          <w:highlight w:val="none"/>
        </w:rPr>
        <w:t>岳阳高新技术产业园区污水处理厂位于岳阳高新技术产业园荣湾镇东方村</w:t>
      </w:r>
      <w:r>
        <w:rPr>
          <w:spacing w:val="-2"/>
          <w:highlight w:val="none"/>
        </w:rPr>
        <w:t>（京广高铁西侧空地</w:t>
      </w:r>
      <w:r>
        <w:rPr>
          <w:spacing w:val="-19"/>
          <w:highlight w:val="none"/>
        </w:rPr>
        <w:t>），</w:t>
      </w:r>
      <w:r>
        <w:rPr>
          <w:spacing w:val="-2"/>
          <w:highlight w:val="none"/>
        </w:rPr>
        <w:t>全部为新征地。污水处理厂建</w:t>
      </w:r>
      <w:r>
        <w:rPr>
          <w:rFonts w:hint="eastAsia"/>
          <w:spacing w:val="-2"/>
          <w:highlight w:val="none"/>
          <w:lang w:val="en-US" w:eastAsia="zh-CN"/>
        </w:rPr>
        <w:t>设</w:t>
      </w:r>
      <w:r>
        <w:rPr>
          <w:spacing w:val="-2"/>
          <w:highlight w:val="none"/>
        </w:rPr>
        <w:t>场地位于岳阳县荣家湾</w:t>
      </w:r>
      <w:r>
        <w:rPr>
          <w:spacing w:val="-3"/>
          <w:highlight w:val="none"/>
        </w:rPr>
        <w:t>镇东方村京广高铁西侧，总用地面积约为</w:t>
      </w:r>
      <w:r>
        <w:rPr>
          <w:spacing w:val="-50"/>
          <w:highlight w:val="none"/>
        </w:rPr>
        <w:t xml:space="preserve"> </w:t>
      </w:r>
      <w:r>
        <w:rPr>
          <w:rFonts w:ascii="Times New Roman" w:hAnsi="Times New Roman" w:eastAsia="Times New Roman" w:cs="Times New Roman"/>
          <w:spacing w:val="-3"/>
          <w:highlight w:val="none"/>
        </w:rPr>
        <w:t>38750m</w:t>
      </w:r>
      <w:r>
        <w:rPr>
          <w:rFonts w:ascii="Times New Roman" w:hAnsi="Times New Roman" w:eastAsia="Times New Roman" w:cs="Times New Roman"/>
          <w:spacing w:val="-3"/>
          <w:position w:val="7"/>
          <w:sz w:val="15"/>
          <w:szCs w:val="15"/>
          <w:highlight w:val="none"/>
        </w:rPr>
        <w:t>2</w:t>
      </w:r>
      <w:r>
        <w:rPr>
          <w:spacing w:val="-3"/>
          <w:highlight w:val="none"/>
        </w:rPr>
        <w:t>（合</w:t>
      </w:r>
      <w:r>
        <w:rPr>
          <w:spacing w:val="-49"/>
          <w:highlight w:val="none"/>
        </w:rPr>
        <w:t xml:space="preserve"> </w:t>
      </w:r>
      <w:r>
        <w:rPr>
          <w:rFonts w:ascii="Times New Roman" w:hAnsi="Times New Roman" w:eastAsia="Times New Roman" w:cs="Times New Roman"/>
          <w:spacing w:val="-3"/>
          <w:highlight w:val="none"/>
        </w:rPr>
        <w:t>58.</w:t>
      </w:r>
      <w:r>
        <w:rPr>
          <w:rFonts w:ascii="Times New Roman" w:hAnsi="Times New Roman" w:eastAsia="Times New Roman" w:cs="Times New Roman"/>
          <w:spacing w:val="-32"/>
          <w:highlight w:val="none"/>
        </w:rPr>
        <w:t xml:space="preserve"> </w:t>
      </w:r>
      <w:r>
        <w:rPr>
          <w:rFonts w:ascii="Times New Roman" w:hAnsi="Times New Roman" w:eastAsia="Times New Roman" w:cs="Times New Roman"/>
          <w:spacing w:val="-3"/>
          <w:highlight w:val="none"/>
        </w:rPr>
        <w:t xml:space="preserve">125 </w:t>
      </w:r>
      <w:r>
        <w:rPr>
          <w:spacing w:val="-3"/>
          <w:highlight w:val="none"/>
        </w:rPr>
        <w:t>亩</w:t>
      </w:r>
      <w:r>
        <w:rPr>
          <w:spacing w:val="-24"/>
          <w:highlight w:val="none"/>
        </w:rPr>
        <w:t>），</w:t>
      </w:r>
      <w:r>
        <w:rPr>
          <w:spacing w:val="-4"/>
          <w:highlight w:val="none"/>
        </w:rPr>
        <w:t>岳阳高新技</w:t>
      </w:r>
      <w:r>
        <w:rPr>
          <w:spacing w:val="-3"/>
          <w:highlight w:val="none"/>
        </w:rPr>
        <w:t>术产业园区现有岳阳高新技术产业园区污水处理厂集中处理主区废水，岳阳高新</w:t>
      </w:r>
      <w:r>
        <w:rPr>
          <w:spacing w:val="7"/>
          <w:highlight w:val="none"/>
        </w:rPr>
        <w:t>技术产业园区污水处理厂的近期设计规模为：</w:t>
      </w:r>
      <w:r>
        <w:rPr>
          <w:rFonts w:ascii="Times New Roman" w:hAnsi="Times New Roman" w:eastAsia="Times New Roman" w:cs="Times New Roman"/>
          <w:spacing w:val="7"/>
          <w:highlight w:val="none"/>
        </w:rPr>
        <w:t>1</w:t>
      </w:r>
      <w:r>
        <w:rPr>
          <w:rFonts w:ascii="Times New Roman" w:hAnsi="Times New Roman" w:eastAsia="Times New Roman" w:cs="Times New Roman"/>
          <w:spacing w:val="6"/>
          <w:highlight w:val="none"/>
        </w:rPr>
        <w:t>0000m</w:t>
      </w:r>
      <w:r>
        <w:rPr>
          <w:rFonts w:ascii="Times New Roman" w:hAnsi="Times New Roman" w:eastAsia="Times New Roman" w:cs="Times New Roman"/>
          <w:spacing w:val="6"/>
          <w:position w:val="7"/>
          <w:sz w:val="15"/>
          <w:szCs w:val="15"/>
          <w:highlight w:val="none"/>
        </w:rPr>
        <w:t>3</w:t>
      </w:r>
      <w:r>
        <w:rPr>
          <w:rFonts w:ascii="Times New Roman" w:hAnsi="Times New Roman" w:eastAsia="Times New Roman" w:cs="Times New Roman"/>
          <w:spacing w:val="6"/>
          <w:highlight w:val="none"/>
        </w:rPr>
        <w:t>/d</w:t>
      </w:r>
      <w:r>
        <w:rPr>
          <w:rFonts w:ascii="Times New Roman" w:hAnsi="Times New Roman" w:eastAsia="Times New Roman" w:cs="Times New Roman"/>
          <w:spacing w:val="-22"/>
          <w:highlight w:val="none"/>
        </w:rPr>
        <w:t xml:space="preserve"> </w:t>
      </w:r>
      <w:r>
        <w:rPr>
          <w:spacing w:val="6"/>
          <w:highlight w:val="none"/>
        </w:rPr>
        <w:t>，远期设计处理规模</w:t>
      </w:r>
      <w:r>
        <w:rPr>
          <w:highlight w:val="none"/>
        </w:rPr>
        <w:t xml:space="preserve"> </w:t>
      </w:r>
      <w:r>
        <w:rPr>
          <w:rFonts w:ascii="Times New Roman" w:hAnsi="Times New Roman" w:eastAsia="Times New Roman" w:cs="Times New Roman"/>
          <w:spacing w:val="-3"/>
          <w:highlight w:val="none"/>
        </w:rPr>
        <w:t>30000m</w:t>
      </w:r>
      <w:r>
        <w:rPr>
          <w:rFonts w:ascii="Times New Roman" w:hAnsi="Times New Roman" w:eastAsia="Times New Roman" w:cs="Times New Roman"/>
          <w:spacing w:val="-3"/>
          <w:position w:val="7"/>
          <w:sz w:val="15"/>
          <w:szCs w:val="15"/>
          <w:highlight w:val="none"/>
        </w:rPr>
        <w:t>3</w:t>
      </w:r>
      <w:r>
        <w:rPr>
          <w:rFonts w:ascii="Times New Roman" w:hAnsi="Times New Roman" w:eastAsia="Times New Roman" w:cs="Times New Roman"/>
          <w:spacing w:val="-3"/>
          <w:highlight w:val="none"/>
        </w:rPr>
        <w:t>/d</w:t>
      </w:r>
      <w:r>
        <w:rPr>
          <w:spacing w:val="-3"/>
          <w:highlight w:val="none"/>
        </w:rPr>
        <w:t>，包括高新技术产业园生活污水和工业企业经预处理排放的生产废水。根据工业园规划，该污水处理厂服务范围为岳阳高新技术产业园区，具体为：西至武广高速铁路，南至跃进村一方杨村一线，东至划船塘水库，北至金城路。本</w:t>
      </w:r>
      <w:r>
        <w:rPr>
          <w:spacing w:val="-1"/>
          <w:highlight w:val="none"/>
        </w:rPr>
        <w:t>项目位于该污水处理厂服务范围内。</w:t>
      </w:r>
    </w:p>
    <w:p w14:paraId="5A8D244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7"/>
        <w:jc w:val="both"/>
        <w:textAlignment w:val="auto"/>
        <w:rPr>
          <w:highlight w:val="none"/>
        </w:rPr>
      </w:pPr>
      <w:r>
        <w:rPr>
          <w:highlight w:val="none"/>
        </w:rPr>
        <w:t>根据调查，岳阳高新技术产业园区污水处理厂采用</w:t>
      </w:r>
      <w:r>
        <w:rPr>
          <w:rFonts w:ascii="Times New Roman" w:hAnsi="Times New Roman" w:eastAsia="Times New Roman" w:cs="Times New Roman"/>
          <w:highlight w:val="none"/>
        </w:rPr>
        <w:t>“</w:t>
      </w:r>
      <w:r>
        <w:rPr>
          <w:highlight w:val="none"/>
        </w:rPr>
        <w:t>预处</w:t>
      </w:r>
      <w:r>
        <w:rPr>
          <w:spacing w:val="-1"/>
          <w:highlight w:val="none"/>
        </w:rPr>
        <w:t>理</w:t>
      </w:r>
      <w:r>
        <w:rPr>
          <w:rFonts w:ascii="Times New Roman" w:hAnsi="Times New Roman" w:eastAsia="Times New Roman" w:cs="Times New Roman"/>
          <w:spacing w:val="-1"/>
          <w:highlight w:val="none"/>
        </w:rPr>
        <w:t>+</w:t>
      </w:r>
      <w:r>
        <w:rPr>
          <w:spacing w:val="-1"/>
          <w:highlight w:val="none"/>
        </w:rPr>
        <w:t>水解酸化</w:t>
      </w:r>
      <w:r>
        <w:rPr>
          <w:rFonts w:ascii="Times New Roman" w:hAnsi="Times New Roman" w:eastAsia="Times New Roman" w:cs="Times New Roman"/>
          <w:spacing w:val="-1"/>
          <w:highlight w:val="none"/>
        </w:rPr>
        <w:t>+</w:t>
      </w:r>
      <w:r>
        <w:rPr>
          <w:spacing w:val="-1"/>
          <w:highlight w:val="none"/>
        </w:rPr>
        <w:t>改良</w:t>
      </w:r>
      <w:r>
        <w:rPr>
          <w:highlight w:val="none"/>
        </w:rPr>
        <w:t xml:space="preserve"> </w:t>
      </w:r>
      <w:r>
        <w:rPr>
          <w:rFonts w:ascii="Times New Roman" w:hAnsi="Times New Roman" w:eastAsia="Times New Roman" w:cs="Times New Roman"/>
          <w:highlight w:val="none"/>
        </w:rPr>
        <w:t>AAO</w:t>
      </w:r>
      <w:r>
        <w:rPr>
          <w:rFonts w:ascii="Times New Roman" w:hAnsi="Times New Roman" w:eastAsia="Times New Roman" w:cs="Times New Roman"/>
          <w:spacing w:val="2"/>
          <w:highlight w:val="none"/>
        </w:rPr>
        <w:t>+</w:t>
      </w:r>
      <w:r>
        <w:rPr>
          <w:spacing w:val="2"/>
          <w:highlight w:val="none"/>
        </w:rPr>
        <w:t>高密沉淀</w:t>
      </w:r>
      <w:r>
        <w:rPr>
          <w:rFonts w:ascii="Times New Roman" w:hAnsi="Times New Roman" w:eastAsia="Times New Roman" w:cs="Times New Roman"/>
          <w:spacing w:val="2"/>
          <w:highlight w:val="none"/>
        </w:rPr>
        <w:t>+</w:t>
      </w:r>
      <w:r>
        <w:rPr>
          <w:spacing w:val="2"/>
          <w:highlight w:val="none"/>
        </w:rPr>
        <w:t>活性砂滤池</w:t>
      </w:r>
      <w:r>
        <w:rPr>
          <w:rFonts w:ascii="Times New Roman" w:hAnsi="Times New Roman" w:eastAsia="Times New Roman" w:cs="Times New Roman"/>
          <w:spacing w:val="2"/>
          <w:highlight w:val="none"/>
        </w:rPr>
        <w:t>+</w:t>
      </w:r>
      <w:r>
        <w:rPr>
          <w:spacing w:val="2"/>
          <w:highlight w:val="none"/>
        </w:rPr>
        <w:t>消毒</w:t>
      </w:r>
      <w:r>
        <w:rPr>
          <w:rFonts w:ascii="Times New Roman" w:hAnsi="Times New Roman" w:eastAsia="Times New Roman" w:cs="Times New Roman"/>
          <w:spacing w:val="2"/>
          <w:highlight w:val="none"/>
        </w:rPr>
        <w:t>”</w:t>
      </w:r>
      <w:r>
        <w:rPr>
          <w:spacing w:val="2"/>
          <w:highlight w:val="none"/>
        </w:rPr>
        <w:t>工艺，尾水达到《城镇污水处理厂污染物排</w:t>
      </w:r>
      <w:r>
        <w:rPr>
          <w:spacing w:val="5"/>
          <w:highlight w:val="none"/>
        </w:rPr>
        <w:t xml:space="preserve"> </w:t>
      </w:r>
      <w:r>
        <w:rPr>
          <w:spacing w:val="-2"/>
          <w:highlight w:val="none"/>
        </w:rPr>
        <w:t>放标准》（</w:t>
      </w:r>
      <w:r>
        <w:rPr>
          <w:rFonts w:ascii="Times New Roman" w:hAnsi="Times New Roman" w:eastAsia="Times New Roman" w:cs="Times New Roman"/>
          <w:spacing w:val="-2"/>
          <w:highlight w:val="none"/>
        </w:rPr>
        <w:t>GB18918-2002</w:t>
      </w:r>
      <w:r>
        <w:rPr>
          <w:spacing w:val="-2"/>
          <w:highlight w:val="none"/>
        </w:rPr>
        <w:t xml:space="preserve">）中一级 </w:t>
      </w:r>
      <w:r>
        <w:rPr>
          <w:rFonts w:ascii="Times New Roman" w:hAnsi="Times New Roman" w:eastAsia="Times New Roman" w:cs="Times New Roman"/>
          <w:spacing w:val="-2"/>
          <w:highlight w:val="none"/>
        </w:rPr>
        <w:t>A</w:t>
      </w:r>
      <w:r>
        <w:rPr>
          <w:spacing w:val="-2"/>
          <w:highlight w:val="none"/>
        </w:rPr>
        <w:t>标准后于新墙河铁路桥下游排入新墙河。</w:t>
      </w:r>
    </w:p>
    <w:p w14:paraId="0ED7B63C">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1"/>
        <w:jc w:val="both"/>
        <w:textAlignment w:val="auto"/>
        <w:rPr>
          <w:spacing w:val="-1"/>
          <w:highlight w:val="none"/>
        </w:rPr>
      </w:pPr>
      <w:r>
        <w:rPr>
          <w:spacing w:val="-2"/>
          <w:highlight w:val="none"/>
        </w:rPr>
        <w:t>本项目废水总排放量</w:t>
      </w:r>
      <w:r>
        <w:rPr>
          <w:rFonts w:hint="eastAsia"/>
          <w:spacing w:val="-2"/>
          <w:highlight w:val="none"/>
          <w:lang w:val="en-US" w:eastAsia="zh-CN"/>
        </w:rPr>
        <w:t>约</w:t>
      </w:r>
      <w:r>
        <w:rPr>
          <w:spacing w:val="-2"/>
          <w:highlight w:val="none"/>
        </w:rPr>
        <w:t>为</w:t>
      </w:r>
      <w:r>
        <w:rPr>
          <w:spacing w:val="-45"/>
          <w:highlight w:val="none"/>
        </w:rPr>
        <w:t xml:space="preserve"> </w:t>
      </w:r>
      <w:r>
        <w:rPr>
          <w:rFonts w:hint="eastAsia" w:ascii="Times New Roman" w:hAnsi="Times New Roman" w:eastAsia="宋体" w:cs="Times New Roman"/>
          <w:spacing w:val="-2"/>
          <w:highlight w:val="none"/>
          <w:lang w:val="en-US" w:eastAsia="zh-CN"/>
        </w:rPr>
        <w:t xml:space="preserve">2.6 </w:t>
      </w:r>
      <w:r>
        <w:rPr>
          <w:rFonts w:ascii="Times New Roman" w:hAnsi="Times New Roman" w:eastAsia="Times New Roman" w:cs="Times New Roman"/>
          <w:spacing w:val="-2"/>
          <w:highlight w:val="none"/>
        </w:rPr>
        <w:t>m</w:t>
      </w:r>
      <w:r>
        <w:rPr>
          <w:rFonts w:ascii="Times New Roman" w:hAnsi="Times New Roman" w:eastAsia="Times New Roman" w:cs="Times New Roman"/>
          <w:spacing w:val="-2"/>
          <w:position w:val="7"/>
          <w:sz w:val="15"/>
          <w:szCs w:val="15"/>
          <w:highlight w:val="none"/>
        </w:rPr>
        <w:t>3</w:t>
      </w:r>
      <w:r>
        <w:rPr>
          <w:rFonts w:ascii="Times New Roman" w:hAnsi="Times New Roman" w:eastAsia="Times New Roman" w:cs="Times New Roman"/>
          <w:spacing w:val="-2"/>
          <w:highlight w:val="none"/>
        </w:rPr>
        <w:t>/d</w:t>
      </w:r>
      <w:r>
        <w:rPr>
          <w:spacing w:val="-2"/>
          <w:highlight w:val="none"/>
        </w:rPr>
        <w:t>，仅占湖南岳阳高新技术产业</w:t>
      </w:r>
      <w:r>
        <w:rPr>
          <w:spacing w:val="-3"/>
          <w:highlight w:val="none"/>
        </w:rPr>
        <w:t>园区污水处理厂设</w:t>
      </w:r>
      <w:r>
        <w:rPr>
          <w:highlight w:val="none"/>
        </w:rPr>
        <w:t>计处理能力的</w:t>
      </w:r>
      <w:r>
        <w:rPr>
          <w:spacing w:val="-34"/>
          <w:highlight w:val="none"/>
        </w:rPr>
        <w:t xml:space="preserve"> </w:t>
      </w:r>
      <w:r>
        <w:rPr>
          <w:rFonts w:ascii="Times New Roman" w:hAnsi="Times New Roman" w:eastAsia="Times New Roman" w:cs="Times New Roman"/>
          <w:highlight w:val="none"/>
        </w:rPr>
        <w:t>0.0</w:t>
      </w:r>
      <w:r>
        <w:rPr>
          <w:rFonts w:hint="eastAsia" w:ascii="Times New Roman" w:hAnsi="Times New Roman" w:eastAsia="宋体" w:cs="Times New Roman"/>
          <w:highlight w:val="none"/>
          <w:lang w:val="en-US" w:eastAsia="zh-CN"/>
        </w:rPr>
        <w:t>26</w:t>
      </w:r>
      <w:r>
        <w:rPr>
          <w:rFonts w:ascii="Times New Roman" w:hAnsi="Times New Roman" w:eastAsia="Times New Roman" w:cs="Times New Roman"/>
          <w:highlight w:val="none"/>
        </w:rPr>
        <w:t>%</w:t>
      </w:r>
      <w:r>
        <w:rPr>
          <w:rFonts w:ascii="Times New Roman" w:hAnsi="Times New Roman" w:eastAsia="Times New Roman" w:cs="Times New Roman"/>
          <w:spacing w:val="-27"/>
          <w:highlight w:val="none"/>
        </w:rPr>
        <w:t xml:space="preserve"> </w:t>
      </w:r>
      <w:r>
        <w:rPr>
          <w:highlight w:val="none"/>
        </w:rPr>
        <w:t>，且本项目外排废水为</w:t>
      </w:r>
      <w:r>
        <w:rPr>
          <w:rFonts w:hint="eastAsia" w:ascii="Times New Roman" w:hAnsi="Times New Roman" w:eastAsia="宋体" w:cs="Times New Roman"/>
          <w:spacing w:val="-2"/>
          <w:kern w:val="0"/>
          <w:sz w:val="24"/>
          <w:szCs w:val="20"/>
          <w:highlight w:val="none"/>
          <w:lang w:val="en-US" w:eastAsia="zh-CN" w:bidi="ar-SA"/>
        </w:rPr>
        <w:t>地面清洁废水</w:t>
      </w:r>
      <w:r>
        <w:rPr>
          <w:rFonts w:hint="eastAsia" w:cs="Times New Roman"/>
          <w:spacing w:val="-2"/>
          <w:kern w:val="0"/>
          <w:sz w:val="24"/>
          <w:szCs w:val="20"/>
          <w:highlight w:val="none"/>
          <w:lang w:val="en-US" w:eastAsia="zh-CN" w:bidi="ar-SA"/>
        </w:rPr>
        <w:t>、</w:t>
      </w:r>
      <w:r>
        <w:rPr>
          <w:rFonts w:hint="eastAsia" w:ascii="Times New Roman" w:hAnsi="Times New Roman" w:eastAsia="宋体" w:cs="Times New Roman"/>
          <w:spacing w:val="-2"/>
          <w:kern w:val="0"/>
          <w:sz w:val="24"/>
          <w:szCs w:val="20"/>
          <w:highlight w:val="none"/>
          <w:lang w:val="en-US" w:eastAsia="zh-CN" w:bidi="ar-SA"/>
        </w:rPr>
        <w:t>纯水制备浓水</w:t>
      </w:r>
      <w:r>
        <w:rPr>
          <w:rFonts w:hint="eastAsia" w:cs="Times New Roman"/>
          <w:spacing w:val="-2"/>
          <w:kern w:val="0"/>
          <w:sz w:val="24"/>
          <w:szCs w:val="20"/>
          <w:highlight w:val="none"/>
          <w:lang w:val="en-US" w:eastAsia="zh-CN" w:bidi="ar-SA"/>
        </w:rPr>
        <w:t>、</w:t>
      </w:r>
      <w:r>
        <w:rPr>
          <w:highlight w:val="none"/>
        </w:rPr>
        <w:t>生活污水</w:t>
      </w:r>
      <w:r>
        <w:rPr>
          <w:rFonts w:hint="eastAsia"/>
          <w:highlight w:val="none"/>
          <w:lang w:eastAsia="zh-CN"/>
        </w:rPr>
        <w:t>。</w:t>
      </w:r>
      <w:r>
        <w:rPr>
          <w:rFonts w:hint="eastAsia"/>
          <w:highlight w:val="none"/>
          <w:lang w:val="en-US" w:eastAsia="zh-CN"/>
        </w:rPr>
        <w:t>地面清洁先通过清扫粉尘后再用拖把进行拖地，地面清洁废水仅为拖把清洗废水，通过建设1立方米的沉淀池沉淀后排入污水管网；</w:t>
      </w:r>
      <w:r>
        <w:rPr>
          <w:rFonts w:hint="eastAsia" w:ascii="Times New Roman" w:hAnsi="Times New Roman" w:eastAsia="宋体" w:cs="Times New Roman"/>
          <w:spacing w:val="-2"/>
          <w:kern w:val="0"/>
          <w:sz w:val="24"/>
          <w:szCs w:val="20"/>
          <w:highlight w:val="none"/>
          <w:lang w:val="en-US" w:eastAsia="zh-CN" w:bidi="ar-SA"/>
        </w:rPr>
        <w:t>纯水制备浓水</w:t>
      </w:r>
      <w:r>
        <w:rPr>
          <w:rFonts w:hint="eastAsia" w:cs="Times New Roman"/>
          <w:spacing w:val="-2"/>
          <w:kern w:val="0"/>
          <w:sz w:val="24"/>
          <w:szCs w:val="20"/>
          <w:highlight w:val="none"/>
          <w:lang w:val="en-US" w:eastAsia="zh-CN" w:bidi="ar-SA"/>
        </w:rPr>
        <w:t>为清净下水可通过下水道直接进入污水管网</w:t>
      </w:r>
      <w:r>
        <w:rPr>
          <w:rFonts w:hint="eastAsia"/>
          <w:highlight w:val="none"/>
          <w:lang w:eastAsia="zh-CN"/>
        </w:rPr>
        <w:t>；</w:t>
      </w:r>
      <w:r>
        <w:rPr>
          <w:highlight w:val="none"/>
        </w:rPr>
        <w:t>生活污水</w:t>
      </w:r>
      <w:r>
        <w:rPr>
          <w:rFonts w:hint="eastAsia"/>
          <w:highlight w:val="none"/>
        </w:rPr>
        <w:t>依托园区创新创业基地</w:t>
      </w:r>
      <w:r>
        <w:rPr>
          <w:highlight w:val="none"/>
        </w:rPr>
        <w:t>隔油池及化粪池处</w:t>
      </w:r>
      <w:r>
        <w:rPr>
          <w:spacing w:val="-2"/>
          <w:highlight w:val="none"/>
        </w:rPr>
        <w:t>理后</w:t>
      </w:r>
      <w:r>
        <w:rPr>
          <w:rFonts w:hint="eastAsia"/>
          <w:spacing w:val="-2"/>
          <w:highlight w:val="none"/>
          <w:lang w:val="en-US" w:eastAsia="zh-CN"/>
        </w:rPr>
        <w:t>进入园区污水管网，项目外排废水</w:t>
      </w:r>
      <w:r>
        <w:rPr>
          <w:spacing w:val="-2"/>
          <w:highlight w:val="none"/>
        </w:rPr>
        <w:t>可达到污水处理厂进水水质要求，不会对污水处理厂水处理工艺造成冲击，</w:t>
      </w:r>
      <w:r>
        <w:rPr>
          <w:spacing w:val="4"/>
          <w:highlight w:val="none"/>
        </w:rPr>
        <w:t>因此本项目废水经湖南岳阳高新技术产业园区污水处理厂处理达标后于新墙河</w:t>
      </w:r>
      <w:r>
        <w:rPr>
          <w:spacing w:val="-1"/>
          <w:highlight w:val="none"/>
        </w:rPr>
        <w:t>铁路桥下游排入新墙河，对其水质影响是可以接受的。</w:t>
      </w:r>
    </w:p>
    <w:p w14:paraId="47E206D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u w:val="none" w:color="auto"/>
          <w:lang w:val="en-US" w:eastAsia="zh-CN"/>
        </w:rPr>
      </w:pPr>
      <w:r>
        <w:rPr>
          <w:rFonts w:hint="default" w:ascii="Times New Roman" w:hAnsi="Times New Roman" w:eastAsia="宋体" w:cs="Times New Roman"/>
          <w:b/>
          <w:bCs/>
          <w:color w:val="auto"/>
          <w:sz w:val="24"/>
          <w:szCs w:val="24"/>
          <w:highlight w:val="none"/>
          <w:u w:val="none" w:color="auto"/>
          <w:lang w:val="en-US" w:eastAsia="zh-CN"/>
        </w:rPr>
        <w:t>水污染物排放情况</w:t>
      </w:r>
    </w:p>
    <w:p w14:paraId="3EBA8781">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5"/>
        <w:jc w:val="both"/>
        <w:textAlignment w:val="auto"/>
        <w:rPr>
          <w:rFonts w:ascii="Times New Roman" w:hAnsi="Times New Roman" w:eastAsia="Times New Roman" w:cs="Times New Roman"/>
          <w:highlight w:val="none"/>
        </w:rPr>
      </w:pPr>
      <w:r>
        <w:rPr>
          <w:spacing w:val="14"/>
          <w:highlight w:val="none"/>
        </w:rPr>
        <w:t>本项目</w:t>
      </w:r>
      <w:r>
        <w:rPr>
          <w:rFonts w:hint="eastAsia"/>
          <w:spacing w:val="14"/>
          <w:highlight w:val="none"/>
          <w:lang w:val="en-US" w:eastAsia="zh-CN"/>
        </w:rPr>
        <w:t>废水</w:t>
      </w:r>
      <w:r>
        <w:rPr>
          <w:spacing w:val="14"/>
          <w:highlight w:val="none"/>
        </w:rPr>
        <w:t>为间接排放，根据《环境影响评价技</w:t>
      </w:r>
      <w:r>
        <w:rPr>
          <w:spacing w:val="13"/>
          <w:highlight w:val="none"/>
        </w:rPr>
        <w:t>术导则</w:t>
      </w:r>
      <w:r>
        <w:rPr>
          <w:spacing w:val="41"/>
          <w:highlight w:val="none"/>
        </w:rPr>
        <w:t xml:space="preserve"> </w:t>
      </w:r>
      <w:r>
        <w:rPr>
          <w:spacing w:val="13"/>
          <w:highlight w:val="none"/>
        </w:rPr>
        <w:t>地表水环境》</w:t>
      </w:r>
      <w:r>
        <w:rPr>
          <w:spacing w:val="-89"/>
          <w:highlight w:val="none"/>
        </w:rPr>
        <w:t xml:space="preserve"> </w:t>
      </w:r>
      <w:r>
        <w:rPr>
          <w:spacing w:val="13"/>
          <w:highlight w:val="none"/>
        </w:rPr>
        <w:t>（</w:t>
      </w:r>
      <w:r>
        <w:rPr>
          <w:rFonts w:ascii="Times New Roman" w:hAnsi="Times New Roman" w:eastAsia="Times New Roman" w:cs="Times New Roman"/>
          <w:highlight w:val="none"/>
        </w:rPr>
        <w:t>HJ 2.3-2018</w:t>
      </w:r>
      <w:r>
        <w:rPr>
          <w:highlight w:val="none"/>
        </w:rPr>
        <w:t>）中</w:t>
      </w:r>
      <w:r>
        <w:rPr>
          <w:rFonts w:ascii="Times New Roman" w:hAnsi="Times New Roman" w:eastAsia="Times New Roman" w:cs="Times New Roman"/>
          <w:highlight w:val="none"/>
        </w:rPr>
        <w:t>“8.3.2</w:t>
      </w:r>
      <w:r>
        <w:rPr>
          <w:rFonts w:ascii="Times New Roman" w:hAnsi="Times New Roman" w:eastAsia="Times New Roman" w:cs="Times New Roman"/>
          <w:spacing w:val="15"/>
          <w:w w:val="101"/>
          <w:highlight w:val="none"/>
        </w:rPr>
        <w:t xml:space="preserve">  </w:t>
      </w:r>
      <w:r>
        <w:rPr>
          <w:highlight w:val="none"/>
        </w:rPr>
        <w:t>间接排放建设项目污染物</w:t>
      </w:r>
      <w:r>
        <w:rPr>
          <w:spacing w:val="-1"/>
          <w:highlight w:val="none"/>
        </w:rPr>
        <w:t>排放量核算根据依托污水处理设施</w:t>
      </w:r>
      <w:r>
        <w:rPr>
          <w:spacing w:val="4"/>
          <w:highlight w:val="none"/>
        </w:rPr>
        <w:t>的控制要求核算确定。</w:t>
      </w:r>
      <w:r>
        <w:rPr>
          <w:rFonts w:ascii="Times New Roman" w:hAnsi="Times New Roman" w:eastAsia="Times New Roman" w:cs="Times New Roman"/>
          <w:spacing w:val="4"/>
          <w:highlight w:val="none"/>
        </w:rPr>
        <w:t>”</w:t>
      </w:r>
    </w:p>
    <w:p w14:paraId="194FC89E">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714" w:firstLineChars="300"/>
        <w:textAlignment w:val="auto"/>
        <w:rPr>
          <w:rFonts w:hint="eastAsia" w:ascii="Times New Roman" w:hAnsi="Times New Roman" w:eastAsia="宋体" w:cs="Times New Roman"/>
          <w:b/>
          <w:bCs/>
          <w:color w:val="auto"/>
          <w:kern w:val="0"/>
          <w:sz w:val="24"/>
          <w:szCs w:val="24"/>
          <w:highlight w:val="none"/>
          <w:lang w:val="en-US" w:eastAsia="zh-CN" w:bidi="ar"/>
        </w:rPr>
      </w:pPr>
      <w:r>
        <w:rPr>
          <w:spacing w:val="-1"/>
          <w:highlight w:val="none"/>
        </w:rPr>
        <w:t>项目水污染物排放量核算见下表。</w:t>
      </w:r>
    </w:p>
    <w:p w14:paraId="345D721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 xml:space="preserve"> 表6.3-1 废项目废水类别、污染物及污染治理设施信息表</w:t>
      </w: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40"/>
        <w:gridCol w:w="961"/>
        <w:gridCol w:w="791"/>
        <w:gridCol w:w="725"/>
        <w:gridCol w:w="796"/>
        <w:gridCol w:w="874"/>
        <w:gridCol w:w="876"/>
        <w:gridCol w:w="633"/>
        <w:gridCol w:w="673"/>
        <w:gridCol w:w="1333"/>
      </w:tblGrid>
      <w:tr w14:paraId="79B79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386" w:type="pct"/>
            <w:vMerge w:val="restart"/>
            <w:tcBorders>
              <w:tl2br w:val="nil"/>
              <w:tr2bl w:val="nil"/>
            </w:tcBorders>
            <w:vAlign w:val="center"/>
          </w:tcPr>
          <w:p w14:paraId="204A35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89D91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003DFFE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废水</w:t>
            </w:r>
          </w:p>
          <w:p w14:paraId="3ABFE63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类别</w:t>
            </w:r>
          </w:p>
        </w:tc>
        <w:tc>
          <w:tcPr>
            <w:tcW w:w="578" w:type="pct"/>
            <w:vMerge w:val="restart"/>
            <w:tcBorders>
              <w:tl2br w:val="nil"/>
              <w:tr2bl w:val="nil"/>
            </w:tcBorders>
            <w:vAlign w:val="center"/>
          </w:tcPr>
          <w:p w14:paraId="3CEF15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5BA771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5E31F1F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污染物种</w:t>
            </w:r>
          </w:p>
          <w:p w14:paraId="0BCA88C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类</w:t>
            </w:r>
          </w:p>
        </w:tc>
        <w:tc>
          <w:tcPr>
            <w:tcW w:w="476" w:type="pct"/>
            <w:vMerge w:val="restart"/>
            <w:tcBorders>
              <w:tl2br w:val="nil"/>
              <w:tr2bl w:val="nil"/>
            </w:tcBorders>
            <w:vAlign w:val="center"/>
          </w:tcPr>
          <w:p w14:paraId="0AA0AA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379EC9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34F59DD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排放去</w:t>
            </w:r>
          </w:p>
          <w:p w14:paraId="23A03CB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向</w:t>
            </w:r>
          </w:p>
        </w:tc>
        <w:tc>
          <w:tcPr>
            <w:tcW w:w="436" w:type="pct"/>
            <w:vMerge w:val="restart"/>
            <w:tcBorders>
              <w:tl2br w:val="nil"/>
              <w:tr2bl w:val="nil"/>
            </w:tcBorders>
            <w:vAlign w:val="center"/>
          </w:tcPr>
          <w:p w14:paraId="2082C1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28F03B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35413E4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排放规</w:t>
            </w:r>
          </w:p>
          <w:p w14:paraId="506EB9C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律</w:t>
            </w:r>
          </w:p>
        </w:tc>
        <w:tc>
          <w:tcPr>
            <w:tcW w:w="1532" w:type="pct"/>
            <w:gridSpan w:val="3"/>
            <w:tcBorders>
              <w:tl2br w:val="nil"/>
              <w:tr2bl w:val="nil"/>
            </w:tcBorders>
            <w:vAlign w:val="center"/>
          </w:tcPr>
          <w:p w14:paraId="35265F6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污染治理设施</w:t>
            </w:r>
          </w:p>
        </w:tc>
        <w:tc>
          <w:tcPr>
            <w:tcW w:w="381" w:type="pct"/>
            <w:vMerge w:val="restart"/>
            <w:tcBorders>
              <w:tl2br w:val="nil"/>
              <w:tr2bl w:val="nil"/>
            </w:tcBorders>
            <w:vAlign w:val="center"/>
          </w:tcPr>
          <w:p w14:paraId="25A535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9DB776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排放</w:t>
            </w:r>
          </w:p>
          <w:p w14:paraId="430B2AA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口编</w:t>
            </w:r>
            <w:r>
              <w:rPr>
                <w:rFonts w:hint="default" w:ascii="Times New Roman" w:hAnsi="Times New Roman" w:eastAsia="宋体" w:cs="Times New Roman"/>
                <w:sz w:val="21"/>
                <w:szCs w:val="21"/>
                <w:highlight w:val="none"/>
              </w:rPr>
              <w:t xml:space="preserve"> 号</w:t>
            </w:r>
          </w:p>
        </w:tc>
        <w:tc>
          <w:tcPr>
            <w:tcW w:w="405" w:type="pct"/>
            <w:vMerge w:val="restart"/>
            <w:tcBorders>
              <w:tl2br w:val="nil"/>
              <w:tr2bl w:val="nil"/>
            </w:tcBorders>
            <w:vAlign w:val="center"/>
          </w:tcPr>
          <w:p w14:paraId="2204065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排放</w:t>
            </w:r>
          </w:p>
          <w:p w14:paraId="63EBA39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2"/>
                <w:sz w:val="21"/>
                <w:szCs w:val="21"/>
                <w:highlight w:val="none"/>
              </w:rPr>
              <w:t>口设</w:t>
            </w:r>
          </w:p>
          <w:p w14:paraId="1BE4A9D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置是</w:t>
            </w:r>
          </w:p>
          <w:p w14:paraId="4382D99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否符</w:t>
            </w:r>
          </w:p>
          <w:p w14:paraId="24A1F2B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合要</w:t>
            </w:r>
            <w:r>
              <w:rPr>
                <w:rFonts w:hint="default" w:ascii="Times New Roman" w:hAnsi="Times New Roman" w:eastAsia="宋体" w:cs="Times New Roman"/>
                <w:sz w:val="21"/>
                <w:szCs w:val="21"/>
                <w:highlight w:val="none"/>
              </w:rPr>
              <w:t xml:space="preserve"> 求</w:t>
            </w:r>
          </w:p>
        </w:tc>
        <w:tc>
          <w:tcPr>
            <w:tcW w:w="802" w:type="pct"/>
            <w:vMerge w:val="restart"/>
            <w:tcBorders>
              <w:tl2br w:val="nil"/>
              <w:tr2bl w:val="nil"/>
            </w:tcBorders>
            <w:vAlign w:val="center"/>
          </w:tcPr>
          <w:p w14:paraId="007E77C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60DEC3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55460B6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排放口类型</w:t>
            </w:r>
          </w:p>
        </w:tc>
      </w:tr>
      <w:tr w14:paraId="10432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0" w:hRule="atLeast"/>
        </w:trPr>
        <w:tc>
          <w:tcPr>
            <w:tcW w:w="386" w:type="pct"/>
            <w:vMerge w:val="continue"/>
            <w:tcBorders>
              <w:tl2br w:val="nil"/>
              <w:tr2bl w:val="nil"/>
            </w:tcBorders>
            <w:vAlign w:val="center"/>
          </w:tcPr>
          <w:p w14:paraId="13769E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78" w:type="pct"/>
            <w:vMerge w:val="continue"/>
            <w:tcBorders>
              <w:tl2br w:val="nil"/>
              <w:tr2bl w:val="nil"/>
            </w:tcBorders>
            <w:vAlign w:val="center"/>
          </w:tcPr>
          <w:p w14:paraId="641425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6" w:type="pct"/>
            <w:vMerge w:val="continue"/>
            <w:tcBorders>
              <w:tl2br w:val="nil"/>
              <w:tr2bl w:val="nil"/>
            </w:tcBorders>
            <w:vAlign w:val="center"/>
          </w:tcPr>
          <w:p w14:paraId="7D48EA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36" w:type="pct"/>
            <w:vMerge w:val="continue"/>
            <w:tcBorders>
              <w:tl2br w:val="nil"/>
              <w:tr2bl w:val="nil"/>
            </w:tcBorders>
            <w:vAlign w:val="center"/>
          </w:tcPr>
          <w:p w14:paraId="63AD2E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9" w:type="pct"/>
            <w:tcBorders>
              <w:tl2br w:val="nil"/>
              <w:tr2bl w:val="nil"/>
            </w:tcBorders>
            <w:vAlign w:val="center"/>
          </w:tcPr>
          <w:p w14:paraId="0DB4FF6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污染治</w:t>
            </w:r>
          </w:p>
          <w:p w14:paraId="3595359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理设施</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3"/>
                <w:sz w:val="21"/>
                <w:szCs w:val="21"/>
                <w:highlight w:val="none"/>
              </w:rPr>
              <w:t>编号</w:t>
            </w:r>
          </w:p>
        </w:tc>
        <w:tc>
          <w:tcPr>
            <w:tcW w:w="526" w:type="pct"/>
            <w:tcBorders>
              <w:tl2br w:val="nil"/>
              <w:tr2bl w:val="nil"/>
            </w:tcBorders>
            <w:vAlign w:val="center"/>
          </w:tcPr>
          <w:p w14:paraId="1186D24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污染治</w:t>
            </w:r>
          </w:p>
          <w:p w14:paraId="3B70080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理设施</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3"/>
                <w:sz w:val="21"/>
                <w:szCs w:val="21"/>
                <w:highlight w:val="none"/>
              </w:rPr>
              <w:t>名称</w:t>
            </w:r>
          </w:p>
        </w:tc>
        <w:tc>
          <w:tcPr>
            <w:tcW w:w="527" w:type="pct"/>
            <w:tcBorders>
              <w:tl2br w:val="nil"/>
              <w:tr2bl w:val="nil"/>
            </w:tcBorders>
            <w:vAlign w:val="center"/>
          </w:tcPr>
          <w:p w14:paraId="05F832B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污染治</w:t>
            </w:r>
          </w:p>
          <w:p w14:paraId="5516A81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理设施</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3"/>
                <w:sz w:val="21"/>
                <w:szCs w:val="21"/>
                <w:highlight w:val="none"/>
              </w:rPr>
              <w:t>工艺</w:t>
            </w:r>
          </w:p>
        </w:tc>
        <w:tc>
          <w:tcPr>
            <w:tcW w:w="381" w:type="pct"/>
            <w:vMerge w:val="continue"/>
            <w:tcBorders>
              <w:tl2br w:val="nil"/>
              <w:tr2bl w:val="nil"/>
            </w:tcBorders>
            <w:vAlign w:val="center"/>
          </w:tcPr>
          <w:p w14:paraId="1538BB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05" w:type="pct"/>
            <w:vMerge w:val="continue"/>
            <w:tcBorders>
              <w:tl2br w:val="nil"/>
              <w:tr2bl w:val="nil"/>
            </w:tcBorders>
            <w:vAlign w:val="center"/>
          </w:tcPr>
          <w:p w14:paraId="22345C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02" w:type="pct"/>
            <w:vMerge w:val="continue"/>
            <w:tcBorders>
              <w:tl2br w:val="nil"/>
              <w:tr2bl w:val="nil"/>
            </w:tcBorders>
            <w:vAlign w:val="center"/>
          </w:tcPr>
          <w:p w14:paraId="1BDE00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r>
      <w:tr w14:paraId="3AF21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86" w:type="pct"/>
            <w:tcBorders>
              <w:tl2br w:val="nil"/>
              <w:tr2bl w:val="nil"/>
            </w:tcBorders>
            <w:vAlign w:val="center"/>
          </w:tcPr>
          <w:p w14:paraId="44759F4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纯水制备浓水</w:t>
            </w:r>
          </w:p>
        </w:tc>
        <w:tc>
          <w:tcPr>
            <w:tcW w:w="578" w:type="pct"/>
            <w:tcBorders>
              <w:tl2br w:val="nil"/>
              <w:tr2bl w:val="nil"/>
            </w:tcBorders>
            <w:vAlign w:val="center"/>
          </w:tcPr>
          <w:p w14:paraId="7AB8866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476" w:type="pct"/>
            <w:vMerge w:val="restart"/>
            <w:tcBorders>
              <w:tl2br w:val="nil"/>
              <w:tr2bl w:val="nil"/>
            </w:tcBorders>
            <w:vAlign w:val="center"/>
          </w:tcPr>
          <w:p w14:paraId="481C2D75">
            <w:pPr>
              <w:pStyle w:val="36"/>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8"/>
                <w:sz w:val="21"/>
                <w:szCs w:val="21"/>
                <w:highlight w:val="none"/>
              </w:rPr>
              <w:t>岳阳高新技</w:t>
            </w:r>
            <w:r>
              <w:rPr>
                <w:rFonts w:hint="default" w:ascii="Times New Roman" w:hAnsi="Times New Roman" w:eastAsia="宋体" w:cs="Times New Roman"/>
                <w:spacing w:val="7"/>
                <w:sz w:val="21"/>
                <w:szCs w:val="21"/>
                <w:highlight w:val="none"/>
              </w:rPr>
              <w:t>术产业园区污水处理</w:t>
            </w:r>
            <w:r>
              <w:rPr>
                <w:rFonts w:hint="default" w:ascii="Times New Roman" w:hAnsi="Times New Roman" w:eastAsia="宋体" w:cs="Times New Roman"/>
                <w:spacing w:val="7"/>
                <w:sz w:val="21"/>
                <w:szCs w:val="21"/>
                <w:highlight w:val="none"/>
                <w:lang w:val="en-US" w:eastAsia="zh-CN"/>
              </w:rPr>
              <w:t>厂</w:t>
            </w:r>
          </w:p>
        </w:tc>
        <w:tc>
          <w:tcPr>
            <w:tcW w:w="436" w:type="pct"/>
            <w:vMerge w:val="restart"/>
            <w:tcBorders>
              <w:tl2br w:val="nil"/>
              <w:tr2bl w:val="nil"/>
            </w:tcBorders>
            <w:vAlign w:val="center"/>
          </w:tcPr>
          <w:p w14:paraId="2383AD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0BCB9F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27EC1E8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间歇排</w:t>
            </w:r>
          </w:p>
          <w:p w14:paraId="6879A92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1"/>
                <w:sz w:val="21"/>
                <w:szCs w:val="21"/>
                <w:highlight w:val="none"/>
              </w:rPr>
            </w:pPr>
            <w:r>
              <w:rPr>
                <w:rFonts w:hint="default" w:ascii="Times New Roman" w:hAnsi="Times New Roman" w:eastAsia="宋体" w:cs="Times New Roman"/>
                <w:spacing w:val="6"/>
                <w:sz w:val="21"/>
                <w:szCs w:val="21"/>
                <w:highlight w:val="none"/>
              </w:rPr>
              <w:t>放，流</w:t>
            </w:r>
            <w:r>
              <w:rPr>
                <w:rFonts w:hint="default" w:ascii="Times New Roman" w:hAnsi="Times New Roman" w:eastAsia="宋体" w:cs="Times New Roman"/>
                <w:spacing w:val="1"/>
                <w:sz w:val="21"/>
                <w:szCs w:val="21"/>
                <w:highlight w:val="none"/>
              </w:rPr>
              <w:t xml:space="preserve"> 量稳  定，无</w:t>
            </w:r>
          </w:p>
          <w:p w14:paraId="237E4B0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周期</w:t>
            </w:r>
            <w:r>
              <w:rPr>
                <w:rFonts w:hint="default" w:ascii="Times New Roman" w:hAnsi="Times New Roman" w:eastAsia="宋体" w:cs="Times New Roman"/>
                <w:spacing w:val="6"/>
                <w:sz w:val="21"/>
                <w:szCs w:val="21"/>
                <w:highlight w:val="none"/>
              </w:rPr>
              <w:t>性</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4"/>
                <w:sz w:val="21"/>
                <w:szCs w:val="21"/>
                <w:highlight w:val="none"/>
              </w:rPr>
              <w:t>规律</w:t>
            </w:r>
          </w:p>
        </w:tc>
        <w:tc>
          <w:tcPr>
            <w:tcW w:w="479" w:type="pct"/>
            <w:tcBorders>
              <w:tl2br w:val="nil"/>
              <w:tr2bl w:val="nil"/>
            </w:tcBorders>
            <w:vAlign w:val="center"/>
          </w:tcPr>
          <w:p w14:paraId="2FEBE2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526" w:type="pct"/>
            <w:tcBorders>
              <w:tl2br w:val="nil"/>
              <w:tr2bl w:val="nil"/>
            </w:tcBorders>
            <w:vAlign w:val="center"/>
          </w:tcPr>
          <w:p w14:paraId="4BBB2F2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w:t>
            </w:r>
          </w:p>
        </w:tc>
        <w:tc>
          <w:tcPr>
            <w:tcW w:w="527" w:type="pct"/>
            <w:tcBorders>
              <w:tl2br w:val="nil"/>
              <w:tr2bl w:val="nil"/>
            </w:tcBorders>
            <w:vAlign w:val="center"/>
          </w:tcPr>
          <w:p w14:paraId="364B740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w:t>
            </w:r>
          </w:p>
        </w:tc>
        <w:tc>
          <w:tcPr>
            <w:tcW w:w="381" w:type="pct"/>
            <w:vMerge w:val="restart"/>
            <w:tcBorders>
              <w:tl2br w:val="nil"/>
              <w:tr2bl w:val="nil"/>
            </w:tcBorders>
            <w:vAlign w:val="center"/>
          </w:tcPr>
          <w:p w14:paraId="50B3B2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7927A0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150E63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07C86C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54BAEC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692F6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DW</w:t>
            </w:r>
            <w:r>
              <w:rPr>
                <w:rFonts w:hint="default" w:ascii="Times New Roman" w:hAnsi="Times New Roman" w:eastAsia="宋体" w:cs="Times New Roman"/>
                <w:spacing w:val="15"/>
                <w:sz w:val="21"/>
                <w:szCs w:val="21"/>
                <w:highlight w:val="none"/>
              </w:rPr>
              <w:t>0</w:t>
            </w:r>
          </w:p>
          <w:p w14:paraId="3DF643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01</w:t>
            </w:r>
          </w:p>
        </w:tc>
        <w:tc>
          <w:tcPr>
            <w:tcW w:w="405" w:type="pct"/>
            <w:vMerge w:val="restart"/>
            <w:tcBorders>
              <w:tl2br w:val="nil"/>
              <w:tr2bl w:val="nil"/>
            </w:tcBorders>
            <w:vAlign w:val="center"/>
          </w:tcPr>
          <w:p w14:paraId="554089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26E94A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585E14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7BBCDC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72EE729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☑是</w:t>
            </w:r>
          </w:p>
          <w:p w14:paraId="7E895BC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□否</w:t>
            </w:r>
          </w:p>
        </w:tc>
        <w:tc>
          <w:tcPr>
            <w:tcW w:w="802" w:type="pct"/>
            <w:vMerge w:val="restart"/>
            <w:tcBorders>
              <w:tl2br w:val="nil"/>
              <w:tr2bl w:val="nil"/>
            </w:tcBorders>
            <w:vAlign w:val="center"/>
          </w:tcPr>
          <w:p w14:paraId="5667EB0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☑企业总排</w:t>
            </w:r>
          </w:p>
          <w:p w14:paraId="43DE432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highlight w:val="none"/>
              </w:rPr>
            </w:pPr>
            <w:r>
              <w:rPr>
                <w:rFonts w:hint="eastAsia" w:ascii="Times New Roman" w:hAnsi="Times New Roman" w:cs="Times New Roman"/>
                <w:spacing w:val="5"/>
                <w:sz w:val="21"/>
                <w:szCs w:val="21"/>
                <w:highlight w:val="none"/>
                <w:lang w:eastAsia="zh-CN"/>
              </w:rPr>
              <w:t>□</w:t>
            </w:r>
            <w:r>
              <w:rPr>
                <w:rFonts w:hint="default" w:ascii="Times New Roman" w:hAnsi="Times New Roman" w:eastAsia="宋体" w:cs="Times New Roman"/>
                <w:spacing w:val="5"/>
                <w:sz w:val="21"/>
                <w:szCs w:val="21"/>
                <w:highlight w:val="none"/>
              </w:rPr>
              <w:t>雨水排放</w:t>
            </w:r>
          </w:p>
          <w:p w14:paraId="56EBF65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highlight w:val="none"/>
              </w:rPr>
            </w:pPr>
            <w:r>
              <w:rPr>
                <w:rFonts w:hint="eastAsia" w:ascii="Times New Roman" w:hAnsi="Times New Roman"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清净下水排</w:t>
            </w:r>
            <w:r>
              <w:rPr>
                <w:rFonts w:hint="default" w:ascii="Times New Roman" w:hAnsi="Times New Roman" w:eastAsia="宋体" w:cs="Times New Roman"/>
                <w:sz w:val="21"/>
                <w:szCs w:val="21"/>
                <w:highlight w:val="none"/>
              </w:rPr>
              <w:t>放</w:t>
            </w:r>
          </w:p>
          <w:p w14:paraId="7C9D192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sz w:val="21"/>
                <w:szCs w:val="21"/>
                <w:highlight w:val="none"/>
              </w:rPr>
            </w:pPr>
            <w:r>
              <w:rPr>
                <w:rFonts w:hint="eastAsia" w:ascii="Times New Roman" w:hAnsi="Times New Roman"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温排水排放</w:t>
            </w:r>
          </w:p>
          <w:p w14:paraId="38F42D6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车间或车间</w:t>
            </w:r>
            <w:r>
              <w:rPr>
                <w:rFonts w:hint="default" w:ascii="Times New Roman" w:hAnsi="Times New Roman" w:eastAsia="宋体" w:cs="Times New Roman"/>
                <w:spacing w:val="7"/>
                <w:sz w:val="21"/>
                <w:szCs w:val="21"/>
                <w:highlight w:val="none"/>
              </w:rPr>
              <w:t>处理设施排放</w:t>
            </w:r>
          </w:p>
        </w:tc>
      </w:tr>
      <w:tr w14:paraId="4E6CD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86" w:type="pct"/>
            <w:vMerge w:val="restart"/>
            <w:tcBorders>
              <w:tl2br w:val="nil"/>
              <w:tr2bl w:val="nil"/>
            </w:tcBorders>
            <w:vAlign w:val="center"/>
          </w:tcPr>
          <w:p w14:paraId="745FFEB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地面清洁废水</w:t>
            </w:r>
          </w:p>
        </w:tc>
        <w:tc>
          <w:tcPr>
            <w:tcW w:w="578" w:type="pct"/>
            <w:tcBorders>
              <w:tl2br w:val="nil"/>
              <w:tr2bl w:val="nil"/>
            </w:tcBorders>
            <w:vAlign w:val="center"/>
          </w:tcPr>
          <w:p w14:paraId="382F64BC">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spacing w:val="6"/>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476" w:type="pct"/>
            <w:vMerge w:val="continue"/>
            <w:tcBorders>
              <w:tl2br w:val="nil"/>
              <w:tr2bl w:val="nil"/>
            </w:tcBorders>
            <w:vAlign w:val="center"/>
          </w:tcPr>
          <w:p w14:paraId="45A777E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pacing w:val="7"/>
                <w:sz w:val="21"/>
                <w:szCs w:val="21"/>
                <w:highlight w:val="none"/>
              </w:rPr>
            </w:pPr>
          </w:p>
        </w:tc>
        <w:tc>
          <w:tcPr>
            <w:tcW w:w="436" w:type="pct"/>
            <w:vMerge w:val="continue"/>
            <w:tcBorders>
              <w:tl2br w:val="nil"/>
              <w:tr2bl w:val="nil"/>
            </w:tcBorders>
            <w:vAlign w:val="center"/>
          </w:tcPr>
          <w:p w14:paraId="62F6911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6"/>
                <w:sz w:val="21"/>
                <w:szCs w:val="21"/>
                <w:highlight w:val="none"/>
              </w:rPr>
            </w:pPr>
          </w:p>
        </w:tc>
        <w:tc>
          <w:tcPr>
            <w:tcW w:w="479" w:type="pct"/>
            <w:vMerge w:val="restart"/>
            <w:tcBorders>
              <w:tl2br w:val="nil"/>
              <w:tr2bl w:val="nil"/>
            </w:tcBorders>
            <w:vAlign w:val="center"/>
          </w:tcPr>
          <w:p w14:paraId="528C55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16C6A4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w:t>
            </w:r>
            <w:r>
              <w:rPr>
                <w:rFonts w:hint="default" w:ascii="Times New Roman" w:hAnsi="Times New Roman" w:eastAsia="宋体" w:cs="Times New Roman"/>
                <w:spacing w:val="7"/>
                <w:sz w:val="21"/>
                <w:szCs w:val="21"/>
                <w:highlight w:val="none"/>
              </w:rPr>
              <w:t>003</w:t>
            </w:r>
          </w:p>
        </w:tc>
        <w:tc>
          <w:tcPr>
            <w:tcW w:w="526" w:type="pct"/>
            <w:vMerge w:val="restart"/>
            <w:tcBorders>
              <w:tl2br w:val="nil"/>
              <w:tr2bl w:val="nil"/>
            </w:tcBorders>
            <w:vAlign w:val="center"/>
          </w:tcPr>
          <w:p w14:paraId="6A9B85E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沉</w:t>
            </w:r>
            <w:r>
              <w:rPr>
                <w:rFonts w:hint="default" w:ascii="Times New Roman" w:hAnsi="Times New Roman" w:eastAsia="宋体" w:cs="Times New Roman"/>
                <w:spacing w:val="3"/>
                <w:sz w:val="21"/>
                <w:szCs w:val="21"/>
                <w:highlight w:val="none"/>
              </w:rPr>
              <w:t>淀池</w:t>
            </w:r>
          </w:p>
        </w:tc>
        <w:tc>
          <w:tcPr>
            <w:tcW w:w="527" w:type="pct"/>
            <w:vMerge w:val="restart"/>
            <w:tcBorders>
              <w:tl2br w:val="nil"/>
              <w:tr2bl w:val="nil"/>
            </w:tcBorders>
            <w:vAlign w:val="center"/>
          </w:tcPr>
          <w:p w14:paraId="394F44E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200" w:firstLineChars="100"/>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沉</w:t>
            </w:r>
            <w:r>
              <w:rPr>
                <w:rFonts w:hint="default" w:ascii="Times New Roman" w:hAnsi="Times New Roman" w:eastAsia="宋体" w:cs="Times New Roman"/>
                <w:sz w:val="21"/>
                <w:szCs w:val="21"/>
                <w:highlight w:val="none"/>
              </w:rPr>
              <w:t>淀</w:t>
            </w:r>
          </w:p>
        </w:tc>
        <w:tc>
          <w:tcPr>
            <w:tcW w:w="381" w:type="pct"/>
            <w:vMerge w:val="continue"/>
            <w:tcBorders>
              <w:tl2br w:val="nil"/>
              <w:tr2bl w:val="nil"/>
            </w:tcBorders>
            <w:vAlign w:val="center"/>
          </w:tcPr>
          <w:p w14:paraId="164EE8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05" w:type="pct"/>
            <w:vMerge w:val="continue"/>
            <w:tcBorders>
              <w:tl2br w:val="nil"/>
              <w:tr2bl w:val="nil"/>
            </w:tcBorders>
            <w:vAlign w:val="center"/>
          </w:tcPr>
          <w:p w14:paraId="754423C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1"/>
                <w:sz w:val="21"/>
                <w:szCs w:val="21"/>
                <w:highlight w:val="none"/>
              </w:rPr>
            </w:pPr>
          </w:p>
        </w:tc>
        <w:tc>
          <w:tcPr>
            <w:tcW w:w="802" w:type="pct"/>
            <w:vMerge w:val="continue"/>
            <w:tcBorders>
              <w:tl2br w:val="nil"/>
              <w:tr2bl w:val="nil"/>
            </w:tcBorders>
            <w:vAlign w:val="center"/>
          </w:tcPr>
          <w:p w14:paraId="3879600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position w:val="1"/>
                <w:sz w:val="21"/>
                <w:szCs w:val="21"/>
                <w:highlight w:val="none"/>
              </w:rPr>
            </w:pPr>
          </w:p>
        </w:tc>
      </w:tr>
      <w:tr w14:paraId="0BCB7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86" w:type="pct"/>
            <w:vMerge w:val="continue"/>
            <w:tcBorders>
              <w:tl2br w:val="nil"/>
              <w:tr2bl w:val="nil"/>
            </w:tcBorders>
            <w:vAlign w:val="center"/>
          </w:tcPr>
          <w:p w14:paraId="16BD86A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78" w:type="pct"/>
            <w:tcBorders>
              <w:tl2br w:val="nil"/>
              <w:tr2bl w:val="nil"/>
            </w:tcBorders>
            <w:vAlign w:val="center"/>
          </w:tcPr>
          <w:p w14:paraId="30A75B95">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氨氮</w:t>
            </w:r>
          </w:p>
        </w:tc>
        <w:tc>
          <w:tcPr>
            <w:tcW w:w="476" w:type="pct"/>
            <w:vMerge w:val="continue"/>
            <w:tcBorders>
              <w:tl2br w:val="nil"/>
              <w:tr2bl w:val="nil"/>
            </w:tcBorders>
            <w:vAlign w:val="center"/>
          </w:tcPr>
          <w:p w14:paraId="540062B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36" w:type="pct"/>
            <w:vMerge w:val="continue"/>
            <w:tcBorders>
              <w:tl2br w:val="nil"/>
              <w:tr2bl w:val="nil"/>
            </w:tcBorders>
            <w:vAlign w:val="center"/>
          </w:tcPr>
          <w:p w14:paraId="0D74CFA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9" w:type="pct"/>
            <w:vMerge w:val="continue"/>
            <w:tcBorders>
              <w:tl2br w:val="nil"/>
              <w:tr2bl w:val="nil"/>
            </w:tcBorders>
            <w:vAlign w:val="center"/>
          </w:tcPr>
          <w:p w14:paraId="527FAA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26" w:type="pct"/>
            <w:vMerge w:val="continue"/>
            <w:tcBorders>
              <w:tl2br w:val="nil"/>
              <w:tr2bl w:val="nil"/>
            </w:tcBorders>
            <w:vAlign w:val="center"/>
          </w:tcPr>
          <w:p w14:paraId="3FD2CC4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27" w:type="pct"/>
            <w:vMerge w:val="continue"/>
            <w:tcBorders>
              <w:tl2br w:val="nil"/>
              <w:tr2bl w:val="nil"/>
            </w:tcBorders>
            <w:vAlign w:val="center"/>
          </w:tcPr>
          <w:p w14:paraId="40A1B98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81" w:type="pct"/>
            <w:vMerge w:val="continue"/>
            <w:tcBorders>
              <w:tl2br w:val="nil"/>
              <w:tr2bl w:val="nil"/>
            </w:tcBorders>
            <w:vAlign w:val="center"/>
          </w:tcPr>
          <w:p w14:paraId="7C9137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05" w:type="pct"/>
            <w:vMerge w:val="continue"/>
            <w:tcBorders>
              <w:tl2br w:val="nil"/>
              <w:tr2bl w:val="nil"/>
            </w:tcBorders>
            <w:vAlign w:val="center"/>
          </w:tcPr>
          <w:p w14:paraId="2ABE297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02" w:type="pct"/>
            <w:vMerge w:val="continue"/>
            <w:tcBorders>
              <w:tl2br w:val="nil"/>
              <w:tr2bl w:val="nil"/>
            </w:tcBorders>
            <w:vAlign w:val="center"/>
          </w:tcPr>
          <w:p w14:paraId="0616122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r>
      <w:tr w14:paraId="6FBC0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 w:hRule="atLeast"/>
        </w:trPr>
        <w:tc>
          <w:tcPr>
            <w:tcW w:w="386" w:type="pct"/>
            <w:vMerge w:val="continue"/>
            <w:tcBorders>
              <w:tl2br w:val="nil"/>
              <w:tr2bl w:val="nil"/>
            </w:tcBorders>
            <w:vAlign w:val="center"/>
          </w:tcPr>
          <w:p w14:paraId="4DE0CA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78" w:type="pct"/>
            <w:tcBorders>
              <w:tl2br w:val="nil"/>
              <w:tr2bl w:val="nil"/>
            </w:tcBorders>
            <w:vAlign w:val="center"/>
          </w:tcPr>
          <w:p w14:paraId="6EFA985F">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SS</w:t>
            </w:r>
          </w:p>
        </w:tc>
        <w:tc>
          <w:tcPr>
            <w:tcW w:w="476" w:type="pct"/>
            <w:vMerge w:val="continue"/>
            <w:tcBorders>
              <w:tl2br w:val="nil"/>
              <w:tr2bl w:val="nil"/>
            </w:tcBorders>
            <w:vAlign w:val="center"/>
          </w:tcPr>
          <w:p w14:paraId="6E206E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36" w:type="pct"/>
            <w:vMerge w:val="continue"/>
            <w:tcBorders>
              <w:tl2br w:val="nil"/>
              <w:tr2bl w:val="nil"/>
            </w:tcBorders>
            <w:vAlign w:val="center"/>
          </w:tcPr>
          <w:p w14:paraId="2878554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9" w:type="pct"/>
            <w:vMerge w:val="continue"/>
            <w:tcBorders>
              <w:tl2br w:val="nil"/>
              <w:tr2bl w:val="nil"/>
            </w:tcBorders>
            <w:vAlign w:val="center"/>
          </w:tcPr>
          <w:p w14:paraId="5B5147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26" w:type="pct"/>
            <w:vMerge w:val="continue"/>
            <w:tcBorders>
              <w:tl2br w:val="nil"/>
              <w:tr2bl w:val="nil"/>
            </w:tcBorders>
            <w:vAlign w:val="center"/>
          </w:tcPr>
          <w:p w14:paraId="2B9101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27" w:type="pct"/>
            <w:vMerge w:val="continue"/>
            <w:tcBorders>
              <w:tl2br w:val="nil"/>
              <w:tr2bl w:val="nil"/>
            </w:tcBorders>
            <w:vAlign w:val="center"/>
          </w:tcPr>
          <w:p w14:paraId="18013E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81" w:type="pct"/>
            <w:vMerge w:val="continue"/>
            <w:tcBorders>
              <w:tl2br w:val="nil"/>
              <w:tr2bl w:val="nil"/>
            </w:tcBorders>
            <w:vAlign w:val="center"/>
          </w:tcPr>
          <w:p w14:paraId="57F520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05" w:type="pct"/>
            <w:vMerge w:val="continue"/>
            <w:tcBorders>
              <w:tl2br w:val="nil"/>
              <w:tr2bl w:val="nil"/>
            </w:tcBorders>
            <w:vAlign w:val="center"/>
          </w:tcPr>
          <w:p w14:paraId="630E64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02" w:type="pct"/>
            <w:vMerge w:val="continue"/>
            <w:tcBorders>
              <w:tl2br w:val="nil"/>
              <w:tr2bl w:val="nil"/>
            </w:tcBorders>
            <w:vAlign w:val="center"/>
          </w:tcPr>
          <w:p w14:paraId="4EDB25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r>
      <w:tr w14:paraId="2A43E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386" w:type="pct"/>
            <w:vMerge w:val="restart"/>
            <w:tcBorders>
              <w:tl2br w:val="nil"/>
              <w:tr2bl w:val="nil"/>
            </w:tcBorders>
            <w:vAlign w:val="center"/>
          </w:tcPr>
          <w:p w14:paraId="5093F0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8FC49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6DA6485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生活</w:t>
            </w:r>
          </w:p>
          <w:p w14:paraId="615F083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废水</w:t>
            </w:r>
          </w:p>
        </w:tc>
        <w:tc>
          <w:tcPr>
            <w:tcW w:w="578" w:type="pct"/>
            <w:vMerge w:val="restart"/>
            <w:tcBorders>
              <w:tl2br w:val="nil"/>
              <w:tr2bl w:val="nil"/>
            </w:tcBorders>
            <w:vAlign w:val="center"/>
          </w:tcPr>
          <w:p w14:paraId="61CB7F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1DC7204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COD</w:t>
            </w:r>
            <w:r>
              <w:rPr>
                <w:rFonts w:hint="default" w:ascii="Times New Roman" w:hAnsi="Times New Roman" w:eastAsia="宋体" w:cs="Times New Roman"/>
                <w:sz w:val="21"/>
                <w:szCs w:val="21"/>
                <w:highlight w:val="none"/>
                <w:lang w:val="en-US" w:eastAsia="zh-CN"/>
              </w:rPr>
              <w:t>r</w:t>
            </w:r>
            <w:r>
              <w:rPr>
                <w:rFonts w:hint="default" w:ascii="Times New Roman" w:hAnsi="Times New Roman" w:eastAsia="宋体" w:cs="Times New Roman"/>
                <w:spacing w:val="11"/>
                <w:sz w:val="21"/>
                <w:szCs w:val="21"/>
                <w:highlight w:val="none"/>
              </w:rPr>
              <w:t>、</w:t>
            </w:r>
          </w:p>
          <w:p w14:paraId="2A03FFB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BOD</w:t>
            </w:r>
            <w:r>
              <w:rPr>
                <w:rFonts w:hint="default" w:ascii="Times New Roman" w:hAnsi="Times New Roman" w:eastAsia="宋体" w:cs="Times New Roman"/>
                <w:spacing w:val="10"/>
                <w:position w:val="-1"/>
                <w:sz w:val="21"/>
                <w:szCs w:val="21"/>
                <w:highlight w:val="none"/>
                <w:vertAlign w:val="subscript"/>
              </w:rPr>
              <w:t>5</w:t>
            </w:r>
            <w:r>
              <w:rPr>
                <w:rFonts w:hint="default" w:ascii="Times New Roman" w:hAnsi="Times New Roman" w:eastAsia="宋体" w:cs="Times New Roman"/>
                <w:spacing w:val="10"/>
                <w:sz w:val="21"/>
                <w:szCs w:val="21"/>
                <w:highlight w:val="none"/>
              </w:rPr>
              <w:t>、</w:t>
            </w:r>
          </w:p>
          <w:p w14:paraId="73624FA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NH</w:t>
            </w:r>
            <w:r>
              <w:rPr>
                <w:rFonts w:hint="default" w:ascii="Times New Roman" w:hAnsi="Times New Roman" w:eastAsia="宋体" w:cs="Times New Roman"/>
                <w:spacing w:val="1"/>
                <w:sz w:val="21"/>
                <w:szCs w:val="21"/>
                <w:highlight w:val="none"/>
                <w:vertAlign w:val="subscript"/>
              </w:rPr>
              <w:t>3</w:t>
            </w:r>
            <w:r>
              <w:rPr>
                <w:rFonts w:hint="default" w:ascii="Times New Roman" w:hAnsi="Times New Roman" w:eastAsia="宋体" w:cs="Times New Roman"/>
                <w:spacing w:val="1"/>
                <w:sz w:val="21"/>
                <w:szCs w:val="21"/>
                <w:highlight w:val="none"/>
              </w:rPr>
              <w:t>-N、</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3"/>
                <w:sz w:val="21"/>
                <w:szCs w:val="21"/>
                <w:highlight w:val="none"/>
              </w:rPr>
              <w:t>SS</w:t>
            </w:r>
            <w:r>
              <w:rPr>
                <w:rFonts w:hint="default" w:ascii="Times New Roman" w:hAnsi="Times New Roman" w:eastAsia="宋体" w:cs="Times New Roman"/>
                <w:spacing w:val="-3"/>
                <w:sz w:val="21"/>
                <w:szCs w:val="21"/>
                <w:highlight w:val="none"/>
                <w:lang w:eastAsia="zh-CN"/>
              </w:rPr>
              <w:t>、</w:t>
            </w:r>
            <w:r>
              <w:rPr>
                <w:rFonts w:hint="default" w:ascii="Times New Roman" w:hAnsi="Times New Roman" w:eastAsia="宋体" w:cs="Times New Roman"/>
                <w:i w:val="0"/>
                <w:iCs w:val="0"/>
                <w:color w:val="000000"/>
                <w:kern w:val="0"/>
                <w:sz w:val="21"/>
                <w:szCs w:val="21"/>
                <w:highlight w:val="none"/>
                <w:u w:val="none"/>
                <w:lang w:val="en-US" w:eastAsia="zh-CN" w:bidi="ar"/>
              </w:rPr>
              <w:t>动植物油</w:t>
            </w:r>
          </w:p>
        </w:tc>
        <w:tc>
          <w:tcPr>
            <w:tcW w:w="476" w:type="pct"/>
            <w:vMerge w:val="continue"/>
            <w:tcBorders>
              <w:tl2br w:val="nil"/>
              <w:tr2bl w:val="nil"/>
            </w:tcBorders>
            <w:vAlign w:val="center"/>
          </w:tcPr>
          <w:p w14:paraId="49A6044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sz w:val="21"/>
                <w:szCs w:val="21"/>
                <w:highlight w:val="none"/>
              </w:rPr>
            </w:pPr>
          </w:p>
        </w:tc>
        <w:tc>
          <w:tcPr>
            <w:tcW w:w="436" w:type="pct"/>
            <w:vMerge w:val="continue"/>
            <w:tcBorders>
              <w:tl2br w:val="nil"/>
              <w:tr2bl w:val="nil"/>
            </w:tcBorders>
            <w:vAlign w:val="center"/>
          </w:tcPr>
          <w:p w14:paraId="050B18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9" w:type="pct"/>
            <w:tcBorders>
              <w:tl2br w:val="nil"/>
              <w:tr2bl w:val="nil"/>
            </w:tcBorders>
            <w:vAlign w:val="center"/>
          </w:tcPr>
          <w:p w14:paraId="59465AD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w:t>
            </w:r>
            <w:r>
              <w:rPr>
                <w:rFonts w:hint="default" w:ascii="Times New Roman" w:hAnsi="Times New Roman" w:eastAsia="宋体" w:cs="Times New Roman"/>
                <w:spacing w:val="7"/>
                <w:sz w:val="21"/>
                <w:szCs w:val="21"/>
                <w:highlight w:val="none"/>
              </w:rPr>
              <w:t>002</w:t>
            </w:r>
          </w:p>
        </w:tc>
        <w:tc>
          <w:tcPr>
            <w:tcW w:w="526" w:type="pct"/>
            <w:tcBorders>
              <w:tl2br w:val="nil"/>
              <w:tr2bl w:val="nil"/>
            </w:tcBorders>
            <w:vAlign w:val="center"/>
          </w:tcPr>
          <w:p w14:paraId="665E220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化粪池</w:t>
            </w:r>
          </w:p>
        </w:tc>
        <w:tc>
          <w:tcPr>
            <w:tcW w:w="527" w:type="pct"/>
            <w:tcBorders>
              <w:tl2br w:val="nil"/>
              <w:tr2bl w:val="nil"/>
            </w:tcBorders>
            <w:vAlign w:val="center"/>
          </w:tcPr>
          <w:p w14:paraId="303EEB3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厌氧</w:t>
            </w:r>
          </w:p>
        </w:tc>
        <w:tc>
          <w:tcPr>
            <w:tcW w:w="381" w:type="pct"/>
            <w:vMerge w:val="continue"/>
            <w:tcBorders>
              <w:tl2br w:val="nil"/>
              <w:tr2bl w:val="nil"/>
            </w:tcBorders>
            <w:vAlign w:val="center"/>
          </w:tcPr>
          <w:p w14:paraId="543772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05" w:type="pct"/>
            <w:vMerge w:val="continue"/>
            <w:tcBorders>
              <w:tl2br w:val="nil"/>
              <w:tr2bl w:val="nil"/>
            </w:tcBorders>
            <w:vAlign w:val="center"/>
          </w:tcPr>
          <w:p w14:paraId="642C7E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02" w:type="pct"/>
            <w:vMerge w:val="continue"/>
            <w:tcBorders>
              <w:tl2br w:val="nil"/>
              <w:tr2bl w:val="nil"/>
            </w:tcBorders>
            <w:vAlign w:val="center"/>
          </w:tcPr>
          <w:p w14:paraId="65418C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r>
      <w:tr w14:paraId="22FB7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4" w:hRule="atLeast"/>
        </w:trPr>
        <w:tc>
          <w:tcPr>
            <w:tcW w:w="386" w:type="pct"/>
            <w:vMerge w:val="continue"/>
            <w:tcBorders>
              <w:tl2br w:val="nil"/>
              <w:tr2bl w:val="nil"/>
            </w:tcBorders>
            <w:vAlign w:val="center"/>
          </w:tcPr>
          <w:p w14:paraId="13BDEE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78" w:type="pct"/>
            <w:vMerge w:val="continue"/>
            <w:tcBorders>
              <w:tl2br w:val="nil"/>
              <w:tr2bl w:val="nil"/>
            </w:tcBorders>
            <w:vAlign w:val="center"/>
          </w:tcPr>
          <w:p w14:paraId="7636A7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6" w:type="pct"/>
            <w:vMerge w:val="continue"/>
            <w:tcBorders>
              <w:tl2br w:val="nil"/>
              <w:tr2bl w:val="nil"/>
            </w:tcBorders>
            <w:vAlign w:val="center"/>
          </w:tcPr>
          <w:p w14:paraId="222B74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36" w:type="pct"/>
            <w:vMerge w:val="continue"/>
            <w:tcBorders>
              <w:tl2br w:val="nil"/>
              <w:tr2bl w:val="nil"/>
            </w:tcBorders>
            <w:vAlign w:val="center"/>
          </w:tcPr>
          <w:p w14:paraId="106737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9" w:type="pct"/>
            <w:tcBorders>
              <w:tl2br w:val="nil"/>
              <w:tr2bl w:val="nil"/>
            </w:tcBorders>
            <w:vAlign w:val="center"/>
          </w:tcPr>
          <w:p w14:paraId="4AD800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25D84C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B5F3C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w:t>
            </w:r>
            <w:r>
              <w:rPr>
                <w:rFonts w:hint="default" w:ascii="Times New Roman" w:hAnsi="Times New Roman" w:eastAsia="宋体" w:cs="Times New Roman"/>
                <w:spacing w:val="7"/>
                <w:sz w:val="21"/>
                <w:szCs w:val="21"/>
                <w:highlight w:val="none"/>
              </w:rPr>
              <w:t>001</w:t>
            </w:r>
          </w:p>
        </w:tc>
        <w:tc>
          <w:tcPr>
            <w:tcW w:w="526" w:type="pct"/>
            <w:tcBorders>
              <w:tl2br w:val="nil"/>
              <w:tr2bl w:val="nil"/>
            </w:tcBorders>
            <w:vAlign w:val="center"/>
          </w:tcPr>
          <w:p w14:paraId="41A034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BCE8E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54C8869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隔油池</w:t>
            </w:r>
          </w:p>
        </w:tc>
        <w:tc>
          <w:tcPr>
            <w:tcW w:w="527" w:type="pct"/>
            <w:tcBorders>
              <w:tl2br w:val="nil"/>
              <w:tr2bl w:val="nil"/>
            </w:tcBorders>
            <w:vAlign w:val="center"/>
          </w:tcPr>
          <w:p w14:paraId="3157E0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711A75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6545CA8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隔油</w:t>
            </w:r>
          </w:p>
        </w:tc>
        <w:tc>
          <w:tcPr>
            <w:tcW w:w="381" w:type="pct"/>
            <w:vMerge w:val="continue"/>
            <w:tcBorders>
              <w:tl2br w:val="nil"/>
              <w:tr2bl w:val="nil"/>
            </w:tcBorders>
            <w:vAlign w:val="center"/>
          </w:tcPr>
          <w:p w14:paraId="0FC2E6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05" w:type="pct"/>
            <w:vMerge w:val="continue"/>
            <w:tcBorders>
              <w:tl2br w:val="nil"/>
              <w:tr2bl w:val="nil"/>
            </w:tcBorders>
            <w:vAlign w:val="center"/>
          </w:tcPr>
          <w:p w14:paraId="132C89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02" w:type="pct"/>
            <w:vMerge w:val="continue"/>
            <w:tcBorders>
              <w:tl2br w:val="nil"/>
              <w:tr2bl w:val="nil"/>
            </w:tcBorders>
            <w:vAlign w:val="center"/>
          </w:tcPr>
          <w:p w14:paraId="68183B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r>
    </w:tbl>
    <w:p w14:paraId="71F044A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p>
    <w:p w14:paraId="1851FD1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p>
    <w:p w14:paraId="7A919B9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p>
    <w:p w14:paraId="7EDAC92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p>
    <w:p w14:paraId="0FB9E24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 6.3-2  废水间接排放口基本情况表</w:t>
      </w:r>
    </w:p>
    <w:tbl>
      <w:tblPr>
        <w:tblStyle w:val="37"/>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20"/>
        <w:gridCol w:w="1424"/>
        <w:gridCol w:w="1327"/>
        <w:gridCol w:w="781"/>
        <w:gridCol w:w="543"/>
        <w:gridCol w:w="648"/>
        <w:gridCol w:w="693"/>
        <w:gridCol w:w="980"/>
        <w:gridCol w:w="1086"/>
      </w:tblGrid>
      <w:tr w14:paraId="4C410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494" w:type="pct"/>
            <w:vMerge w:val="restart"/>
            <w:tcBorders>
              <w:tl2br w:val="nil"/>
              <w:tr2bl w:val="nil"/>
            </w:tcBorders>
            <w:vAlign w:val="center"/>
          </w:tcPr>
          <w:p w14:paraId="314C4B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20E6006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排放口</w:t>
            </w:r>
            <w:r>
              <w:rPr>
                <w:rFonts w:hint="default" w:ascii="Times New Roman" w:hAnsi="Times New Roman" w:eastAsia="宋体" w:cs="Times New Roman"/>
                <w:spacing w:val="1"/>
                <w:sz w:val="21"/>
                <w:szCs w:val="21"/>
                <w:highlight w:val="none"/>
              </w:rPr>
              <w:t xml:space="preserve"> </w:t>
            </w:r>
            <w:r>
              <w:rPr>
                <w:rFonts w:hint="default" w:ascii="Times New Roman" w:hAnsi="Times New Roman" w:eastAsia="宋体" w:cs="Times New Roman"/>
                <w:spacing w:val="3"/>
                <w:sz w:val="21"/>
                <w:szCs w:val="21"/>
                <w:highlight w:val="none"/>
              </w:rPr>
              <w:t>编号</w:t>
            </w:r>
          </w:p>
        </w:tc>
        <w:tc>
          <w:tcPr>
            <w:tcW w:w="1656" w:type="pct"/>
            <w:gridSpan w:val="2"/>
            <w:tcBorders>
              <w:tl2br w:val="nil"/>
              <w:tr2bl w:val="nil"/>
            </w:tcBorders>
            <w:vAlign w:val="center"/>
          </w:tcPr>
          <w:p w14:paraId="51AD4AE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排放口地理坐标</w:t>
            </w:r>
          </w:p>
        </w:tc>
        <w:tc>
          <w:tcPr>
            <w:tcW w:w="470" w:type="pct"/>
            <w:vMerge w:val="restart"/>
            <w:tcBorders>
              <w:tl2br w:val="nil"/>
              <w:tr2bl w:val="nil"/>
            </w:tcBorders>
            <w:vAlign w:val="center"/>
          </w:tcPr>
          <w:p w14:paraId="3301519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废水排</w:t>
            </w:r>
          </w:p>
          <w:p w14:paraId="38904EC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放量</w:t>
            </w:r>
          </w:p>
          <w:p w14:paraId="41B4C85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r>
              <w:rPr>
                <w:rFonts w:hint="eastAsia" w:ascii="Times New Roman" w:hAnsi="Times New Roman" w:cs="Times New Roman"/>
                <w:sz w:val="21"/>
                <w:szCs w:val="21"/>
                <w:highlight w:val="none"/>
                <w:lang w:val="en-US" w:eastAsia="zh-CN"/>
              </w:rPr>
              <w:t>a</w:t>
            </w:r>
            <w:r>
              <w:rPr>
                <w:rFonts w:hint="default" w:ascii="Times New Roman" w:hAnsi="Times New Roman" w:eastAsia="宋体" w:cs="Times New Roman"/>
                <w:sz w:val="21"/>
                <w:szCs w:val="21"/>
                <w:highlight w:val="none"/>
              </w:rPr>
              <w:t>）</w:t>
            </w:r>
          </w:p>
        </w:tc>
        <w:tc>
          <w:tcPr>
            <w:tcW w:w="327" w:type="pct"/>
            <w:vMerge w:val="restart"/>
            <w:tcBorders>
              <w:tl2br w:val="nil"/>
              <w:tr2bl w:val="nil"/>
            </w:tcBorders>
            <w:textDirection w:val="tbRlV"/>
            <w:vAlign w:val="center"/>
          </w:tcPr>
          <w:p w14:paraId="480C18B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排</w:t>
            </w:r>
            <w:r>
              <w:rPr>
                <w:rFonts w:hint="default" w:ascii="Times New Roman" w:hAnsi="Times New Roman" w:eastAsia="宋体" w:cs="Times New Roman"/>
                <w:spacing w:val="-36"/>
                <w:sz w:val="21"/>
                <w:szCs w:val="21"/>
                <w:highlight w:val="none"/>
              </w:rPr>
              <w:t xml:space="preserve"> </w:t>
            </w:r>
            <w:r>
              <w:rPr>
                <w:rFonts w:hint="default" w:ascii="Times New Roman" w:hAnsi="Times New Roman" w:eastAsia="宋体" w:cs="Times New Roman"/>
                <w:spacing w:val="8"/>
                <w:sz w:val="21"/>
                <w:szCs w:val="21"/>
                <w:highlight w:val="none"/>
              </w:rPr>
              <w:t>放</w:t>
            </w:r>
            <w:r>
              <w:rPr>
                <w:rFonts w:hint="default" w:ascii="Times New Roman" w:hAnsi="Times New Roman" w:eastAsia="宋体" w:cs="Times New Roman"/>
                <w:spacing w:val="-35"/>
                <w:sz w:val="21"/>
                <w:szCs w:val="21"/>
                <w:highlight w:val="none"/>
              </w:rPr>
              <w:t xml:space="preserve"> </w:t>
            </w:r>
            <w:r>
              <w:rPr>
                <w:rFonts w:hint="default" w:ascii="Times New Roman" w:hAnsi="Times New Roman" w:eastAsia="宋体" w:cs="Times New Roman"/>
                <w:spacing w:val="8"/>
                <w:sz w:val="21"/>
                <w:szCs w:val="21"/>
                <w:highlight w:val="none"/>
              </w:rPr>
              <w:t>去</w:t>
            </w:r>
            <w:r>
              <w:rPr>
                <w:rFonts w:hint="default" w:ascii="Times New Roman" w:hAnsi="Times New Roman" w:eastAsia="宋体" w:cs="Times New Roman"/>
                <w:spacing w:val="-38"/>
                <w:sz w:val="21"/>
                <w:szCs w:val="21"/>
                <w:highlight w:val="none"/>
              </w:rPr>
              <w:t xml:space="preserve"> </w:t>
            </w:r>
            <w:r>
              <w:rPr>
                <w:rFonts w:hint="default" w:ascii="Times New Roman" w:hAnsi="Times New Roman" w:eastAsia="宋体" w:cs="Times New Roman"/>
                <w:spacing w:val="8"/>
                <w:sz w:val="21"/>
                <w:szCs w:val="21"/>
                <w:highlight w:val="none"/>
              </w:rPr>
              <w:t>向</w:t>
            </w:r>
          </w:p>
        </w:tc>
        <w:tc>
          <w:tcPr>
            <w:tcW w:w="390" w:type="pct"/>
            <w:vMerge w:val="restart"/>
            <w:tcBorders>
              <w:tl2br w:val="nil"/>
              <w:tr2bl w:val="nil"/>
            </w:tcBorders>
            <w:vAlign w:val="center"/>
          </w:tcPr>
          <w:p w14:paraId="205170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336FEA6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排放</w:t>
            </w:r>
          </w:p>
          <w:p w14:paraId="15BE4A6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规律</w:t>
            </w:r>
          </w:p>
        </w:tc>
        <w:tc>
          <w:tcPr>
            <w:tcW w:w="1661" w:type="pct"/>
            <w:gridSpan w:val="3"/>
            <w:tcBorders>
              <w:tl2br w:val="nil"/>
              <w:tr2bl w:val="nil"/>
            </w:tcBorders>
            <w:vAlign w:val="center"/>
          </w:tcPr>
          <w:p w14:paraId="2EA0093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受纳污水处理厂信息</w:t>
            </w:r>
          </w:p>
        </w:tc>
      </w:tr>
      <w:tr w14:paraId="2E050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494" w:type="pct"/>
            <w:vMerge w:val="continue"/>
            <w:tcBorders>
              <w:tl2br w:val="nil"/>
              <w:tr2bl w:val="nil"/>
            </w:tcBorders>
            <w:vAlign w:val="center"/>
          </w:tcPr>
          <w:p w14:paraId="3EAC6F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tcBorders>
              <w:tl2br w:val="nil"/>
              <w:tr2bl w:val="nil"/>
            </w:tcBorders>
            <w:vAlign w:val="center"/>
          </w:tcPr>
          <w:p w14:paraId="0788E18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经度</w:t>
            </w:r>
          </w:p>
        </w:tc>
        <w:tc>
          <w:tcPr>
            <w:tcW w:w="799" w:type="pct"/>
            <w:tcBorders>
              <w:tl2br w:val="nil"/>
              <w:tr2bl w:val="nil"/>
            </w:tcBorders>
            <w:vAlign w:val="center"/>
          </w:tcPr>
          <w:p w14:paraId="3FE3071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纬度</w:t>
            </w:r>
          </w:p>
        </w:tc>
        <w:tc>
          <w:tcPr>
            <w:tcW w:w="470" w:type="pct"/>
            <w:vMerge w:val="continue"/>
            <w:tcBorders>
              <w:tl2br w:val="nil"/>
              <w:tr2bl w:val="nil"/>
            </w:tcBorders>
            <w:vAlign w:val="center"/>
          </w:tcPr>
          <w:p w14:paraId="6EC2AC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5F3F8B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5F6A4B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tcBorders>
              <w:tl2br w:val="nil"/>
              <w:tr2bl w:val="nil"/>
            </w:tcBorders>
            <w:vAlign w:val="center"/>
          </w:tcPr>
          <w:p w14:paraId="2D80B31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名称</w:t>
            </w:r>
          </w:p>
        </w:tc>
        <w:tc>
          <w:tcPr>
            <w:tcW w:w="590" w:type="pct"/>
            <w:tcBorders>
              <w:tl2br w:val="nil"/>
              <w:tr2bl w:val="nil"/>
            </w:tcBorders>
            <w:vAlign w:val="center"/>
          </w:tcPr>
          <w:p w14:paraId="2BE7F4D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污染物</w:t>
            </w:r>
            <w:r>
              <w:rPr>
                <w:rFonts w:hint="default" w:ascii="Times New Roman" w:hAnsi="Times New Roman" w:eastAsia="宋体" w:cs="Times New Roman"/>
                <w:sz w:val="21"/>
                <w:szCs w:val="21"/>
                <w:highlight w:val="none"/>
              </w:rPr>
              <w:t xml:space="preserve"> </w:t>
            </w:r>
            <w:r>
              <w:rPr>
                <w:rFonts w:hint="default" w:ascii="Times New Roman" w:hAnsi="Times New Roman" w:eastAsia="宋体" w:cs="Times New Roman"/>
                <w:spacing w:val="4"/>
                <w:sz w:val="21"/>
                <w:szCs w:val="21"/>
                <w:highlight w:val="none"/>
              </w:rPr>
              <w:t>种类</w:t>
            </w:r>
          </w:p>
        </w:tc>
        <w:tc>
          <w:tcPr>
            <w:tcW w:w="653" w:type="pct"/>
            <w:tcBorders>
              <w:tl2br w:val="nil"/>
              <w:tr2bl w:val="nil"/>
            </w:tcBorders>
            <w:vAlign w:val="center"/>
          </w:tcPr>
          <w:p w14:paraId="223109D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标准浓度</w:t>
            </w:r>
          </w:p>
          <w:p w14:paraId="306F251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限值</w:t>
            </w:r>
          </w:p>
        </w:tc>
      </w:tr>
      <w:tr w14:paraId="7A762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494" w:type="pct"/>
            <w:vMerge w:val="restart"/>
            <w:tcBorders>
              <w:tl2br w:val="nil"/>
              <w:tr2bl w:val="nil"/>
            </w:tcBorders>
            <w:vAlign w:val="center"/>
          </w:tcPr>
          <w:p w14:paraId="03C61D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41D4D3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p w14:paraId="6FDF37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DW</w:t>
            </w:r>
            <w:r>
              <w:rPr>
                <w:rFonts w:hint="default" w:ascii="Times New Roman" w:hAnsi="Times New Roman" w:eastAsia="宋体" w:cs="Times New Roman"/>
                <w:spacing w:val="8"/>
                <w:sz w:val="21"/>
                <w:szCs w:val="21"/>
                <w:highlight w:val="none"/>
              </w:rPr>
              <w:t>001</w:t>
            </w:r>
          </w:p>
        </w:tc>
        <w:tc>
          <w:tcPr>
            <w:tcW w:w="857" w:type="pct"/>
            <w:vMerge w:val="restart"/>
            <w:tcBorders>
              <w:tl2br w:val="nil"/>
              <w:tr2bl w:val="nil"/>
            </w:tcBorders>
            <w:vAlign w:val="center"/>
          </w:tcPr>
          <w:p w14:paraId="741684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113°8′24.82506″</w:t>
            </w:r>
          </w:p>
        </w:tc>
        <w:tc>
          <w:tcPr>
            <w:tcW w:w="799" w:type="pct"/>
            <w:vMerge w:val="restart"/>
            <w:tcBorders>
              <w:tl2br w:val="nil"/>
              <w:tr2bl w:val="nil"/>
            </w:tcBorders>
            <w:vAlign w:val="center"/>
          </w:tcPr>
          <w:p w14:paraId="7B542D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29°7′18.92337″</w:t>
            </w:r>
          </w:p>
        </w:tc>
        <w:tc>
          <w:tcPr>
            <w:tcW w:w="470" w:type="pct"/>
            <w:vMerge w:val="restart"/>
            <w:tcBorders>
              <w:tl2br w:val="nil"/>
              <w:tr2bl w:val="nil"/>
            </w:tcBorders>
            <w:vAlign w:val="center"/>
          </w:tcPr>
          <w:p w14:paraId="5EF23D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779.2</w:t>
            </w:r>
          </w:p>
          <w:p w14:paraId="54D15E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restart"/>
            <w:tcBorders>
              <w:tl2br w:val="nil"/>
              <w:tr2bl w:val="nil"/>
            </w:tcBorders>
            <w:textDirection w:val="tbRlV"/>
            <w:vAlign w:val="center"/>
          </w:tcPr>
          <w:p w14:paraId="730D935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污</w:t>
            </w:r>
            <w:r>
              <w:rPr>
                <w:rFonts w:hint="default" w:ascii="Times New Roman" w:hAnsi="Times New Roman" w:eastAsia="宋体" w:cs="Times New Roman"/>
                <w:spacing w:val="-35"/>
                <w:sz w:val="21"/>
                <w:szCs w:val="21"/>
                <w:highlight w:val="none"/>
              </w:rPr>
              <w:t xml:space="preserve"> </w:t>
            </w:r>
            <w:r>
              <w:rPr>
                <w:rFonts w:hint="default" w:ascii="Times New Roman" w:hAnsi="Times New Roman" w:eastAsia="宋体" w:cs="Times New Roman"/>
                <w:spacing w:val="8"/>
                <w:sz w:val="21"/>
                <w:szCs w:val="21"/>
                <w:highlight w:val="none"/>
              </w:rPr>
              <w:t>水</w:t>
            </w:r>
            <w:r>
              <w:rPr>
                <w:rFonts w:hint="default" w:ascii="Times New Roman" w:hAnsi="Times New Roman" w:eastAsia="宋体" w:cs="Times New Roman"/>
                <w:spacing w:val="-35"/>
                <w:sz w:val="21"/>
                <w:szCs w:val="21"/>
                <w:highlight w:val="none"/>
              </w:rPr>
              <w:t xml:space="preserve"> </w:t>
            </w:r>
            <w:r>
              <w:rPr>
                <w:rFonts w:hint="default" w:ascii="Times New Roman" w:hAnsi="Times New Roman" w:eastAsia="宋体" w:cs="Times New Roman"/>
                <w:spacing w:val="8"/>
                <w:sz w:val="21"/>
                <w:szCs w:val="21"/>
                <w:highlight w:val="none"/>
              </w:rPr>
              <w:t>处</w:t>
            </w:r>
            <w:r>
              <w:rPr>
                <w:rFonts w:hint="default" w:ascii="Times New Roman" w:hAnsi="Times New Roman" w:eastAsia="宋体" w:cs="Times New Roman"/>
                <w:spacing w:val="-38"/>
                <w:sz w:val="21"/>
                <w:szCs w:val="21"/>
                <w:highlight w:val="none"/>
              </w:rPr>
              <w:t xml:space="preserve"> </w:t>
            </w:r>
            <w:r>
              <w:rPr>
                <w:rFonts w:hint="default" w:ascii="Times New Roman" w:hAnsi="Times New Roman" w:eastAsia="宋体" w:cs="Times New Roman"/>
                <w:spacing w:val="8"/>
                <w:sz w:val="21"/>
                <w:szCs w:val="21"/>
                <w:highlight w:val="none"/>
              </w:rPr>
              <w:t>理</w:t>
            </w:r>
            <w:r>
              <w:rPr>
                <w:rFonts w:hint="default" w:ascii="Times New Roman" w:hAnsi="Times New Roman" w:eastAsia="宋体" w:cs="Times New Roman"/>
                <w:spacing w:val="-35"/>
                <w:sz w:val="21"/>
                <w:szCs w:val="21"/>
                <w:highlight w:val="none"/>
              </w:rPr>
              <w:t xml:space="preserve"> </w:t>
            </w:r>
            <w:r>
              <w:rPr>
                <w:rFonts w:hint="default" w:ascii="Times New Roman" w:hAnsi="Times New Roman" w:eastAsia="宋体" w:cs="Times New Roman"/>
                <w:spacing w:val="8"/>
                <w:sz w:val="21"/>
                <w:szCs w:val="21"/>
                <w:highlight w:val="none"/>
              </w:rPr>
              <w:t>厂</w:t>
            </w:r>
          </w:p>
        </w:tc>
        <w:tc>
          <w:tcPr>
            <w:tcW w:w="390" w:type="pct"/>
            <w:vMerge w:val="restart"/>
            <w:tcBorders>
              <w:tl2br w:val="nil"/>
              <w:tr2bl w:val="nil"/>
            </w:tcBorders>
            <w:vAlign w:val="center"/>
          </w:tcPr>
          <w:p w14:paraId="153063C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间歇</w:t>
            </w:r>
          </w:p>
          <w:p w14:paraId="67B2B6D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排</w:t>
            </w:r>
          </w:p>
          <w:p w14:paraId="3831120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放，</w:t>
            </w:r>
          </w:p>
          <w:p w14:paraId="1FEA3D99">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流量</w:t>
            </w:r>
          </w:p>
          <w:p w14:paraId="770BAA6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稳</w:t>
            </w:r>
          </w:p>
          <w:p w14:paraId="186F404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rFonts w:hint="default" w:ascii="Times New Roman" w:hAnsi="Times New Roman" w:eastAsia="宋体" w:cs="Times New Roman"/>
                <w:spacing w:val="-3"/>
                <w:sz w:val="21"/>
                <w:szCs w:val="21"/>
                <w:highlight w:val="none"/>
              </w:rPr>
              <w:t>定，</w:t>
            </w:r>
            <w:r>
              <w:rPr>
                <w:spacing w:val="5"/>
                <w:highlight w:val="none"/>
              </w:rPr>
              <w:t>无周</w:t>
            </w:r>
          </w:p>
          <w:p w14:paraId="0B92356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3"/>
                <w:highlight w:val="none"/>
              </w:rPr>
              <w:t>期性</w:t>
            </w:r>
          </w:p>
          <w:p w14:paraId="40F97D1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spacing w:val="4"/>
                <w:highlight w:val="none"/>
              </w:rPr>
              <w:t>规律</w:t>
            </w:r>
          </w:p>
        </w:tc>
        <w:tc>
          <w:tcPr>
            <w:tcW w:w="417" w:type="pct"/>
            <w:vMerge w:val="restart"/>
            <w:tcBorders>
              <w:tl2br w:val="nil"/>
              <w:tr2bl w:val="nil"/>
            </w:tcBorders>
            <w:vAlign w:val="center"/>
          </w:tcPr>
          <w:p w14:paraId="55CA5E8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岳阳</w:t>
            </w:r>
          </w:p>
          <w:p w14:paraId="1BD45A7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高新</w:t>
            </w:r>
          </w:p>
          <w:p w14:paraId="0085522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技术</w:t>
            </w:r>
          </w:p>
          <w:p w14:paraId="6470DEC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产业</w:t>
            </w:r>
          </w:p>
          <w:p w14:paraId="51A53ED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园区</w:t>
            </w:r>
          </w:p>
          <w:p w14:paraId="1D0D050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污水</w:t>
            </w:r>
            <w:r>
              <w:rPr>
                <w:spacing w:val="2"/>
                <w:highlight w:val="none"/>
              </w:rPr>
              <w:t>处理</w:t>
            </w:r>
            <w:r>
              <w:rPr>
                <w:highlight w:val="none"/>
              </w:rPr>
              <w:t>厂</w:t>
            </w:r>
          </w:p>
        </w:tc>
        <w:tc>
          <w:tcPr>
            <w:tcW w:w="590" w:type="pct"/>
            <w:tcBorders>
              <w:tl2br w:val="nil"/>
              <w:tr2bl w:val="nil"/>
            </w:tcBorders>
            <w:vAlign w:val="center"/>
          </w:tcPr>
          <w:p w14:paraId="4EC6BC0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pH</w:t>
            </w:r>
            <w:r>
              <w:rPr>
                <w:rFonts w:hint="default" w:ascii="Times New Roman" w:hAnsi="Times New Roman" w:eastAsia="宋体" w:cs="Times New Roman"/>
                <w:spacing w:val="11"/>
                <w:sz w:val="21"/>
                <w:szCs w:val="21"/>
                <w:highlight w:val="none"/>
              </w:rPr>
              <w:t xml:space="preserve"> </w:t>
            </w:r>
            <w:r>
              <w:rPr>
                <w:rFonts w:hint="default" w:ascii="Times New Roman" w:hAnsi="Times New Roman" w:eastAsia="宋体" w:cs="Times New Roman"/>
                <w:spacing w:val="13"/>
                <w:sz w:val="21"/>
                <w:szCs w:val="21"/>
                <w:highlight w:val="none"/>
              </w:rPr>
              <w:t>值</w:t>
            </w:r>
          </w:p>
        </w:tc>
        <w:tc>
          <w:tcPr>
            <w:tcW w:w="653" w:type="pct"/>
            <w:tcBorders>
              <w:tl2br w:val="nil"/>
              <w:tr2bl w:val="nil"/>
            </w:tcBorders>
            <w:vAlign w:val="center"/>
          </w:tcPr>
          <w:p w14:paraId="591C64B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6~9（无量</w:t>
            </w:r>
          </w:p>
          <w:p w14:paraId="4B78716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2"/>
                <w:sz w:val="21"/>
                <w:szCs w:val="21"/>
                <w:highlight w:val="none"/>
              </w:rPr>
              <w:t>纲）</w:t>
            </w:r>
          </w:p>
        </w:tc>
      </w:tr>
      <w:tr w14:paraId="578DF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494" w:type="pct"/>
            <w:vMerge w:val="continue"/>
            <w:tcBorders>
              <w:tl2br w:val="nil"/>
              <w:tr2bl w:val="nil"/>
            </w:tcBorders>
            <w:vAlign w:val="center"/>
          </w:tcPr>
          <w:p w14:paraId="368AE9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vMerge w:val="continue"/>
            <w:tcBorders>
              <w:tl2br w:val="nil"/>
              <w:tr2bl w:val="nil"/>
            </w:tcBorders>
            <w:vAlign w:val="center"/>
          </w:tcPr>
          <w:p w14:paraId="3AF8CF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799" w:type="pct"/>
            <w:vMerge w:val="continue"/>
            <w:tcBorders>
              <w:tl2br w:val="nil"/>
              <w:tr2bl w:val="nil"/>
            </w:tcBorders>
            <w:vAlign w:val="center"/>
          </w:tcPr>
          <w:p w14:paraId="518525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vMerge w:val="continue"/>
            <w:tcBorders>
              <w:tl2br w:val="nil"/>
              <w:tr2bl w:val="nil"/>
            </w:tcBorders>
            <w:vAlign w:val="center"/>
          </w:tcPr>
          <w:p w14:paraId="50288D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329EC7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26E45A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vAlign w:val="center"/>
          </w:tcPr>
          <w:p w14:paraId="4534B6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90" w:type="pct"/>
            <w:tcBorders>
              <w:tl2br w:val="nil"/>
              <w:tr2bl w:val="nil"/>
            </w:tcBorders>
            <w:vAlign w:val="center"/>
          </w:tcPr>
          <w:p w14:paraId="13F189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pacing w:val="3"/>
                <w:sz w:val="21"/>
                <w:szCs w:val="21"/>
                <w:highlight w:val="none"/>
              </w:rPr>
              <w:t>COD</w:t>
            </w:r>
            <w:r>
              <w:rPr>
                <w:rFonts w:hint="eastAsia" w:ascii="Times New Roman" w:hAnsi="Times New Roman" w:eastAsia="宋体" w:cs="Times New Roman"/>
                <w:spacing w:val="3"/>
                <w:sz w:val="21"/>
                <w:szCs w:val="21"/>
                <w:highlight w:val="none"/>
                <w:lang w:val="en-US" w:eastAsia="zh-CN"/>
              </w:rPr>
              <w:t>r</w:t>
            </w:r>
          </w:p>
        </w:tc>
        <w:tc>
          <w:tcPr>
            <w:tcW w:w="653" w:type="pct"/>
            <w:tcBorders>
              <w:tl2br w:val="nil"/>
              <w:tr2bl w:val="nil"/>
            </w:tcBorders>
            <w:vAlign w:val="center"/>
          </w:tcPr>
          <w:p w14:paraId="391C48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4"/>
                <w:sz w:val="21"/>
                <w:szCs w:val="21"/>
                <w:highlight w:val="none"/>
              </w:rPr>
              <w:t>50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4"/>
                <w:sz w:val="21"/>
                <w:szCs w:val="21"/>
                <w:highlight w:val="none"/>
              </w:rPr>
              <w:t>/L</w:t>
            </w:r>
          </w:p>
        </w:tc>
      </w:tr>
      <w:tr w14:paraId="78034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494" w:type="pct"/>
            <w:vMerge w:val="continue"/>
            <w:tcBorders>
              <w:tl2br w:val="nil"/>
              <w:tr2bl w:val="nil"/>
            </w:tcBorders>
            <w:vAlign w:val="center"/>
          </w:tcPr>
          <w:p w14:paraId="31C896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vMerge w:val="continue"/>
            <w:tcBorders>
              <w:tl2br w:val="nil"/>
              <w:tr2bl w:val="nil"/>
            </w:tcBorders>
            <w:vAlign w:val="center"/>
          </w:tcPr>
          <w:p w14:paraId="364DA1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799" w:type="pct"/>
            <w:vMerge w:val="continue"/>
            <w:tcBorders>
              <w:tl2br w:val="nil"/>
              <w:tr2bl w:val="nil"/>
            </w:tcBorders>
            <w:vAlign w:val="center"/>
          </w:tcPr>
          <w:p w14:paraId="5F324D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vMerge w:val="continue"/>
            <w:tcBorders>
              <w:tl2br w:val="nil"/>
              <w:tr2bl w:val="nil"/>
            </w:tcBorders>
            <w:vAlign w:val="center"/>
          </w:tcPr>
          <w:p w14:paraId="31CE21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4EBF97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3A2EAF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vAlign w:val="center"/>
          </w:tcPr>
          <w:p w14:paraId="3733A2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90" w:type="pct"/>
            <w:tcBorders>
              <w:tl2br w:val="nil"/>
              <w:tr2bl w:val="nil"/>
            </w:tcBorders>
            <w:vAlign w:val="center"/>
          </w:tcPr>
          <w:p w14:paraId="1700CE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BOD</w:t>
            </w:r>
            <w:r>
              <w:rPr>
                <w:rFonts w:hint="default" w:ascii="Times New Roman" w:hAnsi="Times New Roman" w:eastAsia="宋体" w:cs="Times New Roman"/>
                <w:spacing w:val="19"/>
                <w:position w:val="-1"/>
                <w:sz w:val="21"/>
                <w:szCs w:val="21"/>
                <w:highlight w:val="none"/>
                <w:vertAlign w:val="subscript"/>
              </w:rPr>
              <w:t>5</w:t>
            </w:r>
          </w:p>
        </w:tc>
        <w:tc>
          <w:tcPr>
            <w:tcW w:w="653" w:type="pct"/>
            <w:tcBorders>
              <w:tl2br w:val="nil"/>
              <w:tr2bl w:val="nil"/>
            </w:tcBorders>
            <w:vAlign w:val="center"/>
          </w:tcPr>
          <w:p w14:paraId="63A5D9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1"/>
                <w:sz w:val="21"/>
                <w:szCs w:val="21"/>
                <w:highlight w:val="none"/>
              </w:rPr>
              <w:t>10</w:t>
            </w:r>
            <w:r>
              <w:rPr>
                <w:rFonts w:hint="default" w:ascii="Times New Roman" w:hAnsi="Times New Roman" w:eastAsia="宋体" w:cs="Times New Roman"/>
                <w:sz w:val="21"/>
                <w:szCs w:val="21"/>
                <w:highlight w:val="none"/>
              </w:rPr>
              <w:t>mg</w:t>
            </w:r>
            <w:r>
              <w:rPr>
                <w:rFonts w:hint="default" w:ascii="Times New Roman" w:hAnsi="Times New Roman" w:eastAsia="宋体" w:cs="Times New Roman"/>
                <w:spacing w:val="1"/>
                <w:sz w:val="21"/>
                <w:szCs w:val="21"/>
                <w:highlight w:val="none"/>
              </w:rPr>
              <w:t>/L</w:t>
            </w:r>
          </w:p>
        </w:tc>
      </w:tr>
      <w:tr w14:paraId="663DE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4" w:type="pct"/>
            <w:vMerge w:val="continue"/>
            <w:tcBorders>
              <w:tl2br w:val="nil"/>
              <w:tr2bl w:val="nil"/>
            </w:tcBorders>
            <w:vAlign w:val="center"/>
          </w:tcPr>
          <w:p w14:paraId="05CD50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vMerge w:val="continue"/>
            <w:tcBorders>
              <w:tl2br w:val="nil"/>
              <w:tr2bl w:val="nil"/>
            </w:tcBorders>
            <w:vAlign w:val="center"/>
          </w:tcPr>
          <w:p w14:paraId="5C0124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799" w:type="pct"/>
            <w:vMerge w:val="continue"/>
            <w:tcBorders>
              <w:tl2br w:val="nil"/>
              <w:tr2bl w:val="nil"/>
            </w:tcBorders>
            <w:vAlign w:val="center"/>
          </w:tcPr>
          <w:p w14:paraId="0C482B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vMerge w:val="continue"/>
            <w:tcBorders>
              <w:tl2br w:val="nil"/>
              <w:tr2bl w:val="nil"/>
            </w:tcBorders>
            <w:vAlign w:val="center"/>
          </w:tcPr>
          <w:p w14:paraId="34D4EB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07C077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02C56C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vAlign w:val="center"/>
          </w:tcPr>
          <w:p w14:paraId="36A4C4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90" w:type="pct"/>
            <w:tcBorders>
              <w:tl2br w:val="nil"/>
              <w:tr2bl w:val="nil"/>
            </w:tcBorders>
            <w:vAlign w:val="center"/>
          </w:tcPr>
          <w:p w14:paraId="3CEEF8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3"/>
                <w:sz w:val="20"/>
                <w:szCs w:val="20"/>
                <w:highlight w:val="none"/>
              </w:rPr>
              <w:t>SS</w:t>
            </w:r>
          </w:p>
        </w:tc>
        <w:tc>
          <w:tcPr>
            <w:tcW w:w="653" w:type="pct"/>
            <w:tcBorders>
              <w:tl2br w:val="nil"/>
              <w:tr2bl w:val="nil"/>
            </w:tcBorders>
            <w:vAlign w:val="center"/>
          </w:tcPr>
          <w:p w14:paraId="28DE2A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1"/>
                <w:sz w:val="21"/>
                <w:szCs w:val="21"/>
                <w:highlight w:val="none"/>
              </w:rPr>
            </w:pPr>
            <w:r>
              <w:rPr>
                <w:rFonts w:ascii="Times New Roman" w:hAnsi="Times New Roman" w:eastAsia="Times New Roman" w:cs="Times New Roman"/>
                <w:spacing w:val="2"/>
                <w:sz w:val="20"/>
                <w:szCs w:val="20"/>
                <w:highlight w:val="none"/>
              </w:rPr>
              <w:t>/</w:t>
            </w:r>
          </w:p>
        </w:tc>
      </w:tr>
      <w:tr w14:paraId="5655B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4" w:type="pct"/>
            <w:vMerge w:val="continue"/>
            <w:tcBorders>
              <w:tl2br w:val="nil"/>
              <w:tr2bl w:val="nil"/>
            </w:tcBorders>
            <w:vAlign w:val="center"/>
          </w:tcPr>
          <w:p w14:paraId="6A1198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vMerge w:val="continue"/>
            <w:tcBorders>
              <w:tl2br w:val="nil"/>
              <w:tr2bl w:val="nil"/>
            </w:tcBorders>
            <w:vAlign w:val="center"/>
          </w:tcPr>
          <w:p w14:paraId="1A9CC8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799" w:type="pct"/>
            <w:vMerge w:val="continue"/>
            <w:tcBorders>
              <w:tl2br w:val="nil"/>
              <w:tr2bl w:val="nil"/>
            </w:tcBorders>
            <w:vAlign w:val="center"/>
          </w:tcPr>
          <w:p w14:paraId="3042C0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vMerge w:val="continue"/>
            <w:tcBorders>
              <w:tl2br w:val="nil"/>
              <w:tr2bl w:val="nil"/>
            </w:tcBorders>
            <w:vAlign w:val="center"/>
          </w:tcPr>
          <w:p w14:paraId="2B79F6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690384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72295C0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vAlign w:val="center"/>
          </w:tcPr>
          <w:p w14:paraId="747DA6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90" w:type="pct"/>
            <w:tcBorders>
              <w:tl2br w:val="nil"/>
              <w:tr2bl w:val="nil"/>
            </w:tcBorders>
            <w:vAlign w:val="center"/>
          </w:tcPr>
          <w:p w14:paraId="65D9B7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z w:val="20"/>
                <w:szCs w:val="20"/>
                <w:highlight w:val="none"/>
              </w:rPr>
              <w:t>NH</w:t>
            </w:r>
            <w:r>
              <w:rPr>
                <w:rFonts w:ascii="Times New Roman" w:hAnsi="Times New Roman" w:eastAsia="Times New Roman" w:cs="Times New Roman"/>
                <w:spacing w:val="9"/>
                <w:sz w:val="13"/>
                <w:szCs w:val="13"/>
                <w:highlight w:val="none"/>
              </w:rPr>
              <w:t>3</w:t>
            </w:r>
            <w:r>
              <w:rPr>
                <w:rFonts w:ascii="Times New Roman" w:hAnsi="Times New Roman" w:eastAsia="Times New Roman" w:cs="Times New Roman"/>
                <w:spacing w:val="9"/>
                <w:sz w:val="20"/>
                <w:szCs w:val="20"/>
                <w:highlight w:val="none"/>
              </w:rPr>
              <w:t>-N</w:t>
            </w:r>
          </w:p>
        </w:tc>
        <w:tc>
          <w:tcPr>
            <w:tcW w:w="653" w:type="pct"/>
            <w:tcBorders>
              <w:tl2br w:val="nil"/>
              <w:tr2bl w:val="nil"/>
            </w:tcBorders>
            <w:vAlign w:val="center"/>
          </w:tcPr>
          <w:p w14:paraId="255A14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1"/>
                <w:sz w:val="21"/>
                <w:szCs w:val="21"/>
                <w:highlight w:val="none"/>
              </w:rPr>
            </w:pPr>
            <w:r>
              <w:rPr>
                <w:rFonts w:ascii="Times New Roman" w:hAnsi="Times New Roman" w:eastAsia="Times New Roman" w:cs="Times New Roman"/>
                <w:spacing w:val="4"/>
                <w:sz w:val="20"/>
                <w:szCs w:val="20"/>
                <w:highlight w:val="none"/>
              </w:rPr>
              <w:t>5</w:t>
            </w:r>
            <w:r>
              <w:rPr>
                <w:rFonts w:ascii="Times New Roman" w:hAnsi="Times New Roman" w:eastAsia="Times New Roman" w:cs="Times New Roman"/>
                <w:sz w:val="20"/>
                <w:szCs w:val="20"/>
                <w:highlight w:val="none"/>
              </w:rPr>
              <w:t>mg</w:t>
            </w:r>
            <w:r>
              <w:rPr>
                <w:rFonts w:ascii="Times New Roman" w:hAnsi="Times New Roman" w:eastAsia="Times New Roman" w:cs="Times New Roman"/>
                <w:spacing w:val="4"/>
                <w:sz w:val="20"/>
                <w:szCs w:val="20"/>
                <w:highlight w:val="none"/>
              </w:rPr>
              <w:t>/L</w:t>
            </w:r>
          </w:p>
        </w:tc>
      </w:tr>
      <w:tr w14:paraId="46DD8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4" w:type="pct"/>
            <w:vMerge w:val="continue"/>
            <w:tcBorders>
              <w:tl2br w:val="nil"/>
              <w:tr2bl w:val="nil"/>
            </w:tcBorders>
            <w:vAlign w:val="center"/>
          </w:tcPr>
          <w:p w14:paraId="1982FA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vMerge w:val="continue"/>
            <w:tcBorders>
              <w:tl2br w:val="nil"/>
              <w:tr2bl w:val="nil"/>
            </w:tcBorders>
            <w:vAlign w:val="center"/>
          </w:tcPr>
          <w:p w14:paraId="384910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799" w:type="pct"/>
            <w:vMerge w:val="continue"/>
            <w:tcBorders>
              <w:tl2br w:val="nil"/>
              <w:tr2bl w:val="nil"/>
            </w:tcBorders>
            <w:vAlign w:val="center"/>
          </w:tcPr>
          <w:p w14:paraId="25385F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vMerge w:val="continue"/>
            <w:tcBorders>
              <w:tl2br w:val="nil"/>
              <w:tr2bl w:val="nil"/>
            </w:tcBorders>
            <w:vAlign w:val="center"/>
          </w:tcPr>
          <w:p w14:paraId="59D057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25E57D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4705E7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vAlign w:val="center"/>
          </w:tcPr>
          <w:p w14:paraId="098561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90" w:type="pct"/>
            <w:tcBorders>
              <w:tl2br w:val="nil"/>
              <w:tr2bl w:val="nil"/>
            </w:tcBorders>
            <w:vAlign w:val="center"/>
          </w:tcPr>
          <w:p w14:paraId="7AD15F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rFonts w:ascii="Times New Roman" w:hAnsi="Times New Roman" w:eastAsia="Times New Roman" w:cs="Times New Roman"/>
                <w:spacing w:val="1"/>
                <w:sz w:val="20"/>
                <w:szCs w:val="20"/>
                <w:highlight w:val="none"/>
              </w:rPr>
              <w:t>TP</w:t>
            </w:r>
          </w:p>
        </w:tc>
        <w:tc>
          <w:tcPr>
            <w:tcW w:w="653" w:type="pct"/>
            <w:tcBorders>
              <w:tl2br w:val="nil"/>
              <w:tr2bl w:val="nil"/>
            </w:tcBorders>
            <w:vAlign w:val="center"/>
          </w:tcPr>
          <w:p w14:paraId="6116F1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1"/>
                <w:sz w:val="21"/>
                <w:szCs w:val="21"/>
                <w:highlight w:val="none"/>
              </w:rPr>
            </w:pPr>
            <w:r>
              <w:rPr>
                <w:rFonts w:ascii="Times New Roman" w:hAnsi="Times New Roman" w:eastAsia="Times New Roman" w:cs="Times New Roman"/>
                <w:spacing w:val="4"/>
                <w:sz w:val="20"/>
                <w:szCs w:val="20"/>
                <w:highlight w:val="none"/>
              </w:rPr>
              <w:t>0.5</w:t>
            </w:r>
            <w:r>
              <w:rPr>
                <w:rFonts w:ascii="Times New Roman" w:hAnsi="Times New Roman" w:eastAsia="Times New Roman" w:cs="Times New Roman"/>
                <w:sz w:val="20"/>
                <w:szCs w:val="20"/>
                <w:highlight w:val="none"/>
              </w:rPr>
              <w:t>mg</w:t>
            </w:r>
            <w:r>
              <w:rPr>
                <w:rFonts w:ascii="Times New Roman" w:hAnsi="Times New Roman" w:eastAsia="Times New Roman" w:cs="Times New Roman"/>
                <w:spacing w:val="4"/>
                <w:sz w:val="20"/>
                <w:szCs w:val="20"/>
                <w:highlight w:val="none"/>
              </w:rPr>
              <w:t>/L</w:t>
            </w:r>
          </w:p>
        </w:tc>
      </w:tr>
      <w:tr w14:paraId="0B5CF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4" w:type="pct"/>
            <w:vMerge w:val="continue"/>
            <w:tcBorders>
              <w:tl2br w:val="nil"/>
              <w:tr2bl w:val="nil"/>
            </w:tcBorders>
            <w:vAlign w:val="center"/>
          </w:tcPr>
          <w:p w14:paraId="7E0DC0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vMerge w:val="continue"/>
            <w:tcBorders>
              <w:tl2br w:val="nil"/>
              <w:tr2bl w:val="nil"/>
            </w:tcBorders>
            <w:vAlign w:val="center"/>
          </w:tcPr>
          <w:p w14:paraId="14F159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799" w:type="pct"/>
            <w:vMerge w:val="continue"/>
            <w:tcBorders>
              <w:tl2br w:val="nil"/>
              <w:tr2bl w:val="nil"/>
            </w:tcBorders>
            <w:vAlign w:val="center"/>
          </w:tcPr>
          <w:p w14:paraId="1C5482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vMerge w:val="continue"/>
            <w:tcBorders>
              <w:tl2br w:val="nil"/>
              <w:tr2bl w:val="nil"/>
            </w:tcBorders>
            <w:vAlign w:val="center"/>
          </w:tcPr>
          <w:p w14:paraId="13C73A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4C43B9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3A1F59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vAlign w:val="center"/>
          </w:tcPr>
          <w:p w14:paraId="6C44E2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90" w:type="pct"/>
            <w:tcBorders>
              <w:tl2br w:val="nil"/>
              <w:tr2bl w:val="nil"/>
            </w:tcBorders>
            <w:vAlign w:val="center"/>
          </w:tcPr>
          <w:p w14:paraId="23C72C97">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TN</w:t>
            </w:r>
          </w:p>
        </w:tc>
        <w:tc>
          <w:tcPr>
            <w:tcW w:w="653" w:type="pct"/>
            <w:tcBorders>
              <w:tl2br w:val="nil"/>
              <w:tr2bl w:val="nil"/>
            </w:tcBorders>
            <w:vAlign w:val="center"/>
          </w:tcPr>
          <w:p w14:paraId="64A6AF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1"/>
                <w:sz w:val="21"/>
                <w:szCs w:val="21"/>
                <w:highlight w:val="none"/>
                <w:lang w:val="en-US" w:eastAsia="zh-CN"/>
              </w:rPr>
            </w:pPr>
            <w:r>
              <w:rPr>
                <w:rFonts w:hint="eastAsia" w:ascii="Times New Roman" w:hAnsi="Times New Roman" w:eastAsia="宋体" w:cs="Times New Roman"/>
                <w:spacing w:val="1"/>
                <w:sz w:val="21"/>
                <w:szCs w:val="21"/>
                <w:highlight w:val="none"/>
                <w:lang w:val="en-US" w:eastAsia="zh-CN"/>
              </w:rPr>
              <w:t>15</w:t>
            </w:r>
            <w:r>
              <w:rPr>
                <w:rFonts w:ascii="Times New Roman" w:hAnsi="Times New Roman" w:eastAsia="Times New Roman" w:cs="Times New Roman"/>
                <w:sz w:val="20"/>
                <w:szCs w:val="20"/>
                <w:highlight w:val="none"/>
              </w:rPr>
              <w:t>mg</w:t>
            </w:r>
            <w:r>
              <w:rPr>
                <w:rFonts w:ascii="Times New Roman" w:hAnsi="Times New Roman" w:eastAsia="Times New Roman" w:cs="Times New Roman"/>
                <w:spacing w:val="4"/>
                <w:sz w:val="20"/>
                <w:szCs w:val="20"/>
                <w:highlight w:val="none"/>
              </w:rPr>
              <w:t>/L</w:t>
            </w:r>
          </w:p>
        </w:tc>
      </w:tr>
      <w:tr w14:paraId="74E99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494" w:type="pct"/>
            <w:vMerge w:val="continue"/>
            <w:tcBorders>
              <w:tl2br w:val="nil"/>
              <w:tr2bl w:val="nil"/>
            </w:tcBorders>
            <w:vAlign w:val="center"/>
          </w:tcPr>
          <w:p w14:paraId="01C89A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857" w:type="pct"/>
            <w:vMerge w:val="continue"/>
            <w:tcBorders>
              <w:tl2br w:val="nil"/>
              <w:tr2bl w:val="nil"/>
            </w:tcBorders>
            <w:vAlign w:val="center"/>
          </w:tcPr>
          <w:p w14:paraId="7995FC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799" w:type="pct"/>
            <w:vMerge w:val="continue"/>
            <w:tcBorders>
              <w:tl2br w:val="nil"/>
              <w:tr2bl w:val="nil"/>
            </w:tcBorders>
            <w:vAlign w:val="center"/>
          </w:tcPr>
          <w:p w14:paraId="666155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70" w:type="pct"/>
            <w:vMerge w:val="continue"/>
            <w:tcBorders>
              <w:tl2br w:val="nil"/>
              <w:tr2bl w:val="nil"/>
            </w:tcBorders>
            <w:vAlign w:val="center"/>
          </w:tcPr>
          <w:p w14:paraId="056FBE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27" w:type="pct"/>
            <w:vMerge w:val="continue"/>
            <w:tcBorders>
              <w:tl2br w:val="nil"/>
              <w:tr2bl w:val="nil"/>
            </w:tcBorders>
            <w:textDirection w:val="tbRlV"/>
            <w:vAlign w:val="center"/>
          </w:tcPr>
          <w:p w14:paraId="2CD824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390" w:type="pct"/>
            <w:vMerge w:val="continue"/>
            <w:tcBorders>
              <w:tl2br w:val="nil"/>
              <w:tr2bl w:val="nil"/>
            </w:tcBorders>
            <w:vAlign w:val="center"/>
          </w:tcPr>
          <w:p w14:paraId="4FCDA5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417" w:type="pct"/>
            <w:vMerge w:val="continue"/>
            <w:tcBorders>
              <w:tl2br w:val="nil"/>
              <w:tr2bl w:val="nil"/>
            </w:tcBorders>
            <w:vAlign w:val="center"/>
          </w:tcPr>
          <w:p w14:paraId="1E0553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rPr>
            </w:pPr>
          </w:p>
        </w:tc>
        <w:tc>
          <w:tcPr>
            <w:tcW w:w="590" w:type="pct"/>
            <w:tcBorders>
              <w:tl2br w:val="nil"/>
              <w:tr2bl w:val="nil"/>
            </w:tcBorders>
            <w:vAlign w:val="center"/>
          </w:tcPr>
          <w:p w14:paraId="1438190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6"/>
                <w:highlight w:val="none"/>
              </w:rPr>
              <w:t>动植物</w:t>
            </w:r>
          </w:p>
          <w:p w14:paraId="1DB8951A">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rPr>
            </w:pPr>
            <w:r>
              <w:rPr>
                <w:highlight w:val="none"/>
              </w:rPr>
              <w:t>油</w:t>
            </w:r>
          </w:p>
        </w:tc>
        <w:tc>
          <w:tcPr>
            <w:tcW w:w="653" w:type="pct"/>
            <w:tcBorders>
              <w:tl2br w:val="nil"/>
              <w:tr2bl w:val="nil"/>
            </w:tcBorders>
            <w:vAlign w:val="center"/>
          </w:tcPr>
          <w:p w14:paraId="34F4DD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1"/>
                <w:sz w:val="21"/>
                <w:szCs w:val="21"/>
                <w:highlight w:val="none"/>
              </w:rPr>
            </w:pPr>
            <w:r>
              <w:rPr>
                <w:rFonts w:ascii="Times New Roman" w:hAnsi="Times New Roman" w:eastAsia="Times New Roman" w:cs="Times New Roman"/>
                <w:spacing w:val="1"/>
                <w:sz w:val="20"/>
                <w:szCs w:val="20"/>
                <w:highlight w:val="none"/>
              </w:rPr>
              <w:t>1.0</w:t>
            </w:r>
            <w:r>
              <w:rPr>
                <w:rFonts w:ascii="Times New Roman" w:hAnsi="Times New Roman" w:eastAsia="Times New Roman" w:cs="Times New Roman"/>
                <w:sz w:val="20"/>
                <w:szCs w:val="20"/>
                <w:highlight w:val="none"/>
              </w:rPr>
              <w:t>mg</w:t>
            </w:r>
            <w:r>
              <w:rPr>
                <w:rFonts w:ascii="Times New Roman" w:hAnsi="Times New Roman" w:eastAsia="Times New Roman" w:cs="Times New Roman"/>
                <w:spacing w:val="1"/>
                <w:sz w:val="20"/>
                <w:szCs w:val="20"/>
                <w:highlight w:val="none"/>
              </w:rPr>
              <w:t>/L</w:t>
            </w:r>
          </w:p>
        </w:tc>
      </w:tr>
    </w:tbl>
    <w:p w14:paraId="006B36D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表6.3-3   废水污染物排放执行标准表</w:t>
      </w:r>
    </w:p>
    <w:tbl>
      <w:tblPr>
        <w:tblStyle w:val="37"/>
        <w:tblW w:w="8426"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1086"/>
        <w:gridCol w:w="1472"/>
        <w:gridCol w:w="2684"/>
        <w:gridCol w:w="2515"/>
      </w:tblGrid>
      <w:tr w14:paraId="5658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69" w:type="dxa"/>
            <w:vMerge w:val="restart"/>
            <w:tcBorders>
              <w:tl2br w:val="nil"/>
              <w:tr2bl w:val="nil"/>
            </w:tcBorders>
            <w:vAlign w:val="center"/>
          </w:tcPr>
          <w:p w14:paraId="6C89431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5"/>
                <w:sz w:val="21"/>
                <w:szCs w:val="21"/>
                <w:highlight w:val="none"/>
              </w:rPr>
              <w:t>序号</w:t>
            </w:r>
          </w:p>
        </w:tc>
        <w:tc>
          <w:tcPr>
            <w:tcW w:w="1086" w:type="dxa"/>
            <w:vMerge w:val="restart"/>
            <w:tcBorders>
              <w:tl2br w:val="nil"/>
              <w:tr2bl w:val="nil"/>
            </w:tcBorders>
            <w:vAlign w:val="center"/>
          </w:tcPr>
          <w:p w14:paraId="2CD90F8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8"/>
                <w:sz w:val="21"/>
                <w:szCs w:val="21"/>
                <w:highlight w:val="none"/>
              </w:rPr>
              <w:t>排放口编号</w:t>
            </w:r>
          </w:p>
        </w:tc>
        <w:tc>
          <w:tcPr>
            <w:tcW w:w="1472" w:type="dxa"/>
            <w:vMerge w:val="restart"/>
            <w:tcBorders>
              <w:tl2br w:val="nil"/>
              <w:tr2bl w:val="nil"/>
            </w:tcBorders>
            <w:vAlign w:val="center"/>
          </w:tcPr>
          <w:p w14:paraId="44CA4A3E">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6"/>
                <w:sz w:val="21"/>
                <w:szCs w:val="21"/>
                <w:highlight w:val="none"/>
              </w:rPr>
              <w:t>污染物</w:t>
            </w:r>
            <w:r>
              <w:rPr>
                <w:spacing w:val="4"/>
                <w:sz w:val="21"/>
                <w:szCs w:val="21"/>
                <w:highlight w:val="none"/>
              </w:rPr>
              <w:t>种类</w:t>
            </w:r>
          </w:p>
        </w:tc>
        <w:tc>
          <w:tcPr>
            <w:tcW w:w="5199" w:type="dxa"/>
            <w:gridSpan w:val="2"/>
            <w:tcBorders>
              <w:tl2br w:val="nil"/>
              <w:tr2bl w:val="nil"/>
            </w:tcBorders>
            <w:vAlign w:val="center"/>
          </w:tcPr>
          <w:p w14:paraId="5944642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8"/>
                <w:sz w:val="21"/>
                <w:szCs w:val="21"/>
                <w:highlight w:val="none"/>
              </w:rPr>
              <w:t>国家或地方污染物排放标准及其他按规定商定的排放协</w:t>
            </w:r>
            <w:r>
              <w:rPr>
                <w:sz w:val="21"/>
                <w:szCs w:val="21"/>
                <w:highlight w:val="none"/>
              </w:rPr>
              <w:t>议</w:t>
            </w:r>
          </w:p>
        </w:tc>
      </w:tr>
      <w:tr w14:paraId="18C5C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Merge w:val="continue"/>
            <w:tcBorders>
              <w:tl2br w:val="nil"/>
              <w:tr2bl w:val="nil"/>
            </w:tcBorders>
            <w:vAlign w:val="center"/>
          </w:tcPr>
          <w:p w14:paraId="7C0E7F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201E98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vMerge w:val="continue"/>
            <w:tcBorders>
              <w:tl2br w:val="nil"/>
              <w:tr2bl w:val="nil"/>
            </w:tcBorders>
            <w:vAlign w:val="center"/>
          </w:tcPr>
          <w:p w14:paraId="5996ED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684" w:type="dxa"/>
            <w:tcBorders>
              <w:tl2br w:val="nil"/>
              <w:tr2bl w:val="nil"/>
            </w:tcBorders>
            <w:vAlign w:val="center"/>
          </w:tcPr>
          <w:p w14:paraId="3FE5246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3"/>
                <w:sz w:val="21"/>
                <w:szCs w:val="21"/>
                <w:highlight w:val="none"/>
              </w:rPr>
              <w:t>名称</w:t>
            </w:r>
          </w:p>
        </w:tc>
        <w:tc>
          <w:tcPr>
            <w:tcW w:w="2515" w:type="dxa"/>
            <w:tcBorders>
              <w:tl2br w:val="nil"/>
              <w:tr2bl w:val="nil"/>
            </w:tcBorders>
            <w:vAlign w:val="center"/>
          </w:tcPr>
          <w:p w14:paraId="66BE087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7"/>
                <w:sz w:val="21"/>
                <w:szCs w:val="21"/>
                <w:highlight w:val="none"/>
              </w:rPr>
              <w:t>浓度限值</w:t>
            </w:r>
            <w:r>
              <w:rPr>
                <w:rFonts w:ascii="Times New Roman" w:hAnsi="Times New Roman" w:eastAsia="Times New Roman" w:cs="Times New Roman"/>
                <w:spacing w:val="7"/>
                <w:sz w:val="21"/>
                <w:szCs w:val="21"/>
                <w:highlight w:val="none"/>
              </w:rPr>
              <w:t>/</w:t>
            </w:r>
            <w:r>
              <w:rPr>
                <w:spacing w:val="7"/>
                <w:sz w:val="21"/>
                <w:szCs w:val="21"/>
                <w:highlight w:val="none"/>
              </w:rPr>
              <w:t>（</w:t>
            </w:r>
            <w:r>
              <w:rPr>
                <w:rFonts w:ascii="Times New Roman" w:hAnsi="Times New Roman" w:eastAsia="Times New Roman" w:cs="Times New Roman"/>
                <w:sz w:val="21"/>
                <w:szCs w:val="21"/>
                <w:highlight w:val="none"/>
              </w:rPr>
              <w:t>mg</w:t>
            </w:r>
            <w:r>
              <w:rPr>
                <w:rFonts w:ascii="Times New Roman" w:hAnsi="Times New Roman" w:eastAsia="Times New Roman" w:cs="Times New Roman"/>
                <w:spacing w:val="7"/>
                <w:sz w:val="21"/>
                <w:szCs w:val="21"/>
                <w:highlight w:val="none"/>
              </w:rPr>
              <w:t>/L</w:t>
            </w:r>
            <w:r>
              <w:rPr>
                <w:spacing w:val="7"/>
                <w:sz w:val="21"/>
                <w:szCs w:val="21"/>
                <w:highlight w:val="none"/>
              </w:rPr>
              <w:t>）</w:t>
            </w:r>
          </w:p>
        </w:tc>
      </w:tr>
      <w:tr w14:paraId="51B9B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Merge w:val="restart"/>
            <w:tcBorders>
              <w:tl2br w:val="nil"/>
              <w:tr2bl w:val="nil"/>
            </w:tcBorders>
            <w:vAlign w:val="center"/>
          </w:tcPr>
          <w:p w14:paraId="12F37E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p w14:paraId="25BB7D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p w14:paraId="6CE36A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1</w:t>
            </w:r>
          </w:p>
        </w:tc>
        <w:tc>
          <w:tcPr>
            <w:tcW w:w="1086" w:type="dxa"/>
            <w:vMerge w:val="restart"/>
            <w:tcBorders>
              <w:tl2br w:val="nil"/>
              <w:tr2bl w:val="nil"/>
            </w:tcBorders>
            <w:vAlign w:val="center"/>
          </w:tcPr>
          <w:p w14:paraId="76E0EE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p w14:paraId="70CE80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DW</w:t>
            </w:r>
            <w:r>
              <w:rPr>
                <w:rFonts w:ascii="Times New Roman" w:hAnsi="Times New Roman" w:eastAsia="Times New Roman" w:cs="Times New Roman"/>
                <w:spacing w:val="8"/>
                <w:sz w:val="21"/>
                <w:szCs w:val="21"/>
                <w:highlight w:val="none"/>
              </w:rPr>
              <w:t>001</w:t>
            </w:r>
          </w:p>
        </w:tc>
        <w:tc>
          <w:tcPr>
            <w:tcW w:w="1472" w:type="dxa"/>
            <w:tcBorders>
              <w:tl2br w:val="nil"/>
              <w:tr2bl w:val="nil"/>
            </w:tcBorders>
            <w:vAlign w:val="center"/>
          </w:tcPr>
          <w:p w14:paraId="56EC00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6"/>
                <w:sz w:val="21"/>
                <w:szCs w:val="21"/>
                <w:highlight w:val="none"/>
              </w:rPr>
              <w:t>pH</w:t>
            </w:r>
          </w:p>
        </w:tc>
        <w:tc>
          <w:tcPr>
            <w:tcW w:w="2684" w:type="dxa"/>
            <w:vMerge w:val="restart"/>
            <w:tcBorders>
              <w:tl2br w:val="nil"/>
              <w:tr2bl w:val="nil"/>
            </w:tcBorders>
            <w:vAlign w:val="center"/>
          </w:tcPr>
          <w:p w14:paraId="73DD2C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p w14:paraId="72624C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p w14:paraId="5A26A53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9"/>
                <w:sz w:val="21"/>
                <w:szCs w:val="21"/>
                <w:highlight w:val="none"/>
              </w:rPr>
              <w:t>岳阳高新技术产业园区</w:t>
            </w:r>
          </w:p>
          <w:p w14:paraId="5A238E8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5"/>
                <w:sz w:val="21"/>
                <w:szCs w:val="21"/>
                <w:highlight w:val="none"/>
              </w:rPr>
              <w:t>污水处理厂接管标准、《污水</w:t>
            </w:r>
            <w:r>
              <w:rPr>
                <w:spacing w:val="6"/>
                <w:sz w:val="21"/>
                <w:szCs w:val="21"/>
                <w:highlight w:val="none"/>
              </w:rPr>
              <w:t>综合排放标准》</w:t>
            </w:r>
          </w:p>
          <w:p w14:paraId="0D52381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5"/>
                <w:sz w:val="21"/>
                <w:szCs w:val="21"/>
                <w:highlight w:val="none"/>
              </w:rPr>
              <w:t>（</w:t>
            </w:r>
            <w:r>
              <w:rPr>
                <w:rFonts w:ascii="Times New Roman" w:hAnsi="Times New Roman" w:eastAsia="Times New Roman" w:cs="Times New Roman"/>
                <w:sz w:val="21"/>
                <w:szCs w:val="21"/>
                <w:highlight w:val="none"/>
              </w:rPr>
              <w:t>GB</w:t>
            </w:r>
            <w:r>
              <w:rPr>
                <w:rFonts w:ascii="Times New Roman" w:hAnsi="Times New Roman" w:eastAsia="Times New Roman" w:cs="Times New Roman"/>
                <w:spacing w:val="5"/>
                <w:sz w:val="21"/>
                <w:szCs w:val="21"/>
                <w:highlight w:val="none"/>
              </w:rPr>
              <w:t>8978-1996</w:t>
            </w:r>
            <w:r>
              <w:rPr>
                <w:spacing w:val="5"/>
                <w:sz w:val="21"/>
                <w:szCs w:val="21"/>
                <w:highlight w:val="none"/>
              </w:rPr>
              <w:t>）中表</w:t>
            </w:r>
            <w:r>
              <w:rPr>
                <w:spacing w:val="-30"/>
                <w:sz w:val="21"/>
                <w:szCs w:val="21"/>
                <w:highlight w:val="none"/>
              </w:rPr>
              <w:t xml:space="preserve"> </w:t>
            </w:r>
            <w:r>
              <w:rPr>
                <w:rFonts w:ascii="Times New Roman" w:hAnsi="Times New Roman" w:eastAsia="Times New Roman" w:cs="Times New Roman"/>
                <w:spacing w:val="5"/>
                <w:sz w:val="21"/>
                <w:szCs w:val="21"/>
                <w:highlight w:val="none"/>
              </w:rPr>
              <w:t xml:space="preserve">4 </w:t>
            </w:r>
            <w:r>
              <w:rPr>
                <w:spacing w:val="5"/>
                <w:sz w:val="21"/>
                <w:szCs w:val="21"/>
                <w:highlight w:val="none"/>
              </w:rPr>
              <w:t>三级</w:t>
            </w:r>
            <w:r>
              <w:rPr>
                <w:spacing w:val="7"/>
                <w:sz w:val="21"/>
                <w:szCs w:val="21"/>
                <w:highlight w:val="none"/>
              </w:rPr>
              <w:t>标准（从严执行）</w:t>
            </w:r>
          </w:p>
        </w:tc>
        <w:tc>
          <w:tcPr>
            <w:tcW w:w="2515" w:type="dxa"/>
            <w:tcBorders>
              <w:tl2br w:val="nil"/>
              <w:tr2bl w:val="nil"/>
            </w:tcBorders>
            <w:vAlign w:val="center"/>
          </w:tcPr>
          <w:p w14:paraId="164FC57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rFonts w:ascii="Times New Roman" w:hAnsi="Times New Roman" w:eastAsia="Times New Roman" w:cs="Times New Roman"/>
                <w:spacing w:val="5"/>
                <w:sz w:val="21"/>
                <w:szCs w:val="21"/>
                <w:highlight w:val="none"/>
              </w:rPr>
              <w:t>6~9</w:t>
            </w:r>
            <w:r>
              <w:rPr>
                <w:spacing w:val="5"/>
                <w:sz w:val="21"/>
                <w:szCs w:val="21"/>
                <w:highlight w:val="none"/>
              </w:rPr>
              <w:t>（无量纲）</w:t>
            </w:r>
          </w:p>
        </w:tc>
      </w:tr>
      <w:tr w14:paraId="5D8DB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69" w:type="dxa"/>
            <w:vMerge w:val="continue"/>
            <w:tcBorders>
              <w:tl2br w:val="nil"/>
              <w:tr2bl w:val="nil"/>
            </w:tcBorders>
            <w:vAlign w:val="center"/>
          </w:tcPr>
          <w:p w14:paraId="1819EB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21A768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tcBorders>
              <w:tl2br w:val="nil"/>
              <w:tr2bl w:val="nil"/>
            </w:tcBorders>
            <w:vAlign w:val="center"/>
          </w:tcPr>
          <w:p w14:paraId="350BF9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1"/>
                <w:szCs w:val="21"/>
                <w:highlight w:val="none"/>
                <w:lang w:val="en-US" w:eastAsia="zh-CN"/>
              </w:rPr>
            </w:pPr>
            <w:r>
              <w:rPr>
                <w:rFonts w:ascii="Times New Roman" w:hAnsi="Times New Roman" w:eastAsia="Times New Roman" w:cs="Times New Roman"/>
                <w:spacing w:val="3"/>
                <w:sz w:val="21"/>
                <w:szCs w:val="21"/>
                <w:highlight w:val="none"/>
              </w:rPr>
              <w:t>COD</w:t>
            </w:r>
            <w:r>
              <w:rPr>
                <w:rFonts w:hint="eastAsia" w:ascii="Times New Roman" w:hAnsi="Times New Roman" w:eastAsia="宋体" w:cs="Times New Roman"/>
                <w:spacing w:val="3"/>
                <w:sz w:val="21"/>
                <w:szCs w:val="21"/>
                <w:highlight w:val="none"/>
                <w:lang w:val="en-US" w:eastAsia="zh-CN"/>
              </w:rPr>
              <w:t>r</w:t>
            </w:r>
          </w:p>
        </w:tc>
        <w:tc>
          <w:tcPr>
            <w:tcW w:w="2684" w:type="dxa"/>
            <w:vMerge w:val="continue"/>
            <w:tcBorders>
              <w:tl2br w:val="nil"/>
              <w:tr2bl w:val="nil"/>
            </w:tcBorders>
            <w:vAlign w:val="center"/>
          </w:tcPr>
          <w:p w14:paraId="726C82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515" w:type="dxa"/>
            <w:tcBorders>
              <w:tl2br w:val="nil"/>
              <w:tr2bl w:val="nil"/>
            </w:tcBorders>
            <w:vAlign w:val="center"/>
          </w:tcPr>
          <w:p w14:paraId="397A22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1"/>
                <w:sz w:val="21"/>
                <w:szCs w:val="21"/>
                <w:highlight w:val="none"/>
                <w:lang w:val="en-US" w:eastAsia="zh-CN"/>
              </w:rPr>
              <w:t>430</w:t>
            </w:r>
          </w:p>
        </w:tc>
      </w:tr>
      <w:tr w14:paraId="6C58D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Merge w:val="continue"/>
            <w:tcBorders>
              <w:tl2br w:val="nil"/>
              <w:tr2bl w:val="nil"/>
            </w:tcBorders>
            <w:vAlign w:val="center"/>
          </w:tcPr>
          <w:p w14:paraId="5F9707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0350354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tcBorders>
              <w:tl2br w:val="nil"/>
              <w:tr2bl w:val="nil"/>
            </w:tcBorders>
            <w:vAlign w:val="center"/>
          </w:tcPr>
          <w:p w14:paraId="52EF9E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BOD</w:t>
            </w:r>
            <w:r>
              <w:rPr>
                <w:rFonts w:ascii="Times New Roman" w:hAnsi="Times New Roman" w:eastAsia="Times New Roman" w:cs="Times New Roman"/>
                <w:spacing w:val="19"/>
                <w:position w:val="-1"/>
                <w:sz w:val="21"/>
                <w:szCs w:val="21"/>
                <w:highlight w:val="none"/>
                <w:vertAlign w:val="subscript"/>
              </w:rPr>
              <w:t>5</w:t>
            </w:r>
          </w:p>
        </w:tc>
        <w:tc>
          <w:tcPr>
            <w:tcW w:w="2684" w:type="dxa"/>
            <w:vMerge w:val="continue"/>
            <w:tcBorders>
              <w:tl2br w:val="nil"/>
              <w:tr2bl w:val="nil"/>
            </w:tcBorders>
            <w:vAlign w:val="center"/>
          </w:tcPr>
          <w:p w14:paraId="7D8706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515" w:type="dxa"/>
            <w:tcBorders>
              <w:tl2br w:val="nil"/>
              <w:tr2bl w:val="nil"/>
            </w:tcBorders>
            <w:vAlign w:val="center"/>
          </w:tcPr>
          <w:p w14:paraId="02EF62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2"/>
                <w:sz w:val="21"/>
                <w:szCs w:val="21"/>
                <w:highlight w:val="none"/>
                <w:lang w:val="en-US" w:eastAsia="zh-CN"/>
              </w:rPr>
              <w:t>120</w:t>
            </w:r>
          </w:p>
        </w:tc>
      </w:tr>
      <w:tr w14:paraId="4C3C7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669" w:type="dxa"/>
            <w:vMerge w:val="continue"/>
            <w:tcBorders>
              <w:tl2br w:val="nil"/>
              <w:tr2bl w:val="nil"/>
            </w:tcBorders>
            <w:vAlign w:val="center"/>
          </w:tcPr>
          <w:p w14:paraId="68E6D7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0EDB7E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tcBorders>
              <w:tl2br w:val="nil"/>
              <w:tr2bl w:val="nil"/>
            </w:tcBorders>
            <w:vAlign w:val="center"/>
          </w:tcPr>
          <w:p w14:paraId="7A6E8F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SS</w:t>
            </w:r>
          </w:p>
        </w:tc>
        <w:tc>
          <w:tcPr>
            <w:tcW w:w="2684" w:type="dxa"/>
            <w:vMerge w:val="continue"/>
            <w:tcBorders>
              <w:tl2br w:val="nil"/>
              <w:tr2bl w:val="nil"/>
            </w:tcBorders>
            <w:vAlign w:val="center"/>
          </w:tcPr>
          <w:p w14:paraId="1A40C5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515" w:type="dxa"/>
            <w:tcBorders>
              <w:tl2br w:val="nil"/>
              <w:tr2bl w:val="nil"/>
            </w:tcBorders>
            <w:vAlign w:val="center"/>
          </w:tcPr>
          <w:p w14:paraId="5B8306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4"/>
                <w:sz w:val="21"/>
                <w:szCs w:val="21"/>
                <w:highlight w:val="none"/>
                <w:lang w:val="en-US" w:eastAsia="zh-CN"/>
              </w:rPr>
              <w:t>330</w:t>
            </w:r>
          </w:p>
        </w:tc>
      </w:tr>
      <w:tr w14:paraId="62615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Merge w:val="continue"/>
            <w:tcBorders>
              <w:tl2br w:val="nil"/>
              <w:tr2bl w:val="nil"/>
            </w:tcBorders>
            <w:vAlign w:val="center"/>
          </w:tcPr>
          <w:p w14:paraId="66BEC4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72122A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tcBorders>
              <w:tl2br w:val="nil"/>
              <w:tr2bl w:val="nil"/>
            </w:tcBorders>
            <w:vAlign w:val="center"/>
          </w:tcPr>
          <w:p w14:paraId="4EF9433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4"/>
                <w:sz w:val="21"/>
                <w:szCs w:val="21"/>
                <w:highlight w:val="none"/>
              </w:rPr>
              <w:t>氨氮</w:t>
            </w:r>
          </w:p>
        </w:tc>
        <w:tc>
          <w:tcPr>
            <w:tcW w:w="2684" w:type="dxa"/>
            <w:vMerge w:val="continue"/>
            <w:tcBorders>
              <w:tl2br w:val="nil"/>
              <w:tr2bl w:val="nil"/>
            </w:tcBorders>
            <w:vAlign w:val="center"/>
          </w:tcPr>
          <w:p w14:paraId="3123C9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515" w:type="dxa"/>
            <w:tcBorders>
              <w:tl2br w:val="nil"/>
              <w:tr2bl w:val="nil"/>
            </w:tcBorders>
            <w:vAlign w:val="center"/>
          </w:tcPr>
          <w:p w14:paraId="0AD49F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3"/>
                <w:sz w:val="21"/>
                <w:szCs w:val="21"/>
                <w:highlight w:val="none"/>
                <w:lang w:val="en-US" w:eastAsia="zh-CN"/>
              </w:rPr>
              <w:t>38</w:t>
            </w:r>
          </w:p>
        </w:tc>
      </w:tr>
      <w:tr w14:paraId="2B1BA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Merge w:val="continue"/>
            <w:tcBorders>
              <w:tl2br w:val="nil"/>
              <w:tr2bl w:val="nil"/>
            </w:tcBorders>
            <w:vAlign w:val="center"/>
          </w:tcPr>
          <w:p w14:paraId="42C843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5CEB68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tcBorders>
              <w:tl2br w:val="nil"/>
              <w:tr2bl w:val="nil"/>
            </w:tcBorders>
            <w:vAlign w:val="center"/>
          </w:tcPr>
          <w:p w14:paraId="69EDA26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2"/>
                <w:sz w:val="21"/>
                <w:szCs w:val="21"/>
                <w:highlight w:val="none"/>
              </w:rPr>
              <w:t>总磷</w:t>
            </w:r>
          </w:p>
        </w:tc>
        <w:tc>
          <w:tcPr>
            <w:tcW w:w="2684" w:type="dxa"/>
            <w:vMerge w:val="continue"/>
            <w:tcBorders>
              <w:tl2br w:val="nil"/>
              <w:tr2bl w:val="nil"/>
            </w:tcBorders>
            <w:vAlign w:val="center"/>
          </w:tcPr>
          <w:p w14:paraId="776BE4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515" w:type="dxa"/>
            <w:tcBorders>
              <w:tl2br w:val="nil"/>
              <w:tr2bl w:val="nil"/>
            </w:tcBorders>
            <w:vAlign w:val="center"/>
          </w:tcPr>
          <w:p w14:paraId="13C1CE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6.5</w:t>
            </w:r>
          </w:p>
        </w:tc>
      </w:tr>
      <w:tr w14:paraId="06E21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669" w:type="dxa"/>
            <w:vMerge w:val="continue"/>
            <w:tcBorders>
              <w:tl2br w:val="nil"/>
              <w:tr2bl w:val="nil"/>
            </w:tcBorders>
            <w:vAlign w:val="center"/>
          </w:tcPr>
          <w:p w14:paraId="070786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3EF3B15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tcBorders>
              <w:tl2br w:val="nil"/>
              <w:tr2bl w:val="nil"/>
            </w:tcBorders>
            <w:vAlign w:val="center"/>
          </w:tcPr>
          <w:p w14:paraId="14609DF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sz w:val="21"/>
                <w:szCs w:val="21"/>
                <w:highlight w:val="none"/>
                <w:lang w:val="en-US" w:eastAsia="zh-CN"/>
              </w:rPr>
            </w:pPr>
            <w:r>
              <w:rPr>
                <w:rFonts w:hint="eastAsia"/>
                <w:sz w:val="21"/>
                <w:szCs w:val="21"/>
                <w:highlight w:val="none"/>
                <w:lang w:val="en-US" w:eastAsia="zh-CN"/>
              </w:rPr>
              <w:t>总氮</w:t>
            </w:r>
          </w:p>
        </w:tc>
        <w:tc>
          <w:tcPr>
            <w:tcW w:w="2684" w:type="dxa"/>
            <w:vMerge w:val="continue"/>
            <w:tcBorders>
              <w:tl2br w:val="nil"/>
              <w:tr2bl w:val="nil"/>
            </w:tcBorders>
            <w:vAlign w:val="center"/>
          </w:tcPr>
          <w:p w14:paraId="198CD2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515" w:type="dxa"/>
            <w:tcBorders>
              <w:tl2br w:val="nil"/>
              <w:tr2bl w:val="nil"/>
            </w:tcBorders>
            <w:vAlign w:val="center"/>
          </w:tcPr>
          <w:p w14:paraId="0C082E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3"/>
                <w:sz w:val="21"/>
                <w:szCs w:val="21"/>
                <w:highlight w:val="none"/>
                <w:lang w:val="en-US" w:eastAsia="zh-CN"/>
              </w:rPr>
              <w:t>48</w:t>
            </w:r>
          </w:p>
        </w:tc>
      </w:tr>
      <w:tr w14:paraId="31346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669" w:type="dxa"/>
            <w:vMerge w:val="continue"/>
            <w:tcBorders>
              <w:tl2br w:val="nil"/>
              <w:tr2bl w:val="nil"/>
            </w:tcBorders>
            <w:vAlign w:val="center"/>
          </w:tcPr>
          <w:p w14:paraId="55D187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086" w:type="dxa"/>
            <w:vMerge w:val="continue"/>
            <w:tcBorders>
              <w:tl2br w:val="nil"/>
              <w:tr2bl w:val="nil"/>
            </w:tcBorders>
            <w:vAlign w:val="center"/>
          </w:tcPr>
          <w:p w14:paraId="73FFFF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1472" w:type="dxa"/>
            <w:tcBorders>
              <w:tl2br w:val="nil"/>
              <w:tr2bl w:val="nil"/>
            </w:tcBorders>
            <w:vAlign w:val="center"/>
          </w:tcPr>
          <w:p w14:paraId="1CA3401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z w:val="21"/>
                <w:szCs w:val="21"/>
                <w:highlight w:val="none"/>
              </w:rPr>
            </w:pPr>
            <w:r>
              <w:rPr>
                <w:spacing w:val="7"/>
                <w:sz w:val="21"/>
                <w:szCs w:val="21"/>
                <w:highlight w:val="none"/>
              </w:rPr>
              <w:t>动植物油</w:t>
            </w:r>
          </w:p>
        </w:tc>
        <w:tc>
          <w:tcPr>
            <w:tcW w:w="2684" w:type="dxa"/>
            <w:vMerge w:val="continue"/>
            <w:tcBorders>
              <w:tl2br w:val="nil"/>
              <w:tr2bl w:val="nil"/>
            </w:tcBorders>
            <w:vAlign w:val="center"/>
          </w:tcPr>
          <w:p w14:paraId="2FAE31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szCs w:val="21"/>
                <w:highlight w:val="none"/>
              </w:rPr>
            </w:pPr>
          </w:p>
        </w:tc>
        <w:tc>
          <w:tcPr>
            <w:tcW w:w="2515" w:type="dxa"/>
            <w:tcBorders>
              <w:tl2br w:val="nil"/>
              <w:tr2bl w:val="nil"/>
            </w:tcBorders>
            <w:vAlign w:val="center"/>
          </w:tcPr>
          <w:p w14:paraId="3EE6A0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pacing w:val="2"/>
                <w:sz w:val="21"/>
                <w:szCs w:val="21"/>
                <w:highlight w:val="none"/>
                <w:lang w:val="en-US" w:eastAsia="zh-CN"/>
              </w:rPr>
              <w:t>100</w:t>
            </w:r>
          </w:p>
        </w:tc>
      </w:tr>
    </w:tbl>
    <w:p w14:paraId="6A9E42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表6.3-4  废水污染物排放信息表</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00"/>
        <w:gridCol w:w="1602"/>
        <w:gridCol w:w="2004"/>
        <w:gridCol w:w="2028"/>
        <w:gridCol w:w="1878"/>
      </w:tblGrid>
      <w:tr w14:paraId="530A9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5" w:hRule="atLeast"/>
        </w:trPr>
        <w:tc>
          <w:tcPr>
            <w:tcW w:w="587" w:type="pct"/>
            <w:vMerge w:val="restart"/>
            <w:tcBorders>
              <w:tl2br w:val="nil"/>
              <w:tr2bl w:val="nil"/>
            </w:tcBorders>
            <w:shd w:val="clear" w:color="auto" w:fill="auto"/>
            <w:vAlign w:val="center"/>
          </w:tcPr>
          <w:p w14:paraId="68A875F3">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snapToGrid w:val="0"/>
                <w:color w:val="auto"/>
                <w:kern w:val="24"/>
                <w:sz w:val="21"/>
                <w:szCs w:val="21"/>
                <w:highlight w:val="none"/>
                <w:u w:val="none" w:color="auto"/>
              </w:rPr>
              <w:t>排放口编号</w:t>
            </w:r>
          </w:p>
        </w:tc>
        <w:tc>
          <w:tcPr>
            <w:tcW w:w="941" w:type="pct"/>
            <w:vMerge w:val="restart"/>
            <w:tcBorders>
              <w:tl2br w:val="nil"/>
              <w:tr2bl w:val="nil"/>
            </w:tcBorders>
            <w:shd w:val="clear" w:color="auto" w:fill="auto"/>
            <w:vAlign w:val="center"/>
          </w:tcPr>
          <w:p w14:paraId="65A06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污染物</w:t>
            </w:r>
          </w:p>
        </w:tc>
        <w:tc>
          <w:tcPr>
            <w:tcW w:w="1177" w:type="pct"/>
            <w:vMerge w:val="restart"/>
            <w:tcBorders>
              <w:tl2br w:val="nil"/>
              <w:tr2bl w:val="nil"/>
            </w:tcBorders>
            <w:shd w:val="clear" w:color="auto" w:fill="auto"/>
            <w:vAlign w:val="center"/>
          </w:tcPr>
          <w:p w14:paraId="09B5C0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污染因子</w:t>
            </w:r>
          </w:p>
        </w:tc>
        <w:tc>
          <w:tcPr>
            <w:tcW w:w="2294" w:type="pct"/>
            <w:gridSpan w:val="2"/>
            <w:tcBorders>
              <w:tl2br w:val="nil"/>
              <w:tr2bl w:val="nil"/>
            </w:tcBorders>
            <w:shd w:val="clear" w:color="auto" w:fill="auto"/>
            <w:vAlign w:val="center"/>
          </w:tcPr>
          <w:p w14:paraId="141B6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处理后</w:t>
            </w:r>
          </w:p>
        </w:tc>
      </w:tr>
      <w:tr w14:paraId="7A12A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5" w:hRule="atLeast"/>
        </w:trPr>
        <w:tc>
          <w:tcPr>
            <w:tcW w:w="587" w:type="pct"/>
            <w:vMerge w:val="continue"/>
            <w:tcBorders>
              <w:tl2br w:val="nil"/>
              <w:tr2bl w:val="nil"/>
            </w:tcBorders>
            <w:shd w:val="clear" w:color="auto" w:fill="auto"/>
            <w:vAlign w:val="center"/>
          </w:tcPr>
          <w:p w14:paraId="249B52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highlight w:val="none"/>
                <w:u w:val="none"/>
              </w:rPr>
            </w:pPr>
          </w:p>
        </w:tc>
        <w:tc>
          <w:tcPr>
            <w:tcW w:w="941" w:type="pct"/>
            <w:vMerge w:val="continue"/>
            <w:tcBorders>
              <w:tl2br w:val="nil"/>
              <w:tr2bl w:val="nil"/>
            </w:tcBorders>
            <w:shd w:val="clear" w:color="auto" w:fill="auto"/>
            <w:vAlign w:val="center"/>
          </w:tcPr>
          <w:p w14:paraId="211679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highlight w:val="none"/>
                <w:u w:val="none"/>
              </w:rPr>
            </w:pPr>
          </w:p>
        </w:tc>
        <w:tc>
          <w:tcPr>
            <w:tcW w:w="1177" w:type="pct"/>
            <w:vMerge w:val="continue"/>
            <w:tcBorders>
              <w:tl2br w:val="nil"/>
              <w:tr2bl w:val="nil"/>
            </w:tcBorders>
            <w:shd w:val="clear" w:color="auto" w:fill="auto"/>
            <w:vAlign w:val="center"/>
          </w:tcPr>
          <w:p w14:paraId="19E7D0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1"/>
                <w:szCs w:val="21"/>
                <w:highlight w:val="none"/>
                <w:u w:val="none"/>
              </w:rPr>
            </w:pPr>
          </w:p>
        </w:tc>
        <w:tc>
          <w:tcPr>
            <w:tcW w:w="1190" w:type="pct"/>
            <w:tcBorders>
              <w:tl2br w:val="nil"/>
              <w:tr2bl w:val="nil"/>
            </w:tcBorders>
            <w:shd w:val="clear" w:color="auto" w:fill="auto"/>
            <w:vAlign w:val="center"/>
          </w:tcPr>
          <w:p w14:paraId="32ABC7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eastAsia" w:ascii="Times New Roman" w:hAnsi="Times New Roman" w:eastAsia="宋体" w:cs="Times New Roman"/>
                <w:b/>
                <w:bCs/>
                <w:i w:val="0"/>
                <w:iCs w:val="0"/>
                <w:color w:val="000000"/>
                <w:kern w:val="0"/>
                <w:sz w:val="21"/>
                <w:szCs w:val="21"/>
                <w:highlight w:val="none"/>
                <w:u w:val="none"/>
                <w:lang w:val="en-US" w:eastAsia="zh-CN" w:bidi="ar"/>
              </w:rPr>
              <w:t>排放</w:t>
            </w:r>
            <w:r>
              <w:rPr>
                <w:rFonts w:hint="default" w:ascii="Times New Roman" w:hAnsi="Times New Roman" w:eastAsia="宋体" w:cs="Times New Roman"/>
                <w:b/>
                <w:bCs/>
                <w:i w:val="0"/>
                <w:iCs w:val="0"/>
                <w:color w:val="000000"/>
                <w:kern w:val="0"/>
                <w:sz w:val="21"/>
                <w:szCs w:val="21"/>
                <w:highlight w:val="none"/>
                <w:u w:val="none"/>
                <w:lang w:val="en-US" w:eastAsia="zh-CN" w:bidi="ar"/>
              </w:rPr>
              <w:t>浓度（</w:t>
            </w:r>
            <w:r>
              <w:rPr>
                <w:rStyle w:val="46"/>
                <w:rFonts w:hint="default" w:ascii="Times New Roman" w:hAnsi="Times New Roman" w:eastAsia="宋体" w:cs="Times New Roman"/>
                <w:sz w:val="21"/>
                <w:szCs w:val="21"/>
                <w:highlight w:val="none"/>
                <w:lang w:val="en-US" w:eastAsia="zh-CN" w:bidi="ar"/>
              </w:rPr>
              <w:t>mg/L</w:t>
            </w:r>
            <w:r>
              <w:rPr>
                <w:rFonts w:hint="default" w:ascii="Times New Roman" w:hAnsi="Times New Roman" w:eastAsia="宋体" w:cs="Times New Roman"/>
                <w:b/>
                <w:bCs/>
                <w:i w:val="0"/>
                <w:iCs w:val="0"/>
                <w:color w:val="000000"/>
                <w:kern w:val="0"/>
                <w:sz w:val="21"/>
                <w:szCs w:val="21"/>
                <w:highlight w:val="none"/>
                <w:u w:val="none"/>
                <w:lang w:val="en-US" w:eastAsia="zh-CN" w:bidi="ar"/>
              </w:rPr>
              <w:t>）</w:t>
            </w:r>
          </w:p>
        </w:tc>
        <w:tc>
          <w:tcPr>
            <w:tcW w:w="1103" w:type="pct"/>
            <w:tcBorders>
              <w:tl2br w:val="nil"/>
              <w:tr2bl w:val="nil"/>
            </w:tcBorders>
            <w:shd w:val="clear" w:color="auto" w:fill="auto"/>
            <w:vAlign w:val="center"/>
          </w:tcPr>
          <w:p w14:paraId="7C74F8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highlight w:val="none"/>
                <w:u w:val="none"/>
              </w:rPr>
            </w:pPr>
            <w:r>
              <w:rPr>
                <w:rFonts w:hint="default" w:ascii="Times New Roman" w:hAnsi="Times New Roman" w:eastAsia="宋体" w:cs="Times New Roman"/>
                <w:b/>
                <w:bCs/>
                <w:i w:val="0"/>
                <w:iCs w:val="0"/>
                <w:color w:val="000000"/>
                <w:kern w:val="0"/>
                <w:sz w:val="21"/>
                <w:szCs w:val="21"/>
                <w:highlight w:val="none"/>
                <w:u w:val="none"/>
                <w:lang w:val="en-US" w:eastAsia="zh-CN" w:bidi="ar"/>
              </w:rPr>
              <w:t>排放量（</w:t>
            </w:r>
            <w:r>
              <w:rPr>
                <w:rStyle w:val="46"/>
                <w:rFonts w:hint="default" w:ascii="Times New Roman" w:hAnsi="Times New Roman" w:eastAsia="宋体" w:cs="Times New Roman"/>
                <w:sz w:val="21"/>
                <w:szCs w:val="21"/>
                <w:highlight w:val="none"/>
                <w:lang w:val="en-US" w:eastAsia="zh-CN" w:bidi="ar"/>
              </w:rPr>
              <w:t>t/a</w:t>
            </w:r>
            <w:r>
              <w:rPr>
                <w:rFonts w:hint="default" w:ascii="Times New Roman" w:hAnsi="Times New Roman" w:eastAsia="宋体" w:cs="Times New Roman"/>
                <w:b/>
                <w:bCs/>
                <w:i w:val="0"/>
                <w:iCs w:val="0"/>
                <w:color w:val="000000"/>
                <w:kern w:val="0"/>
                <w:sz w:val="21"/>
                <w:szCs w:val="21"/>
                <w:highlight w:val="none"/>
                <w:u w:val="none"/>
                <w:lang w:val="en-US" w:eastAsia="zh-CN" w:bidi="ar"/>
              </w:rPr>
              <w:t>）</w:t>
            </w:r>
          </w:p>
        </w:tc>
      </w:tr>
      <w:tr w14:paraId="4AD62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restart"/>
            <w:tcBorders>
              <w:tl2br w:val="nil"/>
              <w:tr2bl w:val="nil"/>
            </w:tcBorders>
            <w:shd w:val="clear" w:color="auto" w:fill="auto"/>
            <w:vAlign w:val="center"/>
          </w:tcPr>
          <w:p w14:paraId="0D28452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napToGrid w:val="0"/>
                <w:color w:val="auto"/>
                <w:kern w:val="24"/>
                <w:sz w:val="21"/>
                <w:szCs w:val="21"/>
                <w:highlight w:val="none"/>
                <w:u w:val="none" w:color="auto"/>
              </w:rPr>
              <w:t>DW001</w:t>
            </w:r>
          </w:p>
        </w:tc>
        <w:tc>
          <w:tcPr>
            <w:tcW w:w="941" w:type="pct"/>
            <w:vMerge w:val="restart"/>
            <w:tcBorders>
              <w:tl2br w:val="nil"/>
              <w:tr2bl w:val="nil"/>
            </w:tcBorders>
            <w:shd w:val="clear" w:color="auto" w:fill="auto"/>
            <w:vAlign w:val="center"/>
          </w:tcPr>
          <w:p w14:paraId="7C6CD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生活污水（</w:t>
            </w:r>
            <w:r>
              <w:rPr>
                <w:rStyle w:val="47"/>
                <w:rFonts w:hint="default" w:ascii="Times New Roman" w:hAnsi="Times New Roman" w:eastAsia="宋体" w:cs="Times New Roman"/>
                <w:sz w:val="21"/>
                <w:szCs w:val="21"/>
                <w:highlight w:val="none"/>
                <w:lang w:val="en-US" w:eastAsia="zh-CN" w:bidi="ar"/>
              </w:rPr>
              <w:t xml:space="preserve"> 355.2 m³/a</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1177" w:type="pct"/>
            <w:tcBorders>
              <w:tl2br w:val="nil"/>
              <w:tr2bl w:val="nil"/>
            </w:tcBorders>
            <w:shd w:val="clear" w:color="auto" w:fill="auto"/>
            <w:vAlign w:val="center"/>
          </w:tcPr>
          <w:p w14:paraId="6F69A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190" w:type="pct"/>
            <w:tcBorders>
              <w:tl2br w:val="nil"/>
              <w:tr2bl w:val="nil"/>
            </w:tcBorders>
            <w:shd w:val="clear" w:color="auto" w:fill="auto"/>
            <w:vAlign w:val="center"/>
          </w:tcPr>
          <w:p w14:paraId="29CA9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180</w:t>
            </w:r>
          </w:p>
        </w:tc>
        <w:tc>
          <w:tcPr>
            <w:tcW w:w="1103" w:type="pct"/>
            <w:tcBorders>
              <w:tl2br w:val="nil"/>
              <w:tr2bl w:val="nil"/>
            </w:tcBorders>
            <w:shd w:val="clear" w:color="auto" w:fill="auto"/>
            <w:vAlign w:val="center"/>
          </w:tcPr>
          <w:p w14:paraId="1C981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0.064 </w:t>
            </w:r>
          </w:p>
        </w:tc>
      </w:tr>
      <w:tr w14:paraId="0C38C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trPr>
        <w:tc>
          <w:tcPr>
            <w:tcW w:w="587" w:type="pct"/>
            <w:vMerge w:val="continue"/>
            <w:tcBorders>
              <w:tl2br w:val="nil"/>
              <w:tr2bl w:val="nil"/>
            </w:tcBorders>
            <w:shd w:val="clear" w:color="auto" w:fill="auto"/>
            <w:vAlign w:val="center"/>
          </w:tcPr>
          <w:p w14:paraId="5C27EB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941" w:type="pct"/>
            <w:vMerge w:val="continue"/>
            <w:tcBorders>
              <w:tl2br w:val="nil"/>
              <w:tr2bl w:val="nil"/>
            </w:tcBorders>
            <w:shd w:val="clear" w:color="auto" w:fill="auto"/>
            <w:vAlign w:val="center"/>
          </w:tcPr>
          <w:p w14:paraId="035229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1177" w:type="pct"/>
            <w:tcBorders>
              <w:tl2br w:val="nil"/>
              <w:tr2bl w:val="nil"/>
            </w:tcBorders>
            <w:shd w:val="clear" w:color="auto" w:fill="auto"/>
            <w:vAlign w:val="center"/>
          </w:tcPr>
          <w:p w14:paraId="2B97A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BOD</w:t>
            </w:r>
            <w:r>
              <w:rPr>
                <w:rStyle w:val="48"/>
                <w:rFonts w:hint="default" w:ascii="Times New Roman" w:hAnsi="Times New Roman" w:eastAsia="宋体" w:cs="Times New Roman"/>
                <w:sz w:val="21"/>
                <w:szCs w:val="21"/>
                <w:highlight w:val="none"/>
                <w:lang w:val="en-US" w:eastAsia="zh-CN" w:bidi="ar"/>
              </w:rPr>
              <w:t>5</w:t>
            </w:r>
          </w:p>
        </w:tc>
        <w:tc>
          <w:tcPr>
            <w:tcW w:w="1190" w:type="pct"/>
            <w:tcBorders>
              <w:tl2br w:val="nil"/>
              <w:tr2bl w:val="nil"/>
            </w:tcBorders>
            <w:shd w:val="clear" w:color="auto" w:fill="auto"/>
            <w:vAlign w:val="center"/>
          </w:tcPr>
          <w:p w14:paraId="49217F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100</w:t>
            </w:r>
          </w:p>
        </w:tc>
        <w:tc>
          <w:tcPr>
            <w:tcW w:w="1103" w:type="pct"/>
            <w:tcBorders>
              <w:tl2br w:val="nil"/>
              <w:tr2bl w:val="nil"/>
            </w:tcBorders>
            <w:shd w:val="clear" w:color="auto" w:fill="auto"/>
            <w:vAlign w:val="center"/>
          </w:tcPr>
          <w:p w14:paraId="508DB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0.036 </w:t>
            </w:r>
          </w:p>
        </w:tc>
      </w:tr>
      <w:tr w14:paraId="2B271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continue"/>
            <w:tcBorders>
              <w:tl2br w:val="nil"/>
              <w:tr2bl w:val="nil"/>
            </w:tcBorders>
            <w:shd w:val="clear" w:color="auto" w:fill="auto"/>
            <w:vAlign w:val="center"/>
          </w:tcPr>
          <w:p w14:paraId="26B602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941" w:type="pct"/>
            <w:vMerge w:val="continue"/>
            <w:tcBorders>
              <w:tl2br w:val="nil"/>
              <w:tr2bl w:val="nil"/>
            </w:tcBorders>
            <w:shd w:val="clear" w:color="auto" w:fill="auto"/>
            <w:vAlign w:val="center"/>
          </w:tcPr>
          <w:p w14:paraId="133E3F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1177" w:type="pct"/>
            <w:tcBorders>
              <w:tl2br w:val="nil"/>
              <w:tr2bl w:val="nil"/>
            </w:tcBorders>
            <w:shd w:val="clear" w:color="auto" w:fill="auto"/>
            <w:vAlign w:val="center"/>
          </w:tcPr>
          <w:p w14:paraId="65E94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SS</w:t>
            </w:r>
          </w:p>
        </w:tc>
        <w:tc>
          <w:tcPr>
            <w:tcW w:w="1190" w:type="pct"/>
            <w:tcBorders>
              <w:tl2br w:val="nil"/>
              <w:tr2bl w:val="nil"/>
            </w:tcBorders>
            <w:shd w:val="clear" w:color="auto" w:fill="auto"/>
            <w:vAlign w:val="center"/>
          </w:tcPr>
          <w:p w14:paraId="2E6AB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80</w:t>
            </w:r>
          </w:p>
        </w:tc>
        <w:tc>
          <w:tcPr>
            <w:tcW w:w="1103" w:type="pct"/>
            <w:tcBorders>
              <w:tl2br w:val="nil"/>
              <w:tr2bl w:val="nil"/>
            </w:tcBorders>
            <w:shd w:val="clear" w:color="auto" w:fill="auto"/>
            <w:vAlign w:val="center"/>
          </w:tcPr>
          <w:p w14:paraId="764EFD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0.028 </w:t>
            </w:r>
          </w:p>
        </w:tc>
      </w:tr>
      <w:tr w14:paraId="5878E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continue"/>
            <w:tcBorders>
              <w:tl2br w:val="nil"/>
              <w:tr2bl w:val="nil"/>
            </w:tcBorders>
            <w:shd w:val="clear" w:color="auto" w:fill="auto"/>
            <w:vAlign w:val="center"/>
          </w:tcPr>
          <w:p w14:paraId="510C28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941" w:type="pct"/>
            <w:vMerge w:val="continue"/>
            <w:tcBorders>
              <w:tl2br w:val="nil"/>
              <w:tr2bl w:val="nil"/>
            </w:tcBorders>
            <w:shd w:val="clear" w:color="auto" w:fill="auto"/>
            <w:vAlign w:val="center"/>
          </w:tcPr>
          <w:p w14:paraId="5248A3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1177" w:type="pct"/>
            <w:tcBorders>
              <w:tl2br w:val="nil"/>
              <w:tr2bl w:val="nil"/>
            </w:tcBorders>
            <w:shd w:val="clear" w:color="auto" w:fill="auto"/>
            <w:vAlign w:val="center"/>
          </w:tcPr>
          <w:p w14:paraId="3F7EA8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氨氮</w:t>
            </w:r>
          </w:p>
        </w:tc>
        <w:tc>
          <w:tcPr>
            <w:tcW w:w="1190" w:type="pct"/>
            <w:tcBorders>
              <w:tl2br w:val="nil"/>
              <w:tr2bl w:val="nil"/>
            </w:tcBorders>
            <w:shd w:val="clear" w:color="auto" w:fill="auto"/>
            <w:vAlign w:val="center"/>
          </w:tcPr>
          <w:p w14:paraId="549C8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20</w:t>
            </w:r>
          </w:p>
        </w:tc>
        <w:tc>
          <w:tcPr>
            <w:tcW w:w="1103" w:type="pct"/>
            <w:tcBorders>
              <w:tl2br w:val="nil"/>
              <w:tr2bl w:val="nil"/>
            </w:tcBorders>
            <w:shd w:val="clear" w:color="auto" w:fill="auto"/>
            <w:vAlign w:val="center"/>
          </w:tcPr>
          <w:p w14:paraId="4A01C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0.007 </w:t>
            </w:r>
          </w:p>
        </w:tc>
      </w:tr>
      <w:tr w14:paraId="1D6BC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587" w:type="pct"/>
            <w:vMerge w:val="continue"/>
            <w:tcBorders>
              <w:tl2br w:val="nil"/>
              <w:tr2bl w:val="nil"/>
            </w:tcBorders>
            <w:shd w:val="clear" w:color="auto" w:fill="auto"/>
            <w:vAlign w:val="center"/>
          </w:tcPr>
          <w:p w14:paraId="411D91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941" w:type="pct"/>
            <w:vMerge w:val="continue"/>
            <w:tcBorders>
              <w:tl2br w:val="nil"/>
              <w:tr2bl w:val="nil"/>
            </w:tcBorders>
            <w:shd w:val="clear" w:color="auto" w:fill="auto"/>
            <w:vAlign w:val="center"/>
          </w:tcPr>
          <w:p w14:paraId="4199CD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1177" w:type="pct"/>
            <w:tcBorders>
              <w:tl2br w:val="nil"/>
              <w:tr2bl w:val="nil"/>
            </w:tcBorders>
            <w:shd w:val="clear" w:color="auto" w:fill="auto"/>
            <w:vAlign w:val="center"/>
          </w:tcPr>
          <w:p w14:paraId="39478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动植物油</w:t>
            </w:r>
          </w:p>
        </w:tc>
        <w:tc>
          <w:tcPr>
            <w:tcW w:w="1190" w:type="pct"/>
            <w:tcBorders>
              <w:tl2br w:val="nil"/>
              <w:tr2bl w:val="nil"/>
            </w:tcBorders>
            <w:shd w:val="clear" w:color="auto" w:fill="auto"/>
            <w:vAlign w:val="center"/>
          </w:tcPr>
          <w:p w14:paraId="27C8F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1103" w:type="pct"/>
            <w:tcBorders>
              <w:tl2br w:val="nil"/>
              <w:tr2bl w:val="nil"/>
            </w:tcBorders>
            <w:shd w:val="clear" w:color="auto" w:fill="auto"/>
            <w:vAlign w:val="center"/>
          </w:tcPr>
          <w:p w14:paraId="0F546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0.004 </w:t>
            </w:r>
          </w:p>
        </w:tc>
      </w:tr>
      <w:tr w14:paraId="067E7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4" w:hRule="atLeast"/>
        </w:trPr>
        <w:tc>
          <w:tcPr>
            <w:tcW w:w="587" w:type="pct"/>
            <w:vMerge w:val="continue"/>
            <w:tcBorders>
              <w:tl2br w:val="nil"/>
              <w:tr2bl w:val="nil"/>
            </w:tcBorders>
            <w:shd w:val="clear" w:color="auto" w:fill="auto"/>
            <w:vAlign w:val="center"/>
          </w:tcPr>
          <w:p w14:paraId="24B19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941" w:type="pct"/>
            <w:tcBorders>
              <w:tl2br w:val="nil"/>
              <w:tr2bl w:val="nil"/>
            </w:tcBorders>
            <w:shd w:val="clear" w:color="auto" w:fill="auto"/>
            <w:vAlign w:val="center"/>
          </w:tcPr>
          <w:p w14:paraId="70643D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纯水制备浓水（</w:t>
            </w:r>
            <w:r>
              <w:rPr>
                <w:rStyle w:val="47"/>
                <w:rFonts w:hint="default" w:ascii="Times New Roman" w:hAnsi="Times New Roman" w:eastAsia="宋体" w:cs="Times New Roman"/>
                <w:sz w:val="21"/>
                <w:szCs w:val="21"/>
                <w:highlight w:val="none"/>
                <w:lang w:val="en-US" w:eastAsia="zh-CN" w:bidi="ar"/>
              </w:rPr>
              <w:t>400 m³/a</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1177" w:type="pct"/>
            <w:tcBorders>
              <w:tl2br w:val="nil"/>
              <w:tr2bl w:val="nil"/>
            </w:tcBorders>
            <w:shd w:val="clear" w:color="auto" w:fill="auto"/>
            <w:vAlign w:val="center"/>
          </w:tcPr>
          <w:p w14:paraId="34A152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190" w:type="pct"/>
            <w:tcBorders>
              <w:tl2br w:val="nil"/>
              <w:tr2bl w:val="nil"/>
            </w:tcBorders>
            <w:shd w:val="clear" w:color="auto" w:fill="auto"/>
            <w:vAlign w:val="center"/>
          </w:tcPr>
          <w:p w14:paraId="594484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50</w:t>
            </w:r>
          </w:p>
        </w:tc>
        <w:tc>
          <w:tcPr>
            <w:tcW w:w="1103" w:type="pct"/>
            <w:tcBorders>
              <w:tl2br w:val="nil"/>
              <w:tr2bl w:val="nil"/>
            </w:tcBorders>
            <w:shd w:val="clear" w:color="auto" w:fill="auto"/>
            <w:vAlign w:val="center"/>
          </w:tcPr>
          <w:p w14:paraId="561A0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0.02</w:t>
            </w:r>
          </w:p>
        </w:tc>
      </w:tr>
      <w:tr w14:paraId="66811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trPr>
        <w:tc>
          <w:tcPr>
            <w:tcW w:w="587" w:type="pct"/>
            <w:vMerge w:val="continue"/>
            <w:tcBorders>
              <w:tl2br w:val="nil"/>
              <w:tr2bl w:val="nil"/>
            </w:tcBorders>
            <w:shd w:val="clear" w:color="auto" w:fill="auto"/>
            <w:vAlign w:val="center"/>
          </w:tcPr>
          <w:p w14:paraId="5D04E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941" w:type="pct"/>
            <w:vMerge w:val="restart"/>
            <w:tcBorders>
              <w:tl2br w:val="nil"/>
              <w:tr2bl w:val="nil"/>
            </w:tcBorders>
            <w:shd w:val="clear" w:color="auto" w:fill="auto"/>
            <w:vAlign w:val="center"/>
          </w:tcPr>
          <w:p w14:paraId="2C681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地面清洁废水（</w:t>
            </w:r>
            <w:r>
              <w:rPr>
                <w:rStyle w:val="47"/>
                <w:rFonts w:hint="default" w:ascii="Times New Roman" w:hAnsi="Times New Roman" w:eastAsia="宋体" w:cs="Times New Roman"/>
                <w:sz w:val="21"/>
                <w:szCs w:val="21"/>
                <w:highlight w:val="none"/>
                <w:lang w:val="en-US" w:eastAsia="zh-CN" w:bidi="ar"/>
              </w:rPr>
              <w:t xml:space="preserve"> 24m³/a</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1177" w:type="pct"/>
            <w:tcBorders>
              <w:tl2br w:val="nil"/>
              <w:tr2bl w:val="nil"/>
            </w:tcBorders>
            <w:shd w:val="clear" w:color="auto" w:fill="auto"/>
            <w:vAlign w:val="center"/>
          </w:tcPr>
          <w:p w14:paraId="08998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190" w:type="pct"/>
            <w:tcBorders>
              <w:tl2br w:val="nil"/>
              <w:tr2bl w:val="nil"/>
            </w:tcBorders>
            <w:shd w:val="clear" w:color="auto" w:fill="auto"/>
            <w:vAlign w:val="center"/>
          </w:tcPr>
          <w:p w14:paraId="2F4F3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210</w:t>
            </w:r>
          </w:p>
        </w:tc>
        <w:tc>
          <w:tcPr>
            <w:tcW w:w="1103" w:type="pct"/>
            <w:tcBorders>
              <w:tl2br w:val="nil"/>
              <w:tr2bl w:val="nil"/>
            </w:tcBorders>
            <w:shd w:val="clear" w:color="auto" w:fill="auto"/>
            <w:vAlign w:val="center"/>
          </w:tcPr>
          <w:p w14:paraId="72D65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0.005 </w:t>
            </w:r>
          </w:p>
        </w:tc>
      </w:tr>
      <w:tr w14:paraId="3CC28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587" w:type="pct"/>
            <w:vMerge w:val="continue"/>
            <w:tcBorders>
              <w:tl2br w:val="nil"/>
              <w:tr2bl w:val="nil"/>
            </w:tcBorders>
            <w:shd w:val="clear" w:color="auto" w:fill="auto"/>
            <w:vAlign w:val="center"/>
          </w:tcPr>
          <w:p w14:paraId="0B54F0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941" w:type="pct"/>
            <w:vMerge w:val="continue"/>
            <w:tcBorders>
              <w:tl2br w:val="nil"/>
              <w:tr2bl w:val="nil"/>
            </w:tcBorders>
            <w:shd w:val="clear" w:color="auto" w:fill="auto"/>
            <w:vAlign w:val="center"/>
          </w:tcPr>
          <w:p w14:paraId="1AC967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1177" w:type="pct"/>
            <w:tcBorders>
              <w:tl2br w:val="nil"/>
              <w:tr2bl w:val="nil"/>
            </w:tcBorders>
            <w:shd w:val="clear" w:color="auto" w:fill="auto"/>
            <w:vAlign w:val="center"/>
          </w:tcPr>
          <w:p w14:paraId="2830FD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氨氮</w:t>
            </w:r>
          </w:p>
        </w:tc>
        <w:tc>
          <w:tcPr>
            <w:tcW w:w="1190" w:type="pct"/>
            <w:tcBorders>
              <w:tl2br w:val="nil"/>
              <w:tr2bl w:val="nil"/>
            </w:tcBorders>
            <w:shd w:val="clear" w:color="auto" w:fill="auto"/>
            <w:vAlign w:val="center"/>
          </w:tcPr>
          <w:p w14:paraId="2045E7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1103" w:type="pct"/>
            <w:tcBorders>
              <w:tl2br w:val="nil"/>
              <w:tr2bl w:val="nil"/>
            </w:tcBorders>
            <w:shd w:val="clear" w:color="auto" w:fill="auto"/>
            <w:vAlign w:val="center"/>
          </w:tcPr>
          <w:p w14:paraId="0791F4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0.0001 </w:t>
            </w:r>
          </w:p>
        </w:tc>
      </w:tr>
      <w:tr w14:paraId="1DFD3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continue"/>
            <w:tcBorders>
              <w:tl2br w:val="nil"/>
              <w:tr2bl w:val="nil"/>
            </w:tcBorders>
            <w:shd w:val="clear" w:color="auto" w:fill="auto"/>
            <w:vAlign w:val="center"/>
          </w:tcPr>
          <w:p w14:paraId="0868E6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941" w:type="pct"/>
            <w:vMerge w:val="continue"/>
            <w:tcBorders>
              <w:tl2br w:val="nil"/>
              <w:tr2bl w:val="nil"/>
            </w:tcBorders>
            <w:shd w:val="clear" w:color="auto" w:fill="auto"/>
            <w:vAlign w:val="center"/>
          </w:tcPr>
          <w:p w14:paraId="58AF24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1177" w:type="pct"/>
            <w:tcBorders>
              <w:tl2br w:val="nil"/>
              <w:tr2bl w:val="nil"/>
            </w:tcBorders>
            <w:shd w:val="clear" w:color="auto" w:fill="auto"/>
            <w:vAlign w:val="center"/>
          </w:tcPr>
          <w:p w14:paraId="415761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SS</w:t>
            </w:r>
          </w:p>
        </w:tc>
        <w:tc>
          <w:tcPr>
            <w:tcW w:w="1190" w:type="pct"/>
            <w:tcBorders>
              <w:tl2br w:val="nil"/>
              <w:tr2bl w:val="nil"/>
            </w:tcBorders>
            <w:shd w:val="clear" w:color="auto" w:fill="auto"/>
            <w:vAlign w:val="center"/>
          </w:tcPr>
          <w:p w14:paraId="16D5E0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100</w:t>
            </w:r>
          </w:p>
        </w:tc>
        <w:tc>
          <w:tcPr>
            <w:tcW w:w="1103" w:type="pct"/>
            <w:tcBorders>
              <w:tl2br w:val="nil"/>
              <w:tr2bl w:val="nil"/>
            </w:tcBorders>
            <w:shd w:val="clear" w:color="auto" w:fill="auto"/>
            <w:vAlign w:val="center"/>
          </w:tcPr>
          <w:p w14:paraId="7EA5E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0.0024 </w:t>
            </w:r>
          </w:p>
        </w:tc>
      </w:tr>
      <w:tr w14:paraId="72FB3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restart"/>
            <w:tcBorders>
              <w:tl2br w:val="nil"/>
              <w:tr2bl w:val="nil"/>
            </w:tcBorders>
            <w:shd w:val="clear" w:color="auto" w:fill="auto"/>
            <w:vAlign w:val="center"/>
          </w:tcPr>
          <w:p w14:paraId="5E66CE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全厂排放口合计</w:t>
            </w:r>
          </w:p>
        </w:tc>
        <w:tc>
          <w:tcPr>
            <w:tcW w:w="3309" w:type="pct"/>
            <w:gridSpan w:val="3"/>
            <w:tcBorders>
              <w:tl2br w:val="nil"/>
              <w:tr2bl w:val="nil"/>
            </w:tcBorders>
            <w:shd w:val="clear" w:color="auto" w:fill="auto"/>
            <w:vAlign w:val="center"/>
          </w:tcPr>
          <w:p w14:paraId="3A6A2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cs="Times New Roman"/>
                <w:color w:val="auto"/>
                <w:sz w:val="21"/>
                <w:szCs w:val="21"/>
                <w:highlight w:val="none"/>
              </w:rPr>
              <w:t>COD</w:t>
            </w:r>
            <w:r>
              <w:rPr>
                <w:rFonts w:hint="eastAsia" w:ascii="Times New Roman" w:cs="Times New Roman"/>
                <w:color w:val="auto"/>
                <w:sz w:val="21"/>
                <w:szCs w:val="21"/>
                <w:highlight w:val="none"/>
                <w:vertAlign w:val="subscript"/>
              </w:rPr>
              <w:t>cr</w:t>
            </w:r>
          </w:p>
        </w:tc>
        <w:tc>
          <w:tcPr>
            <w:tcW w:w="1103" w:type="pct"/>
            <w:tcBorders>
              <w:tl2br w:val="nil"/>
              <w:tr2bl w:val="nil"/>
            </w:tcBorders>
            <w:shd w:val="clear" w:color="auto" w:fill="auto"/>
            <w:vAlign w:val="center"/>
          </w:tcPr>
          <w:p w14:paraId="34D7909B">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0.089</w:t>
            </w:r>
          </w:p>
        </w:tc>
      </w:tr>
      <w:tr w14:paraId="3EAE5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87" w:type="pct"/>
            <w:vMerge w:val="continue"/>
            <w:tcBorders>
              <w:tl2br w:val="nil"/>
              <w:tr2bl w:val="nil"/>
            </w:tcBorders>
            <w:shd w:val="clear" w:color="auto" w:fill="auto"/>
            <w:vAlign w:val="center"/>
          </w:tcPr>
          <w:p w14:paraId="51AEE8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3309" w:type="pct"/>
            <w:gridSpan w:val="3"/>
            <w:tcBorders>
              <w:tl2br w:val="nil"/>
              <w:tr2bl w:val="nil"/>
            </w:tcBorders>
            <w:shd w:val="clear" w:color="auto" w:fill="auto"/>
            <w:vAlign w:val="center"/>
          </w:tcPr>
          <w:p w14:paraId="34BBE6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BOD</w:t>
            </w:r>
            <w:r>
              <w:rPr>
                <w:rStyle w:val="48"/>
                <w:rFonts w:eastAsia="宋体"/>
                <w:b w:val="0"/>
                <w:bCs w:val="0"/>
                <w:sz w:val="21"/>
                <w:szCs w:val="21"/>
                <w:highlight w:val="none"/>
                <w:lang w:val="en-US" w:eastAsia="zh-CN" w:bidi="ar"/>
              </w:rPr>
              <w:t>5</w:t>
            </w:r>
          </w:p>
        </w:tc>
        <w:tc>
          <w:tcPr>
            <w:tcW w:w="1103" w:type="pct"/>
            <w:tcBorders>
              <w:tl2br w:val="nil"/>
              <w:tr2bl w:val="nil"/>
            </w:tcBorders>
            <w:shd w:val="clear" w:color="auto" w:fill="auto"/>
            <w:vAlign w:val="center"/>
          </w:tcPr>
          <w:p w14:paraId="76C16EBC">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0.036</w:t>
            </w:r>
          </w:p>
        </w:tc>
      </w:tr>
      <w:tr w14:paraId="14FB0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continue"/>
            <w:tcBorders>
              <w:tl2br w:val="nil"/>
              <w:tr2bl w:val="nil"/>
            </w:tcBorders>
            <w:shd w:val="clear" w:color="auto" w:fill="auto"/>
            <w:vAlign w:val="center"/>
          </w:tcPr>
          <w:p w14:paraId="40C0E7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3309" w:type="pct"/>
            <w:gridSpan w:val="3"/>
            <w:tcBorders>
              <w:tl2br w:val="nil"/>
              <w:tr2bl w:val="nil"/>
            </w:tcBorders>
            <w:shd w:val="clear" w:color="auto" w:fill="auto"/>
            <w:vAlign w:val="center"/>
          </w:tcPr>
          <w:p w14:paraId="74D0D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SS</w:t>
            </w:r>
          </w:p>
        </w:tc>
        <w:tc>
          <w:tcPr>
            <w:tcW w:w="1103" w:type="pct"/>
            <w:tcBorders>
              <w:tl2br w:val="nil"/>
              <w:tr2bl w:val="nil"/>
            </w:tcBorders>
            <w:shd w:val="clear" w:color="auto" w:fill="auto"/>
            <w:vAlign w:val="center"/>
          </w:tcPr>
          <w:p w14:paraId="65802A6C">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0.0304</w:t>
            </w:r>
          </w:p>
        </w:tc>
      </w:tr>
      <w:tr w14:paraId="5775A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continue"/>
            <w:tcBorders>
              <w:tl2br w:val="nil"/>
              <w:tr2bl w:val="nil"/>
            </w:tcBorders>
            <w:shd w:val="clear" w:color="auto" w:fill="auto"/>
            <w:vAlign w:val="center"/>
          </w:tcPr>
          <w:p w14:paraId="452F5D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3309" w:type="pct"/>
            <w:gridSpan w:val="3"/>
            <w:tcBorders>
              <w:tl2br w:val="nil"/>
              <w:tr2bl w:val="nil"/>
            </w:tcBorders>
            <w:shd w:val="clear" w:color="auto" w:fill="auto"/>
            <w:vAlign w:val="center"/>
          </w:tcPr>
          <w:p w14:paraId="7B0B6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氨氮</w:t>
            </w:r>
          </w:p>
        </w:tc>
        <w:tc>
          <w:tcPr>
            <w:tcW w:w="1103" w:type="pct"/>
            <w:tcBorders>
              <w:tl2br w:val="nil"/>
              <w:tr2bl w:val="nil"/>
            </w:tcBorders>
            <w:shd w:val="clear" w:color="auto" w:fill="auto"/>
            <w:vAlign w:val="center"/>
          </w:tcPr>
          <w:p w14:paraId="45AD07EF">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0.0071</w:t>
            </w:r>
          </w:p>
        </w:tc>
      </w:tr>
      <w:tr w14:paraId="08126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587" w:type="pct"/>
            <w:vMerge w:val="continue"/>
            <w:tcBorders>
              <w:tl2br w:val="nil"/>
              <w:tr2bl w:val="nil"/>
            </w:tcBorders>
            <w:shd w:val="clear" w:color="auto" w:fill="auto"/>
            <w:vAlign w:val="center"/>
          </w:tcPr>
          <w:p w14:paraId="4EF3CC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1"/>
                <w:szCs w:val="21"/>
                <w:highlight w:val="none"/>
                <w:u w:val="none"/>
              </w:rPr>
            </w:pPr>
          </w:p>
        </w:tc>
        <w:tc>
          <w:tcPr>
            <w:tcW w:w="3309" w:type="pct"/>
            <w:gridSpan w:val="3"/>
            <w:tcBorders>
              <w:tl2br w:val="nil"/>
              <w:tr2bl w:val="nil"/>
            </w:tcBorders>
            <w:shd w:val="clear" w:color="auto" w:fill="auto"/>
            <w:vAlign w:val="center"/>
          </w:tcPr>
          <w:p w14:paraId="47F33C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highlight w:val="none"/>
                <w:u w:val="none"/>
                <w:lang w:val="en-US" w:eastAsia="zh-CN" w:bidi="ar"/>
              </w:rPr>
              <w:t>动植物油</w:t>
            </w:r>
          </w:p>
        </w:tc>
        <w:tc>
          <w:tcPr>
            <w:tcW w:w="1103" w:type="pct"/>
            <w:tcBorders>
              <w:tl2br w:val="nil"/>
              <w:tr2bl w:val="nil"/>
            </w:tcBorders>
            <w:shd w:val="clear" w:color="auto" w:fill="auto"/>
            <w:vAlign w:val="center"/>
          </w:tcPr>
          <w:p w14:paraId="2E958B63">
            <w:pPr>
              <w:keepNext w:val="0"/>
              <w:keepLines w:val="0"/>
              <w:pageBreakBefore w:val="0"/>
              <w:widowControl/>
              <w:kinsoku/>
              <w:wordWrap/>
              <w:overflowPunct/>
              <w:topLinePunct w:val="0"/>
              <w:autoSpaceDE/>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0.004</w:t>
            </w:r>
          </w:p>
        </w:tc>
      </w:tr>
    </w:tbl>
    <w:p w14:paraId="40063012">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eastAsia="宋体" w:cs="Times New Roman"/>
          <w:b/>
          <w:bCs/>
          <w:color w:val="auto"/>
          <w:sz w:val="24"/>
          <w:szCs w:val="24"/>
          <w:highlight w:val="none"/>
          <w:u w:val="none" w:color="auto"/>
          <w:lang w:val="en-US" w:eastAsia="zh-CN"/>
        </w:rPr>
        <w:t>地表水环境影响评价结论</w:t>
      </w:r>
    </w:p>
    <w:p w14:paraId="17CD8FCF">
      <w:pPr>
        <w:pStyle w:val="2"/>
        <w:keepNext w:val="0"/>
        <w:keepLines w:val="0"/>
        <w:pageBreakBefore w:val="0"/>
        <w:kinsoku/>
        <w:wordWrap/>
        <w:overflowPunct/>
        <w:topLinePunct w:val="0"/>
        <w:autoSpaceDE/>
        <w:autoSpaceDN/>
        <w:bidi w:val="0"/>
        <w:adjustRightInd/>
        <w:spacing w:before="0" w:after="0" w:line="360" w:lineRule="auto"/>
        <w:ind w:left="0" w:right="0"/>
        <w:jc w:val="both"/>
        <w:textAlignment w:val="auto"/>
        <w:rPr>
          <w:rFonts w:hint="eastAsia" w:ascii="Times New Roman" w:hAnsi="Times New Roman" w:eastAsia="宋体" w:cs="Times New Roman"/>
          <w:b/>
          <w:bCs/>
          <w:color w:val="auto"/>
          <w:sz w:val="24"/>
          <w:szCs w:val="24"/>
          <w:highlight w:val="none"/>
          <w:u w:val="none" w:color="auto"/>
          <w:lang w:val="en-US" w:eastAsia="zh-CN"/>
        </w:rPr>
      </w:pPr>
      <w:r>
        <w:rPr>
          <w:rFonts w:hint="eastAsia" w:ascii="Times New Roman" w:hAnsi="Times New Roman" w:cs="Times New Roman"/>
          <w:spacing w:val="-2"/>
          <w:kern w:val="0"/>
          <w:sz w:val="24"/>
          <w:szCs w:val="20"/>
          <w:highlight w:val="none"/>
          <w:lang w:val="en-US" w:eastAsia="zh-CN" w:bidi="ar-SA"/>
        </w:rPr>
        <w:t>本项目</w:t>
      </w:r>
      <w:r>
        <w:rPr>
          <w:rFonts w:hint="eastAsia" w:ascii="Times New Roman" w:hAnsi="Times New Roman" w:eastAsia="宋体" w:cs="Times New Roman"/>
          <w:spacing w:val="-2"/>
          <w:kern w:val="0"/>
          <w:sz w:val="24"/>
          <w:szCs w:val="20"/>
          <w:highlight w:val="none"/>
          <w:lang w:val="en-US" w:eastAsia="zh-CN" w:bidi="ar-SA"/>
        </w:rPr>
        <w:t>冷却水循环利用不外排，</w:t>
      </w:r>
      <w:r>
        <w:rPr>
          <w:rFonts w:hint="eastAsia" w:ascii="Times New Roman" w:hAnsi="Times New Roman" w:cs="Times New Roman"/>
          <w:spacing w:val="-2"/>
          <w:kern w:val="0"/>
          <w:sz w:val="24"/>
          <w:szCs w:val="20"/>
          <w:highlight w:val="none"/>
          <w:lang w:val="en-US" w:eastAsia="zh-CN" w:bidi="ar-SA"/>
        </w:rPr>
        <w:t>设备</w:t>
      </w:r>
      <w:r>
        <w:rPr>
          <w:rFonts w:hint="eastAsia" w:ascii="Times New Roman" w:hAnsi="Times New Roman" w:eastAsia="宋体" w:cs="Times New Roman"/>
          <w:spacing w:val="-2"/>
          <w:kern w:val="0"/>
          <w:sz w:val="24"/>
          <w:szCs w:val="20"/>
          <w:highlight w:val="none"/>
          <w:lang w:val="en-US" w:eastAsia="zh-CN" w:bidi="ar-SA"/>
        </w:rPr>
        <w:t>搅拌罐清洗水回用于生产</w:t>
      </w:r>
      <w:r>
        <w:rPr>
          <w:rFonts w:hint="eastAsia" w:cs="Times New Roman"/>
          <w:spacing w:val="-2"/>
          <w:kern w:val="0"/>
          <w:sz w:val="24"/>
          <w:szCs w:val="20"/>
          <w:highlight w:val="none"/>
          <w:lang w:val="en-US" w:eastAsia="zh-CN" w:bidi="ar-SA"/>
        </w:rPr>
        <w:t>防染剂，</w:t>
      </w:r>
      <w:r>
        <w:rPr>
          <w:rFonts w:hint="eastAsia" w:ascii="Times New Roman" w:hAnsi="Times New Roman" w:eastAsia="宋体" w:cs="Times New Roman"/>
          <w:spacing w:val="-2"/>
          <w:kern w:val="0"/>
          <w:sz w:val="24"/>
          <w:szCs w:val="20"/>
          <w:highlight w:val="none"/>
          <w:lang w:val="en-US" w:eastAsia="zh-CN" w:bidi="ar-SA"/>
        </w:rPr>
        <w:t>不外排，生产用水全部进入产品。地面清洁废水经沉淀池沉淀后同纯水制备浓水一起进入园区污水管网，</w:t>
      </w:r>
      <w:r>
        <w:rPr>
          <w:spacing w:val="1"/>
          <w:highlight w:val="none"/>
        </w:rPr>
        <w:t>生活污水</w:t>
      </w:r>
      <w:r>
        <w:rPr>
          <w:rFonts w:hint="eastAsia"/>
          <w:spacing w:val="1"/>
          <w:highlight w:val="none"/>
        </w:rPr>
        <w:t>依托园区创新创业基地</w:t>
      </w:r>
      <w:r>
        <w:rPr>
          <w:spacing w:val="1"/>
          <w:highlight w:val="none"/>
        </w:rPr>
        <w:t>隔油池</w:t>
      </w:r>
      <w:r>
        <w:rPr>
          <w:rFonts w:ascii="Times New Roman" w:hAnsi="Times New Roman" w:eastAsia="Times New Roman" w:cs="Times New Roman"/>
          <w:spacing w:val="1"/>
          <w:highlight w:val="none"/>
        </w:rPr>
        <w:t>+</w:t>
      </w:r>
      <w:r>
        <w:rPr>
          <w:spacing w:val="1"/>
          <w:highlight w:val="none"/>
        </w:rPr>
        <w:t>化粪池</w:t>
      </w:r>
      <w:r>
        <w:rPr>
          <w:highlight w:val="none"/>
        </w:rPr>
        <w:t>预处理后达到《污水</w:t>
      </w:r>
      <w:r>
        <w:rPr>
          <w:spacing w:val="1"/>
          <w:highlight w:val="none"/>
        </w:rPr>
        <w:t>综合排放标准》（</w:t>
      </w:r>
      <w:r>
        <w:rPr>
          <w:rFonts w:ascii="Times New Roman" w:hAnsi="Times New Roman" w:eastAsia="Times New Roman" w:cs="Times New Roman"/>
          <w:highlight w:val="none"/>
        </w:rPr>
        <w:t>GB</w:t>
      </w:r>
      <w:r>
        <w:rPr>
          <w:rFonts w:ascii="Times New Roman" w:hAnsi="Times New Roman" w:eastAsia="Times New Roman" w:cs="Times New Roman"/>
          <w:spacing w:val="1"/>
          <w:highlight w:val="none"/>
        </w:rPr>
        <w:t>16297-1996</w:t>
      </w:r>
      <w:r>
        <w:rPr>
          <w:spacing w:val="1"/>
          <w:highlight w:val="none"/>
        </w:rPr>
        <w:t>）表</w:t>
      </w:r>
      <w:r>
        <w:rPr>
          <w:spacing w:val="-53"/>
          <w:highlight w:val="none"/>
        </w:rPr>
        <w:t xml:space="preserve"> </w:t>
      </w:r>
      <w:r>
        <w:rPr>
          <w:rFonts w:ascii="Times New Roman" w:hAnsi="Times New Roman" w:eastAsia="Times New Roman" w:cs="Times New Roman"/>
          <w:spacing w:val="1"/>
          <w:highlight w:val="none"/>
        </w:rPr>
        <w:t>4</w:t>
      </w:r>
      <w:r>
        <w:rPr>
          <w:spacing w:val="1"/>
          <w:highlight w:val="none"/>
        </w:rPr>
        <w:t>的三级标准后及污水处理厂进水水质标</w:t>
      </w:r>
      <w:r>
        <w:rPr>
          <w:spacing w:val="-2"/>
          <w:highlight w:val="none"/>
        </w:rPr>
        <w:t>准，排</w:t>
      </w:r>
      <w:r>
        <w:rPr>
          <w:rFonts w:ascii="Times New Roman" w:hAnsi="Times New Roman" w:cs="Times New Roman"/>
          <w:spacing w:val="1"/>
          <w:highlight w:val="none"/>
        </w:rPr>
        <w:t>入</w:t>
      </w:r>
      <w:r>
        <w:rPr>
          <w:rFonts w:hint="eastAsia" w:ascii="Times New Roman" w:hAnsi="Times New Roman" w:cs="Times New Roman"/>
          <w:spacing w:val="1"/>
          <w:highlight w:val="none"/>
          <w:lang w:val="en-US" w:eastAsia="zh-CN"/>
        </w:rPr>
        <w:t>园区污水管网，进入岳阳高新技术产业园区污水处理厂处理达标后排入新墙河。经采取上述措施后，废水的处理措施有效可行，依托的污水处理设施可行，项目废水排放对地表水环境影响可以接受。</w:t>
      </w:r>
    </w:p>
    <w:p w14:paraId="193E0D16">
      <w:pPr>
        <w:pStyle w:val="6"/>
        <w:bidi w:val="0"/>
        <w:rPr>
          <w:highlight w:val="none"/>
        </w:rPr>
      </w:pPr>
      <w:bookmarkStart w:id="183" w:name="_Toc12296"/>
      <w:r>
        <w:rPr>
          <w:rFonts w:hint="eastAsia"/>
          <w:highlight w:val="none"/>
          <w:lang w:val="en-US" w:eastAsia="zh-CN"/>
        </w:rPr>
        <w:t>6</w:t>
      </w:r>
      <w:r>
        <w:rPr>
          <w:highlight w:val="none"/>
        </w:rPr>
        <w:t>.</w:t>
      </w:r>
      <w:r>
        <w:rPr>
          <w:rFonts w:hint="eastAsia"/>
          <w:highlight w:val="none"/>
          <w:lang w:val="en-US" w:eastAsia="zh-CN"/>
        </w:rPr>
        <w:t xml:space="preserve">4 </w:t>
      </w:r>
      <w:r>
        <w:rPr>
          <w:highlight w:val="none"/>
        </w:rPr>
        <w:t>营运期地下水环境影响分析</w:t>
      </w:r>
      <w:bookmarkEnd w:id="183"/>
    </w:p>
    <w:p w14:paraId="06803C27">
      <w:pPr>
        <w:keepNext w:val="0"/>
        <w:keepLines w:val="0"/>
        <w:pageBreakBefore w:val="0"/>
        <w:widowControl w:val="0"/>
        <w:kinsoku/>
        <w:wordWrap/>
        <w:overflowPunct/>
        <w:topLinePunct w:val="0"/>
        <w:autoSpaceDE/>
        <w:autoSpaceDN/>
        <w:bidi w:val="0"/>
        <w:adjustRightInd/>
        <w:snapToGrid/>
        <w:spacing w:line="360" w:lineRule="auto"/>
        <w:ind w:firstLine="484" w:firstLineChars="200"/>
        <w:textAlignment w:val="auto"/>
        <w:outlineLvl w:val="9"/>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根据《环境影响评价技术导则地下水环境》(HJ610-2016)，本项目属于I类建设项目。项目所在地包气带防污性能强、含水层不易污染的特征、地下水环境不敏感等，因此确定地下水环境影响评价等级为二级。</w:t>
      </w:r>
    </w:p>
    <w:p w14:paraId="1F4A7E7A">
      <w:pPr>
        <w:pStyle w:val="7"/>
        <w:bidi w:val="0"/>
        <w:rPr>
          <w:rFonts w:hint="default"/>
          <w:highlight w:val="none"/>
        </w:rPr>
      </w:pPr>
      <w:bookmarkStart w:id="184" w:name="_Toc9445"/>
      <w:r>
        <w:rPr>
          <w:rFonts w:hint="eastAsia"/>
          <w:highlight w:val="none"/>
          <w:lang w:val="en-US" w:eastAsia="zh-CN"/>
        </w:rPr>
        <w:t>6.4.1</w:t>
      </w:r>
      <w:r>
        <w:rPr>
          <w:rFonts w:hint="default"/>
          <w:highlight w:val="none"/>
        </w:rPr>
        <w:t>评价区水文地质概况</w:t>
      </w:r>
      <w:bookmarkEnd w:id="184"/>
    </w:p>
    <w:p w14:paraId="58DDB84B">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（1）区域地下水赋存条件及分布规律</w:t>
      </w:r>
    </w:p>
    <w:p w14:paraId="79D88452">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岳阳县境地貌自东北幕阜山余脉向西南东洞庭湖呈降阶梯状倾斜。县境地下水主要类型有松散岩类孔隙水、基岩裂隙水两大类型。储水构造主要有断裂充水带和向斜储水构造。地下水埋深度自东向西由深变浅，均为弱酸性极软淡水，矿化度小于 0.40g/l，多为重碳酸钠氯化钙型水，重碳酸钙、重碳酸钙镁型水。县境地下水主要靠大气降水补给，降水量的变化是地下水动态变化的主要原因，4~ 10 月（丰水期）地下水位较高，11～3 月（枯水期）地下水位较低，但西部湖区及湖滨平原还受外围地下水径流的侧向补给和河湖、稻田的渗漏补给。</w:t>
      </w:r>
    </w:p>
    <w:p w14:paraId="37C54051">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岳阳县工业集中区位于岳阳县城东部，本项目位于岳阳县工业集中区原批复工程场址内，园区内地质环境优良，地质构造不太发育，尚未发现岩浆岩，无火山、地震现象。根据水文资料调查，本项目评价区域地下水主要类型为松散岩类孔隙水和基岩裂隙水，地下水的主要补给源为大气降水，其接受大气降水补给，入渗形成孔隙水和基岩风化壳裂隙水 ，松散岩类孔隙水水位变化幅度为 0.40~2.5m ，基岩裂隙水水位变化幅度为 1.0~3.0m ，顺斜坡地形潜流至侵蚀沟谷溢出形成地表径流，区域地下水总体运移方向为东南至西北方向，其水文地质条件如下：</w:t>
      </w:r>
    </w:p>
    <w:p w14:paraId="705BFE37">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a）松岩类孔隙水</w:t>
      </w:r>
    </w:p>
    <w:p w14:paraId="0E2E59EB">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第四系松散岩类孔隙水分布于较平缓地带、山坡地带及山间沟谷。其中地层以粘性土层为主，均为弱透水层~微透水层，地下水富水性差，水量贫乏。</w:t>
      </w:r>
    </w:p>
    <w:p w14:paraId="6AC95A33">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b）基岩裂隙水</w:t>
      </w:r>
    </w:p>
    <w:p w14:paraId="4EFA9401">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依地下水赋存条件及含水岩组特征，本区基岩裂隙水为碎屑岩裂隙水。主要赋存于粉砂质板岩、绢云母千枚岩、变质粉砂岩、细砂质板岩、震旦系（Z）上统陡山陀组（Zbd）的炭质页岩，硅质岩，炭质硅质页岩、震旦系（Z）下统南沱冰积岩组（Zann）的含砾粉砂质泥岩、含冰碛砾板岩的裂隙中，以上岩层均为相对隔水层，地下水富水性差，水量贫乏。</w:t>
      </w:r>
    </w:p>
    <w:p w14:paraId="668937F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（2）地下水水文地质条件</w:t>
      </w:r>
    </w:p>
    <w:p w14:paraId="5C878B0D">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项目区域地层岩性地表为表层厚度小的人工填土层或者冲洪积层，赋存孔隙潜水；往下为厚度较大的由淤泥质粉砂、淤泥、粘土等组成的弱透水层（镉水层）， 赋存孔隙潜水，水量贫乏；松散沉积物的底部为砂砾层，赋存孔隙承压水，水量中等丰富。</w:t>
      </w:r>
    </w:p>
    <w:p w14:paraId="641D9CC0">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粉细砂填土层揭露厚度为 1.10-1.90m ，渗透系数 K=3.61—7.75×10</w:t>
      </w:r>
      <w:r>
        <w:rPr>
          <w:rFonts w:hint="default" w:ascii="Times New Roman" w:hAnsi="Times New Roman" w:eastAsia="宋体" w:cs="Times New Roman"/>
          <w:spacing w:val="1"/>
          <w:kern w:val="0"/>
          <w:sz w:val="24"/>
          <w:szCs w:val="20"/>
          <w:highlight w:val="none"/>
          <w:vertAlign w:val="superscript"/>
          <w:lang w:val="en-US" w:eastAsia="zh-CN" w:bidi="ar-SA"/>
        </w:rPr>
        <w:t>-4</w:t>
      </w:r>
      <w:r>
        <w:rPr>
          <w:rFonts w:hint="default" w:ascii="Times New Roman" w:hAnsi="Times New Roman" w:eastAsia="宋体" w:cs="Times New Roman"/>
          <w:spacing w:val="1"/>
          <w:kern w:val="0"/>
          <w:sz w:val="24"/>
          <w:szCs w:val="20"/>
          <w:highlight w:val="none"/>
          <w:lang w:val="en-US" w:eastAsia="zh-CN" w:bidi="ar-SA"/>
        </w:rPr>
        <w:t>cm/s。 淤泥质粉砂厚度为 9.46m ，渗透系数分别为 8.59×10</w:t>
      </w:r>
      <w:r>
        <w:rPr>
          <w:rFonts w:hint="default" w:ascii="Times New Roman" w:hAnsi="Times New Roman" w:eastAsia="宋体" w:cs="Times New Roman"/>
          <w:spacing w:val="1"/>
          <w:kern w:val="0"/>
          <w:sz w:val="24"/>
          <w:szCs w:val="20"/>
          <w:highlight w:val="none"/>
          <w:vertAlign w:val="superscript"/>
          <w:lang w:val="en-US" w:eastAsia="zh-CN" w:bidi="ar-SA"/>
        </w:rPr>
        <w:t>-7</w:t>
      </w:r>
      <w:r>
        <w:rPr>
          <w:rFonts w:hint="default" w:ascii="Times New Roman" w:hAnsi="Times New Roman" w:eastAsia="宋体" w:cs="Times New Roman"/>
          <w:spacing w:val="1"/>
          <w:kern w:val="0"/>
          <w:sz w:val="24"/>
          <w:szCs w:val="20"/>
          <w:highlight w:val="none"/>
          <w:lang w:val="en-US" w:eastAsia="zh-CN" w:bidi="ar-SA"/>
        </w:rPr>
        <w:t>；</w:t>
      </w:r>
    </w:p>
    <w:p w14:paraId="2B0B396C">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揭露到淤泥质土和粘土厚度为19.77m ，渗透系数为 1.56×10</w:t>
      </w:r>
      <w:r>
        <w:rPr>
          <w:rFonts w:hint="default" w:ascii="Times New Roman" w:hAnsi="Times New Roman" w:eastAsia="宋体" w:cs="Times New Roman"/>
          <w:spacing w:val="1"/>
          <w:kern w:val="0"/>
          <w:sz w:val="24"/>
          <w:szCs w:val="20"/>
          <w:highlight w:val="none"/>
          <w:vertAlign w:val="superscript"/>
          <w:lang w:val="en-US" w:eastAsia="zh-CN" w:bidi="ar-SA"/>
        </w:rPr>
        <w:t>-6</w:t>
      </w:r>
      <w:r>
        <w:rPr>
          <w:rFonts w:hint="default" w:ascii="Times New Roman" w:hAnsi="Times New Roman" w:eastAsia="宋体" w:cs="Times New Roman"/>
          <w:spacing w:val="1"/>
          <w:kern w:val="0"/>
          <w:sz w:val="24"/>
          <w:szCs w:val="20"/>
          <w:highlight w:val="none"/>
          <w:lang w:val="en-US" w:eastAsia="zh-CN" w:bidi="ar-SA"/>
        </w:rPr>
        <w:t>—3.76×10</w:t>
      </w:r>
      <w:r>
        <w:rPr>
          <w:rFonts w:hint="default" w:ascii="Times New Roman" w:hAnsi="Times New Roman" w:eastAsia="宋体" w:cs="Times New Roman"/>
          <w:spacing w:val="1"/>
          <w:kern w:val="0"/>
          <w:sz w:val="24"/>
          <w:szCs w:val="20"/>
          <w:highlight w:val="none"/>
          <w:vertAlign w:val="superscript"/>
          <w:lang w:val="en-US" w:eastAsia="zh-CN" w:bidi="ar-SA"/>
        </w:rPr>
        <w:t>-8</w:t>
      </w:r>
      <w:r>
        <w:rPr>
          <w:rFonts w:hint="default" w:ascii="Times New Roman" w:hAnsi="Times New Roman" w:eastAsia="宋体" w:cs="Times New Roman"/>
          <w:spacing w:val="1"/>
          <w:kern w:val="0"/>
          <w:sz w:val="24"/>
          <w:szCs w:val="20"/>
          <w:highlight w:val="none"/>
          <w:lang w:val="en-US" w:eastAsia="zh-CN" w:bidi="ar-SA"/>
        </w:rPr>
        <w:t>。 深部砂砾层为中粗砂层，渗透系数为 8.77×10</w:t>
      </w:r>
      <w:r>
        <w:rPr>
          <w:rFonts w:hint="default" w:ascii="Times New Roman" w:hAnsi="Times New Roman" w:eastAsia="宋体" w:cs="Times New Roman"/>
          <w:spacing w:val="1"/>
          <w:kern w:val="0"/>
          <w:sz w:val="24"/>
          <w:szCs w:val="20"/>
          <w:highlight w:val="none"/>
          <w:vertAlign w:val="superscript"/>
          <w:lang w:val="en-US" w:eastAsia="zh-CN" w:bidi="ar-SA"/>
        </w:rPr>
        <w:t>-5</w:t>
      </w:r>
      <w:r>
        <w:rPr>
          <w:rFonts w:hint="default" w:ascii="Times New Roman" w:hAnsi="Times New Roman" w:eastAsia="宋体" w:cs="Times New Roman"/>
          <w:spacing w:val="1"/>
          <w:kern w:val="0"/>
          <w:sz w:val="24"/>
          <w:szCs w:val="20"/>
          <w:highlight w:val="none"/>
          <w:lang w:val="en-US" w:eastAsia="zh-CN" w:bidi="ar-SA"/>
        </w:rPr>
        <w:t>~2.74×10</w:t>
      </w:r>
      <w:r>
        <w:rPr>
          <w:rFonts w:hint="default" w:ascii="Times New Roman" w:hAnsi="Times New Roman" w:eastAsia="宋体" w:cs="Times New Roman"/>
          <w:spacing w:val="1"/>
          <w:kern w:val="0"/>
          <w:sz w:val="24"/>
          <w:szCs w:val="20"/>
          <w:highlight w:val="none"/>
          <w:vertAlign w:val="superscript"/>
          <w:lang w:val="en-US" w:eastAsia="zh-CN" w:bidi="ar-SA"/>
        </w:rPr>
        <w:t>-4</w:t>
      </w:r>
      <w:r>
        <w:rPr>
          <w:rFonts w:hint="default" w:ascii="Times New Roman" w:hAnsi="Times New Roman" w:eastAsia="宋体" w:cs="Times New Roman"/>
          <w:spacing w:val="1"/>
          <w:kern w:val="0"/>
          <w:sz w:val="24"/>
          <w:szCs w:val="20"/>
          <w:highlight w:val="none"/>
          <w:lang w:val="en-US" w:eastAsia="zh-CN" w:bidi="ar-SA"/>
        </w:rPr>
        <w:t xml:space="preserve"> 之间。</w:t>
      </w:r>
    </w:p>
    <w:p w14:paraId="24F437FB">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从以上的分析可知，项目的包气带防污性能为中到强之间。</w:t>
      </w:r>
    </w:p>
    <w:p w14:paraId="28EFA2E7">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区域地下水的补给主要有三方面：大气降水渗入补给；河流和河涌两侧岸边地带，丰水季节和涨潮期间，河水位稍高于地下水位，河水周期性地补给地下水； 生活污水和工业废水下渗补给地下水。</w:t>
      </w:r>
    </w:p>
    <w:p w14:paraId="7CCD135C">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岳阳县工业集中区属于平缓地带，水力坡度很和缓，相应的地下水流缓慢。 地下水总体径流方向大致与水道主要水流方向相同，靠近水道和河涌的地下水随着水位降落周期性的排泄。地下水自然排泄除随着水道、河涌水位降落周期性的排泄外，部分则消耗于蒸发和植物蒸腾。</w:t>
      </w:r>
    </w:p>
    <w:p w14:paraId="48208CA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（3）地下水的补给、径流、排泄特征</w:t>
      </w:r>
    </w:p>
    <w:p w14:paraId="6C10AE69">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a）松散岩类孔隙水</w:t>
      </w:r>
    </w:p>
    <w:p w14:paraId="01BE5DD5">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补给：松散岩类孔隙水的补给源主要是大气降水，其次是地表水。本区地层均为粘性土层，渗透性较差，入渗系数为 0.001~0.180。</w:t>
      </w:r>
    </w:p>
    <w:p w14:paraId="04F6F2BA">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径流：枯、平季节阶地内孔隙水水位高于河流水位，流向斜交新墙河，以渗流形式补给河流。</w:t>
      </w:r>
    </w:p>
    <w:p w14:paraId="54D12E95">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排泄：孔隙水在枯、平季节多以渗流形式排泄至附近河流（新墙河）中。</w:t>
      </w:r>
    </w:p>
    <w:p w14:paraId="1D487F69">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b）基岩裂隙水</w:t>
      </w:r>
    </w:p>
    <w:p w14:paraId="547C9BC2">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补给：基岩裂隙水多分布于丘陵地带，最大年降雨量可达 1530.6mm 以上， 丰沛的降水是基岩裂隙水的主要补给源，补给强度取决于降雨量，频率和形式、 地貌、岩性、构造及岩石的风化状况诸因素。</w:t>
      </w:r>
    </w:p>
    <w:p w14:paraId="1E911E16">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径流：基岩裂隙水径流条件与地貌和岩性关系密切。从场区简易水文观测得知，高程越高，水位埋深越大，高程越低，水位埋深越小，山脊处水位埋深大于山坡处，陡坡处大于缓坡处，水位埋深与地形起伏大体呈正相关。基岩裂隙水分布的丘陵地带，地形较缓，水力坡度较小，径流速度慢，强度弱。</w:t>
      </w:r>
    </w:p>
    <w:p w14:paraId="70791519">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排泄：基岩裂隙水在斜坡或谷底以下降泉的形式排泄于地表。场区基岩均为相对隔水层，渗透性较差，因此通过接触带的补给性较弱。</w:t>
      </w:r>
    </w:p>
    <w:p w14:paraId="24969BAD">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（4）拟建项目场地包气带特征</w:t>
      </w:r>
    </w:p>
    <w:p w14:paraId="2FB3B0ED">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包气带的岩性、厚度、渗透系数等，是表层污染物能否进入下部风化裂隙水 的关键影响因素。</w:t>
      </w:r>
    </w:p>
    <w:p w14:paraId="650B2012">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a）包气带岩性及分布特征</w:t>
      </w:r>
    </w:p>
    <w:p w14:paraId="416F13ED">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根据现场调查及水文地质钻探揭露，场地及周边为冷家溪群中风化泥质板岩基本裸露，第四系残破积物主要分布在山脚及谷底。填埋区沟谷下游分布有一定的人工填土，表层为建筑垃圾和风化板岩碎屑为主、固结程度差，结构松散，厚度 0m~4.6m 不等；第四系残坡积分布较广，主要为黄褐色粉质粘土，含大量板岩碎块，碎块粒径 0.1~0.3cm 不等，厚 0~3m。</w:t>
      </w:r>
    </w:p>
    <w:p w14:paraId="56EE46C8">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地下水位主要受地形控制 ，地形越高埋深越大 ，场区内部埋深较浅约 1.5~2.8m ，低洼处的松散堆积物中可以出现局部饱和。</w:t>
      </w:r>
    </w:p>
    <w:p w14:paraId="620F8760">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包气带的岩性结构总体表现为：场区低洼地及西南部的包气带岩性为第四系松散沉积物，包气带厚度约 1.5~3.8m。</w:t>
      </w:r>
    </w:p>
    <w:p w14:paraId="258607E3">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b）包气带渗透性分析</w:t>
      </w:r>
    </w:p>
    <w:p w14:paraId="1E9D2E8E">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综合野外现场测试、室内试验及钻孔抽（压）水试验等获得的渗透系数表明， 场区包气带岩性差异明显，均质性强烈。区内部由粉质粘土构成的包气带渗透性较差，为 10</w:t>
      </w:r>
      <w:r>
        <w:rPr>
          <w:rFonts w:hint="default" w:ascii="Times New Roman" w:hAnsi="Times New Roman" w:eastAsia="宋体" w:cs="Times New Roman"/>
          <w:spacing w:val="1"/>
          <w:kern w:val="0"/>
          <w:sz w:val="24"/>
          <w:szCs w:val="20"/>
          <w:highlight w:val="none"/>
          <w:vertAlign w:val="superscript"/>
          <w:lang w:val="en-US" w:eastAsia="zh-CN" w:bidi="ar-SA"/>
        </w:rPr>
        <w:t>-5</w:t>
      </w:r>
      <w:r>
        <w:rPr>
          <w:rFonts w:hint="default" w:ascii="Times New Roman" w:hAnsi="Times New Roman" w:eastAsia="宋体" w:cs="Times New Roman"/>
          <w:spacing w:val="1"/>
          <w:kern w:val="0"/>
          <w:sz w:val="24"/>
          <w:szCs w:val="20"/>
          <w:highlight w:val="none"/>
          <w:lang w:val="en-US" w:eastAsia="zh-CN" w:bidi="ar-SA"/>
        </w:rPr>
        <w:t>cm/s。</w:t>
      </w:r>
    </w:p>
    <w:p w14:paraId="4EA96DA9">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（4）区域地下水开发利用现状</w:t>
      </w:r>
    </w:p>
    <w:p w14:paraId="00B284C7">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本项目所在区域内均为自来水供应范围，居民用水和企业用水均为自来水，</w:t>
      </w:r>
    </w:p>
    <w:p w14:paraId="604668C8">
      <w:pPr>
        <w:pStyle w:val="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没有企业以地下水作为水源，居民水井主要为以前使用留下，近年随着自来水的普及和生活质量的提高，已经很少村民使用井水作为饮用水，居民水井基本上处于荒废状态。该区域也不属于饮用水源保护区及其他需要保护的热水、矿泉等区域。包气带主要有素填土、粉质粘土等构成，分布均匀，渗透系数不大，防污能力较强。</w:t>
      </w:r>
    </w:p>
    <w:p w14:paraId="2340B326">
      <w:pPr>
        <w:pStyle w:val="7"/>
        <w:bidi w:val="0"/>
        <w:rPr>
          <w:highlight w:val="none"/>
        </w:rPr>
      </w:pPr>
      <w:bookmarkStart w:id="185" w:name="_Toc12965"/>
      <w:r>
        <w:rPr>
          <w:highlight w:val="none"/>
        </w:rPr>
        <w:t>6.4.2 项目污染物对地下水影响分析</w:t>
      </w:r>
      <w:bookmarkEnd w:id="185"/>
    </w:p>
    <w:p w14:paraId="6DEDBE67">
      <w:pPr>
        <w:pStyle w:val="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jc w:val="both"/>
        <w:textAlignment w:val="auto"/>
        <w:outlineLvl w:val="3"/>
        <w:rPr>
          <w:rFonts w:hint="default" w:ascii="Times New Roman" w:hAnsi="Times New Roman" w:eastAsia="宋体" w:cs="Times New Roman"/>
          <w:b/>
          <w:bCs/>
          <w:spacing w:val="1"/>
          <w:kern w:val="0"/>
          <w:sz w:val="24"/>
          <w:szCs w:val="20"/>
          <w:highlight w:val="none"/>
          <w:lang w:val="en-US" w:eastAsia="zh-CN" w:bidi="ar-SA"/>
        </w:rPr>
      </w:pPr>
      <w:r>
        <w:rPr>
          <w:rFonts w:hint="eastAsia" w:cs="Times New Roman"/>
          <w:b/>
          <w:bCs/>
          <w:spacing w:val="1"/>
          <w:kern w:val="0"/>
          <w:sz w:val="24"/>
          <w:szCs w:val="20"/>
          <w:highlight w:val="none"/>
          <w:lang w:val="en-US" w:eastAsia="zh-CN" w:bidi="ar-SA"/>
        </w:rPr>
        <w:t>6.4.2.1</w:t>
      </w:r>
      <w:r>
        <w:rPr>
          <w:rFonts w:hint="default" w:ascii="Times New Roman" w:hAnsi="Times New Roman" w:eastAsia="宋体" w:cs="Times New Roman"/>
          <w:b/>
          <w:bCs/>
          <w:spacing w:val="1"/>
          <w:kern w:val="0"/>
          <w:sz w:val="24"/>
          <w:szCs w:val="20"/>
          <w:highlight w:val="none"/>
          <w:lang w:val="en-US" w:eastAsia="zh-CN" w:bidi="ar-SA"/>
        </w:rPr>
        <w:t>项目潜在地下水污染途径识别</w:t>
      </w:r>
    </w:p>
    <w:p w14:paraId="504BCD71">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本项目所在区域生活用水由市政供水管网统一提供，不采用地下水，项目地下水评价范围内无集中式饮用水源，无矿泉水、温泉等特殊地下水资源。</w:t>
      </w:r>
    </w:p>
    <w:p w14:paraId="45818521">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本</w:t>
      </w:r>
      <w:r>
        <w:rPr>
          <w:rFonts w:hint="default" w:ascii="Times New Roman" w:hAnsi="Times New Roman" w:eastAsia="宋体" w:cs="Times New Roman"/>
          <w:spacing w:val="1"/>
          <w:kern w:val="0"/>
          <w:sz w:val="24"/>
          <w:szCs w:val="20"/>
          <w:highlight w:val="none"/>
          <w:lang w:val="en-US" w:eastAsia="zh-CN" w:bidi="ar-SA"/>
        </w:rPr>
        <w:t>项目无工艺废水外排，对地下水的影响很小。本项目排水遵循雨污分流原则，</w:t>
      </w:r>
      <w:r>
        <w:rPr>
          <w:rFonts w:hint="eastAsia" w:ascii="Times New Roman" w:hAnsi="Times New Roman" w:eastAsia="宋体" w:cs="Times New Roman"/>
          <w:spacing w:val="1"/>
          <w:kern w:val="0"/>
          <w:sz w:val="24"/>
          <w:szCs w:val="20"/>
          <w:highlight w:val="none"/>
          <w:lang w:val="en-US" w:eastAsia="zh-CN" w:bidi="ar-SA"/>
        </w:rPr>
        <w:t>地面清洁废水经沉淀池沉淀后同纯水制备浓水一起进入园区污水管网，</w:t>
      </w:r>
      <w:r>
        <w:rPr>
          <w:rFonts w:hint="default" w:ascii="Times New Roman" w:hAnsi="Times New Roman" w:eastAsia="宋体" w:cs="Times New Roman"/>
          <w:spacing w:val="1"/>
          <w:kern w:val="0"/>
          <w:sz w:val="24"/>
          <w:szCs w:val="20"/>
          <w:highlight w:val="none"/>
          <w:lang w:val="en-US" w:eastAsia="zh-CN" w:bidi="ar-SA"/>
        </w:rPr>
        <w:t>生活污水依托园区创新创业基地隔油池+化粪池预处理</w:t>
      </w:r>
      <w:r>
        <w:rPr>
          <w:rFonts w:hint="eastAsia" w:ascii="Times New Roman" w:hAnsi="Times New Roman" w:eastAsia="宋体" w:cs="Times New Roman"/>
          <w:spacing w:val="1"/>
          <w:kern w:val="0"/>
          <w:sz w:val="24"/>
          <w:szCs w:val="20"/>
          <w:highlight w:val="none"/>
          <w:lang w:val="en-US" w:eastAsia="zh-CN" w:bidi="ar-SA"/>
        </w:rPr>
        <w:t>后进入园区污水管网，</w:t>
      </w:r>
      <w:r>
        <w:rPr>
          <w:rFonts w:hint="default" w:ascii="Times New Roman" w:hAnsi="Times New Roman" w:eastAsia="宋体" w:cs="Times New Roman"/>
          <w:spacing w:val="1"/>
          <w:kern w:val="0"/>
          <w:sz w:val="24"/>
          <w:szCs w:val="20"/>
          <w:highlight w:val="none"/>
          <w:lang w:val="en-US" w:eastAsia="zh-CN" w:bidi="ar-SA"/>
        </w:rPr>
        <w:t>岳阳高新技术产业园区污水处理厂处理达标后排入新墙河；雨水排入市政雨水管道，进入新墙河。项目厂区地面均采用水泥硬化措施</w:t>
      </w:r>
      <w:r>
        <w:rPr>
          <w:rFonts w:hint="eastAsia" w:ascii="Times New Roman" w:hAnsi="Times New Roman" w:cs="Times New Roman"/>
          <w:spacing w:val="1"/>
          <w:kern w:val="0"/>
          <w:sz w:val="24"/>
          <w:szCs w:val="20"/>
          <w:highlight w:val="none"/>
          <w:lang w:val="en-US" w:eastAsia="zh-CN" w:bidi="ar-SA"/>
        </w:rPr>
        <w:t>。</w:t>
      </w:r>
    </w:p>
    <w:p w14:paraId="058EE79A">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生产车间地面均防渗漏处理；排水管均采用钢筋混凝土或市政 PE 塑料排水管，水泥砂浆抹口，基本不会出现渗漏现象。本项目</w:t>
      </w:r>
      <w:r>
        <w:rPr>
          <w:rFonts w:hint="eastAsia" w:ascii="Times New Roman" w:hAnsi="Times New Roman" w:eastAsia="宋体" w:cs="Times New Roman"/>
          <w:spacing w:val="1"/>
          <w:kern w:val="0"/>
          <w:sz w:val="24"/>
          <w:szCs w:val="20"/>
          <w:highlight w:val="none"/>
          <w:lang w:val="en-US" w:eastAsia="zh-CN" w:bidi="ar-SA"/>
        </w:rPr>
        <w:t>实验室化验试剂</w:t>
      </w:r>
      <w:r>
        <w:rPr>
          <w:rFonts w:hint="default" w:ascii="Times New Roman" w:hAnsi="Times New Roman" w:eastAsia="宋体" w:cs="Times New Roman"/>
          <w:spacing w:val="1"/>
          <w:kern w:val="0"/>
          <w:sz w:val="24"/>
          <w:szCs w:val="20"/>
          <w:highlight w:val="none"/>
          <w:lang w:val="en-US" w:eastAsia="zh-CN" w:bidi="ar-SA"/>
        </w:rPr>
        <w:t>及危险废物等的储存区域均须采取防泄漏、防溢流、防腐蚀等措施，同时严格</w:t>
      </w:r>
      <w:r>
        <w:rPr>
          <w:rFonts w:hint="eastAsia" w:ascii="Times New Roman" w:hAnsi="Times New Roman" w:eastAsia="宋体" w:cs="Times New Roman"/>
          <w:spacing w:val="1"/>
          <w:kern w:val="0"/>
          <w:sz w:val="24"/>
          <w:szCs w:val="20"/>
          <w:highlight w:val="none"/>
          <w:lang w:val="en-US" w:eastAsia="zh-CN" w:bidi="ar-SA"/>
        </w:rPr>
        <w:t>化验试剂</w:t>
      </w:r>
      <w:r>
        <w:rPr>
          <w:rFonts w:hint="default" w:ascii="Times New Roman" w:hAnsi="Times New Roman" w:eastAsia="宋体" w:cs="Times New Roman"/>
          <w:spacing w:val="1"/>
          <w:kern w:val="0"/>
          <w:sz w:val="24"/>
          <w:szCs w:val="20"/>
          <w:highlight w:val="none"/>
          <w:lang w:val="en-US" w:eastAsia="zh-CN" w:bidi="ar-SA"/>
        </w:rPr>
        <w:t>与危险废</w:t>
      </w:r>
      <w:r>
        <w:rPr>
          <w:rFonts w:hint="eastAsia" w:ascii="Times New Roman" w:hAnsi="Times New Roman" w:eastAsia="宋体" w:cs="Times New Roman"/>
          <w:spacing w:val="1"/>
          <w:kern w:val="0"/>
          <w:sz w:val="24"/>
          <w:szCs w:val="20"/>
          <w:highlight w:val="none"/>
          <w:lang w:val="en-US" w:eastAsia="zh-CN" w:bidi="ar-SA"/>
        </w:rPr>
        <w:t>物</w:t>
      </w:r>
      <w:r>
        <w:rPr>
          <w:rFonts w:hint="default" w:ascii="Times New Roman" w:hAnsi="Times New Roman" w:eastAsia="宋体" w:cs="Times New Roman"/>
          <w:spacing w:val="1"/>
          <w:kern w:val="0"/>
          <w:sz w:val="24"/>
          <w:szCs w:val="20"/>
          <w:highlight w:val="none"/>
          <w:lang w:val="en-US" w:eastAsia="zh-CN" w:bidi="ar-SA"/>
        </w:rPr>
        <w:t>贮存管理</w:t>
      </w:r>
      <w:r>
        <w:rPr>
          <w:rFonts w:hint="eastAsia" w:ascii="Times New Roman" w:hAnsi="Times New Roman" w:eastAsia="宋体" w:cs="Times New Roman"/>
          <w:spacing w:val="1"/>
          <w:kern w:val="0"/>
          <w:sz w:val="24"/>
          <w:szCs w:val="20"/>
          <w:highlight w:val="none"/>
          <w:lang w:val="en-US" w:eastAsia="zh-CN" w:bidi="ar-SA"/>
        </w:rPr>
        <w:t>，</w:t>
      </w:r>
      <w:r>
        <w:rPr>
          <w:rFonts w:hint="default" w:ascii="Times New Roman" w:hAnsi="Times New Roman" w:eastAsia="宋体" w:cs="Times New Roman"/>
          <w:spacing w:val="1"/>
          <w:kern w:val="0"/>
          <w:sz w:val="24"/>
          <w:szCs w:val="20"/>
          <w:highlight w:val="none"/>
          <w:lang w:val="en-US" w:eastAsia="zh-CN" w:bidi="ar-SA"/>
        </w:rPr>
        <w:t>基本不会对地下水产生明显影响。</w:t>
      </w:r>
    </w:p>
    <w:p w14:paraId="329FB6D8">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项目原辅料</w:t>
      </w:r>
      <w:r>
        <w:rPr>
          <w:rFonts w:hint="eastAsia" w:ascii="Times New Roman" w:hAnsi="Times New Roman" w:eastAsia="宋体" w:cs="Times New Roman"/>
          <w:spacing w:val="1"/>
          <w:kern w:val="0"/>
          <w:sz w:val="24"/>
          <w:szCs w:val="20"/>
          <w:highlight w:val="none"/>
          <w:lang w:val="en-US" w:eastAsia="zh-CN" w:bidi="ar-SA"/>
        </w:rPr>
        <w:t>堆场都有分类</w:t>
      </w:r>
      <w:r>
        <w:rPr>
          <w:rFonts w:hint="default" w:ascii="Times New Roman" w:hAnsi="Times New Roman" w:eastAsia="宋体" w:cs="Times New Roman"/>
          <w:spacing w:val="1"/>
          <w:kern w:val="0"/>
          <w:sz w:val="24"/>
          <w:szCs w:val="20"/>
          <w:highlight w:val="none"/>
          <w:lang w:val="en-US" w:eastAsia="zh-CN" w:bidi="ar-SA"/>
        </w:rPr>
        <w:t>储存设施，固体</w:t>
      </w:r>
      <w:r>
        <w:rPr>
          <w:rFonts w:hint="eastAsia" w:ascii="Times New Roman" w:hAnsi="Times New Roman" w:eastAsia="宋体" w:cs="Times New Roman"/>
          <w:spacing w:val="1"/>
          <w:kern w:val="0"/>
          <w:sz w:val="24"/>
          <w:szCs w:val="20"/>
          <w:highlight w:val="none"/>
          <w:lang w:val="en-US" w:eastAsia="zh-CN" w:bidi="ar-SA"/>
        </w:rPr>
        <w:t>原料</w:t>
      </w:r>
      <w:r>
        <w:rPr>
          <w:rFonts w:hint="default" w:ascii="Times New Roman" w:hAnsi="Times New Roman" w:eastAsia="宋体" w:cs="Times New Roman"/>
          <w:spacing w:val="1"/>
          <w:kern w:val="0"/>
          <w:sz w:val="24"/>
          <w:szCs w:val="20"/>
          <w:highlight w:val="none"/>
          <w:lang w:val="en-US" w:eastAsia="zh-CN" w:bidi="ar-SA"/>
        </w:rPr>
        <w:t>均为</w:t>
      </w:r>
      <w:r>
        <w:rPr>
          <w:rFonts w:hint="eastAsia" w:ascii="Times New Roman" w:hAnsi="Times New Roman" w:eastAsia="宋体" w:cs="Times New Roman"/>
          <w:spacing w:val="1"/>
          <w:kern w:val="0"/>
          <w:sz w:val="24"/>
          <w:szCs w:val="20"/>
          <w:highlight w:val="none"/>
          <w:lang w:val="en-US" w:eastAsia="zh-CN" w:bidi="ar-SA"/>
        </w:rPr>
        <w:t>袋装托盘，液体原料为桶装托盘</w:t>
      </w:r>
      <w:r>
        <w:rPr>
          <w:rFonts w:hint="default" w:ascii="Times New Roman" w:hAnsi="Times New Roman" w:eastAsia="宋体" w:cs="Times New Roman"/>
          <w:spacing w:val="1"/>
          <w:kern w:val="0"/>
          <w:sz w:val="24"/>
          <w:szCs w:val="20"/>
          <w:highlight w:val="none"/>
          <w:lang w:val="en-US" w:eastAsia="zh-CN" w:bidi="ar-SA"/>
        </w:rPr>
        <w:t>，地面</w:t>
      </w:r>
      <w:r>
        <w:rPr>
          <w:rFonts w:hint="eastAsia" w:ascii="Times New Roman" w:hAnsi="Times New Roman" w:eastAsia="宋体" w:cs="Times New Roman"/>
          <w:spacing w:val="1"/>
          <w:kern w:val="0"/>
          <w:sz w:val="24"/>
          <w:szCs w:val="20"/>
          <w:highlight w:val="none"/>
          <w:lang w:val="en-US" w:eastAsia="zh-CN" w:bidi="ar-SA"/>
        </w:rPr>
        <w:t>和</w:t>
      </w:r>
      <w:r>
        <w:rPr>
          <w:rFonts w:hint="default" w:ascii="Times New Roman" w:hAnsi="Times New Roman" w:eastAsia="宋体" w:cs="Times New Roman"/>
          <w:spacing w:val="1"/>
          <w:kern w:val="0"/>
          <w:sz w:val="24"/>
          <w:szCs w:val="20"/>
          <w:highlight w:val="none"/>
          <w:lang w:val="en-US" w:eastAsia="zh-CN" w:bidi="ar-SA"/>
        </w:rPr>
        <w:t>裙角全部均采取了严格的防渗措施，所以项目正常工况下原料输送</w:t>
      </w:r>
      <w:r>
        <w:rPr>
          <w:rFonts w:hint="eastAsia" w:ascii="Times New Roman" w:hAnsi="Times New Roman" w:eastAsia="宋体" w:cs="Times New Roman"/>
          <w:spacing w:val="1"/>
          <w:kern w:val="0"/>
          <w:sz w:val="24"/>
          <w:szCs w:val="20"/>
          <w:highlight w:val="none"/>
          <w:lang w:val="en-US" w:eastAsia="zh-CN" w:bidi="ar-SA"/>
        </w:rPr>
        <w:t>、装填</w:t>
      </w:r>
      <w:r>
        <w:rPr>
          <w:rFonts w:hint="default" w:ascii="Times New Roman" w:hAnsi="Times New Roman" w:eastAsia="宋体" w:cs="Times New Roman"/>
          <w:spacing w:val="1"/>
          <w:kern w:val="0"/>
          <w:sz w:val="24"/>
          <w:szCs w:val="20"/>
          <w:highlight w:val="none"/>
          <w:lang w:val="en-US" w:eastAsia="zh-CN" w:bidi="ar-SA"/>
        </w:rPr>
        <w:t>不会产生跑、冒、滴、漏污染影响。</w:t>
      </w:r>
    </w:p>
    <w:p w14:paraId="077D33F1">
      <w:pPr>
        <w:pStyle w:val="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jc w:val="both"/>
        <w:textAlignment w:val="auto"/>
        <w:outlineLvl w:val="3"/>
        <w:rPr>
          <w:rFonts w:hint="default" w:ascii="Times New Roman" w:hAnsi="Times New Roman" w:eastAsia="宋体" w:cs="Times New Roman"/>
          <w:b/>
          <w:bCs/>
          <w:spacing w:val="1"/>
          <w:kern w:val="0"/>
          <w:sz w:val="24"/>
          <w:szCs w:val="20"/>
          <w:highlight w:val="none"/>
          <w:lang w:val="en-US" w:eastAsia="zh-CN" w:bidi="ar-SA"/>
        </w:rPr>
      </w:pPr>
      <w:r>
        <w:rPr>
          <w:rFonts w:hint="eastAsia" w:cs="Times New Roman"/>
          <w:b/>
          <w:bCs/>
          <w:spacing w:val="1"/>
          <w:kern w:val="0"/>
          <w:sz w:val="24"/>
          <w:szCs w:val="20"/>
          <w:highlight w:val="none"/>
          <w:lang w:val="en-US" w:eastAsia="zh-CN" w:bidi="ar-SA"/>
        </w:rPr>
        <w:t>6.4.2.2</w:t>
      </w:r>
      <w:r>
        <w:rPr>
          <w:rFonts w:hint="default" w:ascii="Times New Roman" w:hAnsi="Times New Roman" w:eastAsia="宋体" w:cs="Times New Roman"/>
          <w:b/>
          <w:bCs/>
          <w:spacing w:val="1"/>
          <w:kern w:val="0"/>
          <w:sz w:val="24"/>
          <w:szCs w:val="20"/>
          <w:highlight w:val="none"/>
          <w:lang w:val="en-US" w:eastAsia="zh-CN" w:bidi="ar-SA"/>
        </w:rPr>
        <w:t>项目对地下水的环境影响分析</w:t>
      </w:r>
    </w:p>
    <w:p w14:paraId="3496FF1B">
      <w:pPr>
        <w:pStyle w:val="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jc w:val="both"/>
        <w:textAlignment w:val="auto"/>
        <w:rPr>
          <w:rFonts w:hint="default" w:ascii="Times New Roman" w:hAnsi="Times New Roman" w:eastAsia="宋体" w:cs="Times New Roman"/>
          <w:b/>
          <w:bCs/>
          <w:spacing w:val="1"/>
          <w:kern w:val="0"/>
          <w:sz w:val="24"/>
          <w:szCs w:val="20"/>
          <w:highlight w:val="none"/>
          <w:lang w:val="en-US" w:eastAsia="zh-CN" w:bidi="ar-SA"/>
        </w:rPr>
      </w:pPr>
      <w:r>
        <w:rPr>
          <w:rFonts w:hint="eastAsia" w:cs="Times New Roman"/>
          <w:b/>
          <w:bCs/>
          <w:spacing w:val="1"/>
          <w:kern w:val="0"/>
          <w:sz w:val="24"/>
          <w:szCs w:val="20"/>
          <w:highlight w:val="none"/>
          <w:lang w:val="en-US" w:eastAsia="zh-CN" w:bidi="ar-SA"/>
        </w:rPr>
        <w:t>1、正常情况下对地下水影响分析</w:t>
      </w:r>
    </w:p>
    <w:p w14:paraId="57A963EF">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本项目地下水评价等级为</w:t>
      </w:r>
      <w:r>
        <w:rPr>
          <w:rFonts w:hint="eastAsia" w:ascii="Times New Roman" w:hAnsi="Times New Roman" w:eastAsia="宋体" w:cs="Times New Roman"/>
          <w:spacing w:val="1"/>
          <w:kern w:val="0"/>
          <w:sz w:val="24"/>
          <w:szCs w:val="20"/>
          <w:highlight w:val="none"/>
          <w:lang w:val="en-US" w:eastAsia="zh-CN" w:bidi="ar-SA"/>
        </w:rPr>
        <w:t>二</w:t>
      </w:r>
      <w:r>
        <w:rPr>
          <w:rFonts w:hint="default" w:ascii="Times New Roman" w:hAnsi="Times New Roman" w:eastAsia="宋体" w:cs="Times New Roman"/>
          <w:spacing w:val="1"/>
          <w:kern w:val="0"/>
          <w:sz w:val="24"/>
          <w:szCs w:val="20"/>
          <w:highlight w:val="none"/>
          <w:lang w:val="en-US" w:eastAsia="zh-CN" w:bidi="ar-SA"/>
        </w:rPr>
        <w:t>级评价，根据导则要求，可采用</w:t>
      </w:r>
      <w:r>
        <w:rPr>
          <w:rFonts w:hint="eastAsia" w:ascii="Times New Roman" w:hAnsi="Times New Roman" w:eastAsia="宋体" w:cs="Times New Roman"/>
          <w:spacing w:val="1"/>
          <w:kern w:val="0"/>
          <w:sz w:val="24"/>
          <w:szCs w:val="20"/>
          <w:highlight w:val="none"/>
          <w:lang w:val="en-US" w:eastAsia="zh-CN" w:bidi="ar-SA"/>
        </w:rPr>
        <w:t>数值法或</w:t>
      </w:r>
      <w:r>
        <w:rPr>
          <w:rFonts w:hint="default" w:ascii="Times New Roman" w:hAnsi="Times New Roman" w:eastAsia="宋体" w:cs="Times New Roman"/>
          <w:spacing w:val="1"/>
          <w:kern w:val="0"/>
          <w:sz w:val="24"/>
          <w:szCs w:val="20"/>
          <w:highlight w:val="none"/>
          <w:lang w:val="en-US" w:eastAsia="zh-CN" w:bidi="ar-SA"/>
        </w:rPr>
        <w:t>解析法进行地下水影响分析与评价。</w:t>
      </w:r>
    </w:p>
    <w:p w14:paraId="7B5C9F76">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本项目废水不会下渗污染地下水水质，不会对地下水环境造成污染。本项目对生产车间等进行硬化防渗处理，因此在正常状况下工程建设不会造成地下水环境的污染。根据《环境影响评价技术导则－地下水环境》 （HJ610-2016） ， 已依据 GB16889 、GB18597 、GB18598 、GB18599 、GB/T50934 设计地下水污染防渗措施的建设项目，可不进行正常状况情景下的预测，本项目场区内固废暂存场地均按 GB18597 、GB18598 、GB18599 相关要求设计了相关的防渗，因此本项目地下水只对正常工况下做定性分析。</w:t>
      </w:r>
    </w:p>
    <w:p w14:paraId="435401F6">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项目原料和生产过程中产生的固体废物全部回收利用或妥善处置，也不会对周围地下水造成明显的不利影响。因此正常情况下，本项目运行对地下水影响较小。由于厂区车间地面全部水泥硬化，本项目建成后不会对厂址所在地的地下水水质造成影响。</w:t>
      </w:r>
    </w:p>
    <w:p w14:paraId="1959C63B">
      <w:pPr>
        <w:pStyle w:val="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jc w:val="both"/>
        <w:textAlignment w:val="auto"/>
        <w:rPr>
          <w:rFonts w:hint="default" w:ascii="Times New Roman" w:hAnsi="Times New Roman" w:eastAsia="宋体" w:cs="Times New Roman"/>
          <w:b/>
          <w:bCs/>
          <w:spacing w:val="1"/>
          <w:kern w:val="0"/>
          <w:sz w:val="24"/>
          <w:szCs w:val="20"/>
          <w:highlight w:val="none"/>
          <w:lang w:val="en-US" w:eastAsia="zh-CN" w:bidi="ar-SA"/>
        </w:rPr>
      </w:pPr>
      <w:bookmarkStart w:id="186" w:name="_Toc10638"/>
      <w:r>
        <w:rPr>
          <w:rFonts w:hint="eastAsia" w:cs="Times New Roman"/>
          <w:b/>
          <w:bCs/>
          <w:spacing w:val="1"/>
          <w:kern w:val="0"/>
          <w:sz w:val="24"/>
          <w:szCs w:val="20"/>
          <w:highlight w:val="none"/>
          <w:lang w:val="en-US" w:eastAsia="zh-CN" w:bidi="ar-SA"/>
        </w:rPr>
        <w:t>2、非正常情况下对地下水影响分析</w:t>
      </w:r>
    </w:p>
    <w:p w14:paraId="16A0F3B8">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本次预测情景设置为原材料堆放区硅油桶破裂地面防渗层同时破损，硅油泄漏进入地下水。</w:t>
      </w:r>
    </w:p>
    <w:p w14:paraId="2BAADFB4">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（1）水文地质条件概化</w:t>
      </w:r>
    </w:p>
    <w:p w14:paraId="7B1F0261">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区内潜水主要在粘土层中，地下水埋藏较浅，地下水分布较均匀，地下水力坡度较缓，地下水总体由南向北排泄。故将本厂区水文地质条件概化为“单层且含水介质均匀的含水层”水文地质模型。</w:t>
      </w:r>
    </w:p>
    <w:p w14:paraId="68A664A6">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（2）污染源概化</w:t>
      </w:r>
    </w:p>
    <w:p w14:paraId="38BFCA36">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本项目考虑原材料存放区硅油包装桶泄漏及地面防渗层同时破损的情况下，造成污染物穿过防渗层及包气带进入地下含水层，使地下水受到污染，此时，污染源的排放规律可以概化为一维瞬时排放。</w:t>
      </w:r>
    </w:p>
    <w:p w14:paraId="536CFA75">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i w:val="0"/>
          <w:iCs w:val="0"/>
          <w:caps w:val="0"/>
          <w:spacing w:val="0"/>
          <w:sz w:val="24"/>
          <w:szCs w:val="24"/>
          <w:shd w:val="clear" w:fill="FFFFFF"/>
          <w:vertAlign w:val="baseline"/>
          <w:lang w:val="en-US" w:eastAsia="zh-CN"/>
        </w:rPr>
      </w:pPr>
      <w:r>
        <w:rPr>
          <w:rFonts w:hint="default" w:ascii="Times New Roman" w:hAnsi="Times New Roman" w:eastAsia="宋体" w:cs="Times New Roman"/>
          <w:sz w:val="24"/>
          <w:szCs w:val="24"/>
          <w:lang w:val="en-US" w:eastAsia="zh-CN"/>
        </w:rPr>
        <w:t>本项目原材料硅油最大贮存量为5t</w:t>
      </w:r>
      <w:r>
        <w:rPr>
          <w:rFonts w:hint="eastAsia" w:eastAsia="宋体" w:cs="Times New Roman"/>
          <w:sz w:val="24"/>
          <w:szCs w:val="24"/>
          <w:lang w:val="en-US" w:eastAsia="zh-CN"/>
        </w:rPr>
        <w:t>，采用桶装，1桶</w:t>
      </w:r>
      <w:r>
        <w:rPr>
          <w:rFonts w:hint="default" w:ascii="Times New Roman" w:hAnsi="Times New Roman" w:eastAsia="宋体" w:cs="Times New Roman"/>
          <w:sz w:val="24"/>
          <w:szCs w:val="24"/>
          <w:lang w:val="en-US" w:eastAsia="zh-CN"/>
        </w:rPr>
        <w:t>硅油</w:t>
      </w:r>
      <w:r>
        <w:rPr>
          <w:rFonts w:hint="eastAsia" w:eastAsia="宋体" w:cs="Times New Roman"/>
          <w:sz w:val="24"/>
          <w:szCs w:val="24"/>
          <w:lang w:val="en-US" w:eastAsia="zh-CN"/>
        </w:rPr>
        <w:t>的质量为125kg</w:t>
      </w:r>
      <w:r>
        <w:rPr>
          <w:rFonts w:hint="default" w:ascii="Times New Roman" w:hAnsi="Times New Roman" w:eastAsia="宋体" w:cs="Times New Roman"/>
          <w:sz w:val="24"/>
          <w:szCs w:val="24"/>
          <w:lang w:val="en-US" w:eastAsia="zh-CN"/>
        </w:rPr>
        <w:t>。</w:t>
      </w:r>
      <w:r>
        <w:rPr>
          <w:rFonts w:hint="eastAsia" w:eastAsia="宋体" w:cs="Times New Roman"/>
          <w:sz w:val="24"/>
          <w:szCs w:val="24"/>
          <w:lang w:val="en-US" w:eastAsia="zh-CN"/>
        </w:rPr>
        <w:t>本环评假设1个硅油桶破裂，破裂泄漏孔直径按2mm计，</w:t>
      </w:r>
      <w:r>
        <w:rPr>
          <w:rFonts w:hint="default" w:ascii="Times New Roman" w:hAnsi="Times New Roman" w:eastAsia="宋体" w:cs="Times New Roman"/>
          <w:color w:val="000000"/>
          <w:kern w:val="0"/>
          <w:sz w:val="24"/>
          <w:szCs w:val="24"/>
          <w:lang w:val="en-US" w:eastAsia="zh-CN" w:bidi="ar"/>
        </w:rPr>
        <w:t>假设防渗过程中采取的渗漏检测发现及修复非正常工况时间为</w:t>
      </w:r>
      <w:r>
        <w:rPr>
          <w:rFonts w:hint="eastAsia"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天</w:t>
      </w:r>
      <w:r>
        <w:rPr>
          <w:rFonts w:hint="eastAsia" w:eastAsia="宋体" w:cs="Times New Roman"/>
          <w:color w:val="000000"/>
          <w:kern w:val="0"/>
          <w:sz w:val="24"/>
          <w:szCs w:val="24"/>
          <w:lang w:val="en-US" w:eastAsia="zh-CN" w:bidi="ar"/>
        </w:rPr>
        <w:t>。</w:t>
      </w:r>
      <w:r>
        <w:rPr>
          <w:rFonts w:hint="default" w:ascii="Times New Roman" w:hAnsi="Times New Roman" w:eastAsia="宋体" w:cs="Times New Roman"/>
          <w:i w:val="0"/>
          <w:iCs w:val="0"/>
          <w:caps w:val="0"/>
          <w:spacing w:val="0"/>
          <w:sz w:val="24"/>
          <w:szCs w:val="24"/>
          <w:shd w:val="clear" w:fill="FFFFFF"/>
        </w:rPr>
        <w:t>硅油密度约 960kg/m</w:t>
      </w:r>
      <w:r>
        <w:rPr>
          <w:rFonts w:hint="default" w:ascii="Times New Roman" w:hAnsi="Times New Roman" w:eastAsia="宋体" w:cs="Times New Roman"/>
          <w:i w:val="0"/>
          <w:iCs w:val="0"/>
          <w:caps w:val="0"/>
          <w:spacing w:val="0"/>
          <w:sz w:val="24"/>
          <w:szCs w:val="24"/>
          <w:shd w:val="clear" w:fill="FFFFFF"/>
          <w:vertAlign w:val="superscript"/>
          <w:lang w:val="en-US" w:eastAsia="zh-CN"/>
        </w:rPr>
        <w:t>3</w:t>
      </w:r>
      <w:r>
        <w:rPr>
          <w:rFonts w:hint="eastAsia" w:ascii="Times New Roman" w:hAnsi="Times New Roman" w:eastAsia="宋体" w:cs="Times New Roman"/>
          <w:i w:val="0"/>
          <w:iCs w:val="0"/>
          <w:caps w:val="0"/>
          <w:spacing w:val="0"/>
          <w:sz w:val="24"/>
          <w:szCs w:val="24"/>
          <w:shd w:val="clear" w:fill="FFFFFF"/>
          <w:vertAlign w:val="baseline"/>
          <w:lang w:val="en-US" w:eastAsia="zh-CN"/>
        </w:rPr>
        <w:t>。按照 Q=A</w:t>
      </w:r>
      <w:r>
        <w:rPr>
          <w:rFonts w:hint="eastAsia" w:eastAsia="宋体" w:cs="Times New Roman"/>
          <w:i w:val="0"/>
          <w:iCs w:val="0"/>
          <w:caps w:val="0"/>
          <w:spacing w:val="0"/>
          <w:sz w:val="24"/>
          <w:szCs w:val="24"/>
          <w:shd w:val="clear" w:fill="FFFFFF"/>
          <w:vertAlign w:val="baseline"/>
          <w:lang w:val="en-US" w:eastAsia="zh-CN"/>
        </w:rPr>
        <w:t>×</w:t>
      </w:r>
      <w:r>
        <w:rPr>
          <w:rFonts w:hint="eastAsia" w:ascii="Times New Roman" w:hAnsi="Times New Roman" w:eastAsia="宋体" w:cs="Times New Roman"/>
          <w:i w:val="0"/>
          <w:iCs w:val="0"/>
          <w:caps w:val="0"/>
          <w:spacing w:val="0"/>
          <w:sz w:val="24"/>
          <w:szCs w:val="24"/>
          <w:shd w:val="clear" w:fill="FFFFFF"/>
          <w:vertAlign w:val="baseline"/>
          <w:lang w:val="en-US" w:eastAsia="zh-CN"/>
        </w:rPr>
        <w:t>K</w:t>
      </w:r>
      <w:r>
        <w:rPr>
          <w:rFonts w:hint="eastAsia" w:eastAsia="宋体" w:cs="Times New Roman"/>
          <w:i w:val="0"/>
          <w:iCs w:val="0"/>
          <w:caps w:val="0"/>
          <w:spacing w:val="0"/>
          <w:sz w:val="24"/>
          <w:szCs w:val="24"/>
          <w:shd w:val="clear" w:fill="FFFFFF"/>
          <w:vertAlign w:val="baseline"/>
          <w:lang w:val="en-US" w:eastAsia="zh-CN"/>
        </w:rPr>
        <w:t>×</w:t>
      </w:r>
      <w:r>
        <w:rPr>
          <w:rFonts w:hint="eastAsia" w:ascii="Times New Roman" w:hAnsi="Times New Roman" w:eastAsia="宋体" w:cs="Times New Roman"/>
          <w:i w:val="0"/>
          <w:iCs w:val="0"/>
          <w:caps w:val="0"/>
          <w:spacing w:val="0"/>
          <w:sz w:val="24"/>
          <w:szCs w:val="24"/>
          <w:shd w:val="clear" w:fill="FFFFFF"/>
          <w:vertAlign w:val="baseline"/>
          <w:lang w:val="en-US" w:eastAsia="zh-CN"/>
        </w:rPr>
        <w:t>T(其中A</w:t>
      </w:r>
      <w:r>
        <w:rPr>
          <w:rFonts w:hint="eastAsia" w:eastAsia="宋体" w:cs="Times New Roman"/>
          <w:i w:val="0"/>
          <w:iCs w:val="0"/>
          <w:caps w:val="0"/>
          <w:spacing w:val="0"/>
          <w:sz w:val="24"/>
          <w:szCs w:val="24"/>
          <w:shd w:val="clear" w:fill="FFFFFF"/>
          <w:vertAlign w:val="baseline"/>
          <w:lang w:val="en-US" w:eastAsia="zh-CN"/>
        </w:rPr>
        <w:t>：</w:t>
      </w:r>
      <w:r>
        <w:rPr>
          <w:rFonts w:hint="eastAsia" w:ascii="Times New Roman" w:hAnsi="Times New Roman" w:eastAsia="宋体" w:cs="Times New Roman"/>
          <w:i w:val="0"/>
          <w:iCs w:val="0"/>
          <w:caps w:val="0"/>
          <w:spacing w:val="0"/>
          <w:sz w:val="24"/>
          <w:szCs w:val="24"/>
          <w:shd w:val="clear" w:fill="FFFFFF"/>
          <w:vertAlign w:val="baseline"/>
          <w:lang w:val="en-US" w:eastAsia="zh-CN"/>
        </w:rPr>
        <w:t>漏面积m</w:t>
      </w:r>
      <w:r>
        <w:rPr>
          <w:rFonts w:hint="eastAsia" w:ascii="Times New Roman" w:hAnsi="Times New Roman" w:eastAsia="宋体" w:cs="Times New Roman"/>
          <w:i w:val="0"/>
          <w:iCs w:val="0"/>
          <w:caps w:val="0"/>
          <w:spacing w:val="0"/>
          <w:sz w:val="24"/>
          <w:szCs w:val="24"/>
          <w:shd w:val="clear" w:fill="FFFFFF"/>
          <w:vertAlign w:val="superscript"/>
          <w:lang w:val="en-US" w:eastAsia="zh-CN"/>
        </w:rPr>
        <w:t>2</w:t>
      </w:r>
      <w:r>
        <w:rPr>
          <w:rFonts w:hint="eastAsia" w:eastAsia="宋体" w:cs="Times New Roman"/>
          <w:i w:val="0"/>
          <w:iCs w:val="0"/>
          <w:caps w:val="0"/>
          <w:spacing w:val="0"/>
          <w:sz w:val="24"/>
          <w:szCs w:val="24"/>
          <w:shd w:val="clear" w:fill="FFFFFF"/>
          <w:vertAlign w:val="baseline"/>
          <w:lang w:val="en-US" w:eastAsia="zh-CN"/>
        </w:rPr>
        <w:t>；</w:t>
      </w:r>
      <w:r>
        <w:rPr>
          <w:rFonts w:hint="eastAsia" w:ascii="Times New Roman" w:hAnsi="Times New Roman" w:eastAsia="宋体" w:cs="Times New Roman"/>
          <w:i w:val="0"/>
          <w:iCs w:val="0"/>
          <w:caps w:val="0"/>
          <w:spacing w:val="0"/>
          <w:sz w:val="24"/>
          <w:szCs w:val="24"/>
          <w:shd w:val="clear" w:fill="FFFFFF"/>
          <w:vertAlign w:val="baseline"/>
          <w:lang w:val="en-US" w:eastAsia="zh-CN"/>
        </w:rPr>
        <w:t>K</w:t>
      </w:r>
      <w:r>
        <w:rPr>
          <w:rFonts w:hint="eastAsia" w:eastAsia="宋体" w:cs="Times New Roman"/>
          <w:i w:val="0"/>
          <w:iCs w:val="0"/>
          <w:caps w:val="0"/>
          <w:spacing w:val="0"/>
          <w:sz w:val="24"/>
          <w:szCs w:val="24"/>
          <w:shd w:val="clear" w:fill="FFFFFF"/>
          <w:vertAlign w:val="baseline"/>
          <w:lang w:val="en-US" w:eastAsia="zh-CN"/>
        </w:rPr>
        <w:t>：</w:t>
      </w:r>
      <w:r>
        <w:rPr>
          <w:rFonts w:hint="eastAsia" w:ascii="Times New Roman" w:hAnsi="Times New Roman" w:eastAsia="宋体" w:cs="Times New Roman"/>
          <w:i w:val="0"/>
          <w:iCs w:val="0"/>
          <w:caps w:val="0"/>
          <w:spacing w:val="0"/>
          <w:sz w:val="24"/>
          <w:szCs w:val="24"/>
          <w:shd w:val="clear" w:fill="FFFFFF"/>
          <w:vertAlign w:val="baseline"/>
          <w:lang w:val="en-US" w:eastAsia="zh-CN"/>
        </w:rPr>
        <w:t>包气带垂向渗透系数，0.5m/d</w:t>
      </w:r>
      <w:r>
        <w:rPr>
          <w:rFonts w:hint="eastAsia" w:eastAsia="宋体" w:cs="Times New Roman"/>
          <w:i w:val="0"/>
          <w:iCs w:val="0"/>
          <w:caps w:val="0"/>
          <w:spacing w:val="0"/>
          <w:sz w:val="24"/>
          <w:szCs w:val="24"/>
          <w:shd w:val="clear" w:fill="FFFFFF"/>
          <w:vertAlign w:val="baseline"/>
          <w:lang w:val="en-US" w:eastAsia="zh-CN"/>
        </w:rPr>
        <w:t>；</w:t>
      </w:r>
      <w:r>
        <w:rPr>
          <w:rFonts w:hint="eastAsia" w:ascii="Times New Roman" w:hAnsi="Times New Roman" w:eastAsia="宋体" w:cs="Times New Roman"/>
          <w:i w:val="0"/>
          <w:iCs w:val="0"/>
          <w:caps w:val="0"/>
          <w:spacing w:val="0"/>
          <w:sz w:val="24"/>
          <w:szCs w:val="24"/>
          <w:shd w:val="clear" w:fill="FFFFFF"/>
          <w:vertAlign w:val="baseline"/>
          <w:lang w:val="en-US" w:eastAsia="zh-CN"/>
        </w:rPr>
        <w:t>T</w:t>
      </w:r>
      <w:r>
        <w:rPr>
          <w:rFonts w:hint="eastAsia" w:eastAsia="宋体" w:cs="Times New Roman"/>
          <w:i w:val="0"/>
          <w:iCs w:val="0"/>
          <w:caps w:val="0"/>
          <w:spacing w:val="0"/>
          <w:sz w:val="24"/>
          <w:szCs w:val="24"/>
          <w:shd w:val="clear" w:fill="FFFFFF"/>
          <w:vertAlign w:val="baseline"/>
          <w:lang w:val="en-US" w:eastAsia="zh-CN"/>
        </w:rPr>
        <w:t>：</w:t>
      </w:r>
      <w:r>
        <w:rPr>
          <w:rFonts w:hint="eastAsia" w:ascii="Times New Roman" w:hAnsi="Times New Roman" w:eastAsia="宋体" w:cs="Times New Roman"/>
          <w:i w:val="0"/>
          <w:iCs w:val="0"/>
          <w:caps w:val="0"/>
          <w:spacing w:val="0"/>
          <w:sz w:val="24"/>
          <w:szCs w:val="24"/>
          <w:shd w:val="clear" w:fill="FFFFFF"/>
          <w:vertAlign w:val="baseline"/>
          <w:lang w:val="en-US" w:eastAsia="zh-CN"/>
        </w:rPr>
        <w:t>时间，d)。本次环评根据项目设计资料，计算污染物泄漏量，具体如下，</w:t>
      </w:r>
    </w:p>
    <w:p w14:paraId="34C9C6A0">
      <w:pPr>
        <w:pStyle w:val="22"/>
        <w:ind w:firstLine="723" w:firstLineChars="300"/>
        <w:rPr>
          <w:rFonts w:hint="default" w:ascii="Times New Roman" w:hAnsi="Times New Roman" w:eastAsia="宋体" w:cs="Times New Roman"/>
          <w:i w:val="0"/>
          <w:iCs w:val="0"/>
          <w:caps w:val="0"/>
          <w:spacing w:val="0"/>
          <w:sz w:val="24"/>
          <w:szCs w:val="24"/>
          <w:shd w:val="clear" w:fill="FFFFFF"/>
          <w:vertAlign w:val="baseline"/>
          <w:lang w:val="en-US" w:eastAsia="zh-CN"/>
        </w:rPr>
      </w:pPr>
      <w:r>
        <w:rPr>
          <w:rFonts w:hint="eastAsia" w:ascii="Times New Roman" w:hAnsi="Times New Roman" w:eastAsia="宋体" w:cs="Times New Roman"/>
          <w:b/>
          <w:bCs/>
          <w:i w:val="0"/>
          <w:iCs w:val="0"/>
          <w:caps w:val="0"/>
          <w:spacing w:val="0"/>
          <w:sz w:val="24"/>
          <w:szCs w:val="24"/>
          <w:shd w:val="clear" w:fill="FFFFFF"/>
          <w:vertAlign w:val="baseline"/>
          <w:lang w:val="en-US" w:eastAsia="zh-CN"/>
        </w:rPr>
        <w:t>表6.4-1 项目地下水预测污染物泄露量计算表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274"/>
        <w:gridCol w:w="1144"/>
        <w:gridCol w:w="1144"/>
        <w:gridCol w:w="1395"/>
        <w:gridCol w:w="1267"/>
        <w:gridCol w:w="1145"/>
      </w:tblGrid>
      <w:tr w14:paraId="1140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tcPr>
          <w:p w14:paraId="6B63A040">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ascii="Times New Roman" w:hAnsi="Times New Roman" w:eastAsia="宋体" w:cs="Times New Roman"/>
                <w:i w:val="0"/>
                <w:iCs w:val="0"/>
                <w:caps w:val="0"/>
                <w:spacing w:val="0"/>
                <w:sz w:val="21"/>
                <w:szCs w:val="21"/>
                <w:shd w:val="clear" w:fill="FFFFFF"/>
                <w:vertAlign w:val="baseline"/>
                <w:lang w:val="en-US" w:eastAsia="zh-CN"/>
              </w:rPr>
              <w:t>污染因子</w:t>
            </w:r>
          </w:p>
        </w:tc>
        <w:tc>
          <w:tcPr>
            <w:tcW w:w="748" w:type="pct"/>
          </w:tcPr>
          <w:p w14:paraId="59BF9D90">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泄漏面积（m</w:t>
            </w:r>
            <w:r>
              <w:rPr>
                <w:rFonts w:hint="eastAsia" w:eastAsia="宋体" w:cs="Times New Roman"/>
                <w:i w:val="0"/>
                <w:iCs w:val="0"/>
                <w:caps w:val="0"/>
                <w:spacing w:val="0"/>
                <w:sz w:val="21"/>
                <w:szCs w:val="21"/>
                <w:shd w:val="clear" w:fill="FFFFFF"/>
                <w:vertAlign w:val="superscript"/>
                <w:lang w:val="en-US" w:eastAsia="zh-CN"/>
              </w:rPr>
              <w:t>2</w:t>
            </w:r>
            <w:r>
              <w:rPr>
                <w:rFonts w:hint="eastAsia" w:eastAsia="宋体" w:cs="Times New Roman"/>
                <w:i w:val="0"/>
                <w:iCs w:val="0"/>
                <w:caps w:val="0"/>
                <w:spacing w:val="0"/>
                <w:sz w:val="21"/>
                <w:szCs w:val="21"/>
                <w:shd w:val="clear" w:fill="FFFFFF"/>
                <w:vertAlign w:val="baseline"/>
                <w:lang w:val="en-US" w:eastAsia="zh-CN"/>
              </w:rPr>
              <w:t>）</w:t>
            </w:r>
          </w:p>
        </w:tc>
        <w:tc>
          <w:tcPr>
            <w:tcW w:w="672" w:type="pct"/>
          </w:tcPr>
          <w:p w14:paraId="6A3F5672">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渗透系数（m/d）</w:t>
            </w:r>
          </w:p>
        </w:tc>
        <w:tc>
          <w:tcPr>
            <w:tcW w:w="672" w:type="pct"/>
          </w:tcPr>
          <w:p w14:paraId="2BE1A299">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ascii="Times New Roman" w:hAnsi="Times New Roman" w:eastAsia="宋体" w:cs="Times New Roman"/>
                <w:i w:val="0"/>
                <w:iCs w:val="0"/>
                <w:caps w:val="0"/>
                <w:spacing w:val="0"/>
                <w:sz w:val="21"/>
                <w:szCs w:val="21"/>
                <w:shd w:val="clear" w:fill="FFFFFF"/>
                <w:vertAlign w:val="baseline"/>
                <w:lang w:val="en-US" w:eastAsia="zh-CN"/>
              </w:rPr>
              <w:t>泄漏时间T（d）</w:t>
            </w:r>
          </w:p>
        </w:tc>
        <w:tc>
          <w:tcPr>
            <w:tcW w:w="819" w:type="pct"/>
          </w:tcPr>
          <w:p w14:paraId="200FEF07">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ascii="Times New Roman" w:hAnsi="Times New Roman" w:eastAsia="宋体" w:cs="Times New Roman"/>
                <w:i w:val="0"/>
                <w:iCs w:val="0"/>
                <w:caps w:val="0"/>
                <w:spacing w:val="0"/>
                <w:sz w:val="21"/>
                <w:szCs w:val="21"/>
                <w:shd w:val="clear" w:fill="FFFFFF"/>
                <w:vertAlign w:val="baseline"/>
                <w:lang w:val="en-US" w:eastAsia="zh-CN"/>
              </w:rPr>
              <w:t>硅油</w:t>
            </w:r>
            <w:r>
              <w:rPr>
                <w:rFonts w:hint="eastAsia" w:eastAsia="宋体" w:cs="Times New Roman"/>
                <w:i w:val="0"/>
                <w:iCs w:val="0"/>
                <w:caps w:val="0"/>
                <w:spacing w:val="0"/>
                <w:sz w:val="21"/>
                <w:szCs w:val="21"/>
                <w:shd w:val="clear" w:fill="FFFFFF"/>
                <w:vertAlign w:val="baseline"/>
                <w:lang w:val="en-US" w:eastAsia="zh-CN"/>
              </w:rPr>
              <w:t>7</w:t>
            </w:r>
            <w:r>
              <w:rPr>
                <w:rFonts w:hint="eastAsia" w:ascii="Times New Roman" w:hAnsi="Times New Roman" w:eastAsia="宋体" w:cs="Times New Roman"/>
                <w:i w:val="0"/>
                <w:iCs w:val="0"/>
                <w:caps w:val="0"/>
                <w:spacing w:val="0"/>
                <w:sz w:val="21"/>
                <w:szCs w:val="21"/>
                <w:shd w:val="clear" w:fill="FFFFFF"/>
                <w:vertAlign w:val="baseline"/>
                <w:lang w:val="en-US" w:eastAsia="zh-CN"/>
              </w:rPr>
              <w:t>天泄漏量Q（</w:t>
            </w:r>
            <w:r>
              <w:rPr>
                <w:rFonts w:hint="eastAsia" w:eastAsia="宋体" w:cs="Times New Roman"/>
                <w:i w:val="0"/>
                <w:iCs w:val="0"/>
                <w:caps w:val="0"/>
                <w:spacing w:val="0"/>
                <w:sz w:val="21"/>
                <w:szCs w:val="21"/>
                <w:shd w:val="clear" w:fill="FFFFFF"/>
                <w:vertAlign w:val="baseline"/>
                <w:lang w:val="en-US" w:eastAsia="zh-CN"/>
              </w:rPr>
              <w:t>m</w:t>
            </w:r>
            <w:r>
              <w:rPr>
                <w:rFonts w:hint="eastAsia" w:eastAsia="宋体" w:cs="Times New Roman"/>
                <w:i w:val="0"/>
                <w:iCs w:val="0"/>
                <w:caps w:val="0"/>
                <w:spacing w:val="0"/>
                <w:sz w:val="21"/>
                <w:szCs w:val="21"/>
                <w:shd w:val="clear" w:fill="FFFFFF"/>
                <w:vertAlign w:val="superscript"/>
                <w:lang w:val="en-US" w:eastAsia="zh-CN"/>
              </w:rPr>
              <w:t>3</w:t>
            </w:r>
            <w:r>
              <w:rPr>
                <w:rFonts w:hint="eastAsia" w:ascii="Times New Roman" w:hAnsi="Times New Roman" w:eastAsia="宋体" w:cs="Times New Roman"/>
                <w:i w:val="0"/>
                <w:iCs w:val="0"/>
                <w:caps w:val="0"/>
                <w:spacing w:val="0"/>
                <w:sz w:val="21"/>
                <w:szCs w:val="21"/>
                <w:shd w:val="clear" w:fill="FFFFFF"/>
                <w:vertAlign w:val="baseline"/>
                <w:lang w:val="en-US" w:eastAsia="zh-CN"/>
              </w:rPr>
              <w:t>）</w:t>
            </w:r>
          </w:p>
        </w:tc>
        <w:tc>
          <w:tcPr>
            <w:tcW w:w="744" w:type="pct"/>
          </w:tcPr>
          <w:p w14:paraId="1EB57C5F">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硅油密度（</w:t>
            </w:r>
            <w:r>
              <w:rPr>
                <w:rFonts w:hint="default" w:ascii="Times New Roman" w:hAnsi="Times New Roman" w:eastAsia="宋体" w:cs="Times New Roman"/>
                <w:i w:val="0"/>
                <w:iCs w:val="0"/>
                <w:caps w:val="0"/>
                <w:spacing w:val="0"/>
                <w:sz w:val="21"/>
                <w:szCs w:val="21"/>
                <w:shd w:val="clear" w:fill="FFFFFF"/>
              </w:rPr>
              <w:t>kg/m</w:t>
            </w:r>
            <w:r>
              <w:rPr>
                <w:rFonts w:hint="default" w:ascii="Times New Roman" w:hAnsi="Times New Roman" w:eastAsia="宋体" w:cs="Times New Roman"/>
                <w:i w:val="0"/>
                <w:iCs w:val="0"/>
                <w:caps w:val="0"/>
                <w:spacing w:val="0"/>
                <w:sz w:val="21"/>
                <w:szCs w:val="21"/>
                <w:shd w:val="clear" w:fill="FFFFFF"/>
                <w:vertAlign w:val="superscript"/>
                <w:lang w:val="en-US" w:eastAsia="zh-CN"/>
              </w:rPr>
              <w:t>3</w:t>
            </w:r>
            <w:r>
              <w:rPr>
                <w:rFonts w:hint="eastAsia" w:eastAsia="宋体" w:cs="Times New Roman"/>
                <w:i w:val="0"/>
                <w:iCs w:val="0"/>
                <w:caps w:val="0"/>
                <w:spacing w:val="0"/>
                <w:sz w:val="21"/>
                <w:szCs w:val="21"/>
                <w:shd w:val="clear" w:fill="FFFFFF"/>
                <w:vertAlign w:val="baseline"/>
                <w:lang w:val="en-US" w:eastAsia="zh-CN"/>
              </w:rPr>
              <w:t>）</w:t>
            </w:r>
          </w:p>
        </w:tc>
        <w:tc>
          <w:tcPr>
            <w:tcW w:w="672" w:type="pct"/>
          </w:tcPr>
          <w:p w14:paraId="5D5225F4">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ascii="Times New Roman" w:hAnsi="Times New Roman" w:eastAsia="宋体" w:cs="Times New Roman"/>
                <w:i w:val="0"/>
                <w:iCs w:val="0"/>
                <w:caps w:val="0"/>
                <w:spacing w:val="0"/>
                <w:sz w:val="21"/>
                <w:szCs w:val="21"/>
                <w:shd w:val="clear" w:fill="FFFFFF"/>
                <w:vertAlign w:val="baseline"/>
                <w:lang w:val="en-US" w:eastAsia="zh-CN"/>
              </w:rPr>
              <w:t>污染物泄漏量（kg）</w:t>
            </w:r>
          </w:p>
        </w:tc>
      </w:tr>
      <w:tr w14:paraId="1A86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pct"/>
          </w:tcPr>
          <w:p w14:paraId="2FD5C0F4">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ascii="Times New Roman" w:hAnsi="Times New Roman" w:eastAsia="宋体" w:cs="Times New Roman"/>
                <w:i w:val="0"/>
                <w:iCs w:val="0"/>
                <w:caps w:val="0"/>
                <w:spacing w:val="0"/>
                <w:sz w:val="21"/>
                <w:szCs w:val="21"/>
                <w:shd w:val="clear" w:fill="FFFFFF"/>
                <w:vertAlign w:val="baseline"/>
                <w:lang w:val="en-US" w:eastAsia="zh-CN"/>
              </w:rPr>
              <w:t>石油类</w:t>
            </w:r>
          </w:p>
        </w:tc>
        <w:tc>
          <w:tcPr>
            <w:tcW w:w="748" w:type="pct"/>
          </w:tcPr>
          <w:p w14:paraId="0A23318E">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3.14×10</w:t>
            </w:r>
            <w:r>
              <w:rPr>
                <w:rFonts w:hint="eastAsia" w:eastAsia="宋体" w:cs="Times New Roman"/>
                <w:i w:val="0"/>
                <w:iCs w:val="0"/>
                <w:caps w:val="0"/>
                <w:spacing w:val="0"/>
                <w:sz w:val="21"/>
                <w:szCs w:val="21"/>
                <w:shd w:val="clear" w:fill="FFFFFF"/>
                <w:vertAlign w:val="superscript"/>
                <w:lang w:val="en-US" w:eastAsia="zh-CN"/>
              </w:rPr>
              <w:t>-6</w:t>
            </w:r>
          </w:p>
        </w:tc>
        <w:tc>
          <w:tcPr>
            <w:tcW w:w="672" w:type="pct"/>
          </w:tcPr>
          <w:p w14:paraId="5A86B63B">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0.5</w:t>
            </w:r>
          </w:p>
        </w:tc>
        <w:tc>
          <w:tcPr>
            <w:tcW w:w="672" w:type="pct"/>
          </w:tcPr>
          <w:p w14:paraId="45287926">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7</w:t>
            </w:r>
          </w:p>
        </w:tc>
        <w:tc>
          <w:tcPr>
            <w:tcW w:w="819" w:type="pct"/>
          </w:tcPr>
          <w:p w14:paraId="7A8D0CAF">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10.99×10</w:t>
            </w:r>
            <w:r>
              <w:rPr>
                <w:rFonts w:hint="eastAsia" w:eastAsia="宋体" w:cs="Times New Roman"/>
                <w:i w:val="0"/>
                <w:iCs w:val="0"/>
                <w:caps w:val="0"/>
                <w:spacing w:val="0"/>
                <w:sz w:val="21"/>
                <w:szCs w:val="21"/>
                <w:shd w:val="clear" w:fill="FFFFFF"/>
                <w:vertAlign w:val="superscript"/>
                <w:lang w:val="en-US" w:eastAsia="zh-CN"/>
              </w:rPr>
              <w:t>-5</w:t>
            </w:r>
          </w:p>
        </w:tc>
        <w:tc>
          <w:tcPr>
            <w:tcW w:w="744" w:type="pct"/>
          </w:tcPr>
          <w:p w14:paraId="31274C54">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960</w:t>
            </w:r>
          </w:p>
        </w:tc>
        <w:tc>
          <w:tcPr>
            <w:tcW w:w="672" w:type="pct"/>
          </w:tcPr>
          <w:p w14:paraId="2F1BDD14">
            <w:pPr>
              <w:pStyle w:val="2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i w:val="0"/>
                <w:iCs w:val="0"/>
                <w:caps w:val="0"/>
                <w:spacing w:val="0"/>
                <w:sz w:val="21"/>
                <w:szCs w:val="21"/>
                <w:shd w:val="clear" w:fill="FFFFFF"/>
                <w:vertAlign w:val="baseline"/>
                <w:lang w:val="en-US" w:eastAsia="zh-CN"/>
              </w:rPr>
            </w:pPr>
            <w:r>
              <w:rPr>
                <w:rFonts w:hint="eastAsia" w:eastAsia="宋体" w:cs="Times New Roman"/>
                <w:i w:val="0"/>
                <w:iCs w:val="0"/>
                <w:caps w:val="0"/>
                <w:spacing w:val="0"/>
                <w:sz w:val="21"/>
                <w:szCs w:val="21"/>
                <w:shd w:val="clear" w:fill="FFFFFF"/>
                <w:vertAlign w:val="baseline"/>
                <w:lang w:val="en-US" w:eastAsia="zh-CN"/>
              </w:rPr>
              <w:t>约0.0105</w:t>
            </w:r>
          </w:p>
        </w:tc>
      </w:tr>
    </w:tbl>
    <w:p w14:paraId="5FD8B0B6">
      <w:pPr>
        <w:keepNext w:val="0"/>
        <w:keepLines w:val="0"/>
        <w:widowControl/>
        <w:suppressLineNumbers w:val="0"/>
        <w:ind w:left="0" w:leftChars="0" w:firstLine="241" w:firstLineChars="100"/>
        <w:jc w:val="left"/>
        <w:rPr>
          <w:rFonts w:hint="default" w:ascii="Times New Roman" w:hAnsi="Times New Roman" w:eastAsia="宋体" w:cs="Times New Roman"/>
          <w:b/>
          <w:bCs/>
          <w:color w:val="000000"/>
          <w:kern w:val="0"/>
          <w:sz w:val="24"/>
          <w:szCs w:val="24"/>
          <w:lang w:val="en-US" w:eastAsia="zh-CN" w:bidi="ar"/>
        </w:rPr>
      </w:pPr>
      <w:r>
        <w:rPr>
          <w:rFonts w:hint="eastAsia" w:eastAsia="宋体" w:cs="Times New Roman"/>
          <w:b/>
          <w:bCs/>
          <w:color w:val="000000"/>
          <w:kern w:val="0"/>
          <w:sz w:val="24"/>
          <w:szCs w:val="24"/>
          <w:lang w:val="en-US" w:eastAsia="zh-CN" w:bidi="ar"/>
        </w:rPr>
        <w:t>（3）预测模型</w:t>
      </w:r>
    </w:p>
    <w:p w14:paraId="3C9E697E">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1）模型选择</w:t>
      </w:r>
    </w:p>
    <w:p w14:paraId="7FE4AAC0">
      <w:pPr>
        <w:keepNext w:val="0"/>
        <w:keepLines w:val="0"/>
        <w:widowControl/>
        <w:suppressLineNumbers w:val="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拟建项目地下水预测主要进行饱和带污染物迁移预测，根据《环境影响评价技术导则地下水环境》(HJ610-2016)，评价采用解析法开展地下水环境影响预测,将污染物在地下水中运移的水文地质概念模型概化为</w:t>
      </w:r>
      <w:r>
        <w:rPr>
          <w:rFonts w:hint="default" w:ascii="Times New Roman" w:hAnsi="Times New Roman" w:eastAsia="宋体" w:cs="Times New Roman"/>
          <w:color w:val="000000"/>
          <w:kern w:val="0"/>
          <w:sz w:val="24"/>
          <w:szCs w:val="24"/>
          <w:lang w:val="en-US" w:eastAsia="zh-CN" w:bidi="ar"/>
        </w:rPr>
        <w:t>一维稳定流动一维水动力弥散问题</w:t>
      </w:r>
      <w:r>
        <w:rPr>
          <w:rFonts w:hint="eastAsia" w:ascii="Times New Roman" w:hAnsi="Times New Roman" w:eastAsia="宋体" w:cs="Times New Roman"/>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一维无限长多孔介质柱体，示踪剂瞬时注入</w:t>
      </w:r>
      <w:r>
        <w:rPr>
          <w:rFonts w:hint="eastAsia" w:ascii="Times New Roman" w:hAnsi="Times New Roman" w:eastAsia="宋体" w:cs="Times New Roman"/>
          <w:color w:val="000000"/>
          <w:kern w:val="0"/>
          <w:sz w:val="24"/>
          <w:szCs w:val="24"/>
          <w:lang w:val="en-US" w:eastAsia="zh-CN" w:bidi="ar"/>
        </w:rPr>
        <w:t>。</w:t>
      </w:r>
    </w:p>
    <w:p w14:paraId="5766F10D">
      <w:pPr>
        <w:pStyle w:val="22"/>
        <w:jc w:val="center"/>
        <w:rPr>
          <w:rFonts w:hint="eastAsia" w:ascii="黑体" w:hAnsi="宋体" w:eastAsia="黑体" w:cs="黑体"/>
          <w:color w:val="000000"/>
          <w:kern w:val="0"/>
          <w:sz w:val="21"/>
          <w:szCs w:val="21"/>
          <w:lang w:val="en-US" w:eastAsia="zh-CN" w:bidi="ar"/>
        </w:rPr>
      </w:pPr>
      <w:r>
        <w:rPr>
          <w:rFonts w:hint="eastAsia" w:ascii="黑体" w:hAnsi="宋体" w:eastAsia="黑体" w:cs="黑体"/>
          <w:color w:val="000000"/>
          <w:kern w:val="0"/>
          <w:sz w:val="21"/>
          <w:szCs w:val="21"/>
          <w:lang w:val="en-US" w:eastAsia="zh-CN" w:bidi="ar"/>
        </w:rPr>
        <w:drawing>
          <wp:inline distT="0" distB="0" distL="114300" distR="114300">
            <wp:extent cx="2409825" cy="638175"/>
            <wp:effectExtent l="0" t="0" r="9525" b="9525"/>
            <wp:docPr id="2" name="图片 2" descr="08d68c3c4c3de98380d2191943605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8d68c3c4c3de98380d21919436052f"/>
                    <pic:cNvPicPr>
                      <a:picLocks noChangeAspect="1"/>
                    </pic:cNvPicPr>
                  </pic:nvPicPr>
                  <pic:blipFill>
                    <a:blip r:embed="rId30"/>
                    <a:stretch>
                      <a:fillRect/>
                    </a:stretch>
                  </pic:blipFill>
                  <pic:spPr>
                    <a:xfrm>
                      <a:off x="0" y="0"/>
                      <a:ext cx="2409825" cy="638175"/>
                    </a:xfrm>
                    <a:prstGeom prst="rect">
                      <a:avLst/>
                    </a:prstGeom>
                  </pic:spPr>
                </pic:pic>
              </a:graphicData>
            </a:graphic>
          </wp:inline>
        </w:drawing>
      </w:r>
    </w:p>
    <w:p w14:paraId="5FBA2D76">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式中：</w:t>
      </w:r>
      <w:r>
        <w:rPr>
          <w:rFonts w:hint="default" w:ascii="Times New Roman" w:hAnsi="Times New Roman" w:eastAsia="宋体" w:cs="Times New Roman"/>
          <w:i/>
          <w:iCs/>
          <w:color w:val="000000"/>
          <w:kern w:val="0"/>
          <w:sz w:val="24"/>
          <w:szCs w:val="24"/>
          <w:lang w:val="en-US" w:eastAsia="zh-CN" w:bidi="ar"/>
        </w:rPr>
        <w:t xml:space="preserve">x </w:t>
      </w:r>
      <w:r>
        <w:rPr>
          <w:rFonts w:hint="default" w:ascii="Times New Roman" w:hAnsi="Times New Roman" w:eastAsia="宋体" w:cs="Times New Roman"/>
          <w:color w:val="000000"/>
          <w:kern w:val="0"/>
          <w:sz w:val="24"/>
          <w:szCs w:val="24"/>
          <w:lang w:val="en-US" w:eastAsia="zh-CN" w:bidi="ar"/>
        </w:rPr>
        <w:t xml:space="preserve">——距注入点的距离，m； </w:t>
      </w:r>
    </w:p>
    <w:p w14:paraId="79AD0B9E">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i/>
          <w:iCs/>
          <w:color w:val="000000"/>
          <w:kern w:val="0"/>
          <w:sz w:val="24"/>
          <w:szCs w:val="24"/>
          <w:lang w:val="en-US" w:eastAsia="zh-CN" w:bidi="ar"/>
        </w:rPr>
        <w:t xml:space="preserve">t </w:t>
      </w:r>
      <w:r>
        <w:rPr>
          <w:rFonts w:hint="default" w:ascii="Times New Roman" w:hAnsi="Times New Roman" w:eastAsia="宋体" w:cs="Times New Roman"/>
          <w:color w:val="000000"/>
          <w:kern w:val="0"/>
          <w:sz w:val="24"/>
          <w:szCs w:val="24"/>
          <w:lang w:val="en-US" w:eastAsia="zh-CN" w:bidi="ar"/>
        </w:rPr>
        <w:t xml:space="preserve">——时间，d； </w:t>
      </w:r>
    </w:p>
    <w:p w14:paraId="526662E1">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C(x,t)——t</w:t>
      </w:r>
      <w:r>
        <w:rPr>
          <w:rFonts w:hint="default" w:ascii="Times New Roman" w:hAnsi="Times New Roman" w:eastAsia="宋体" w:cs="Times New Roman"/>
          <w:i/>
          <w:iCs/>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时刻 x 处的示踪剂质量浓度，g/L； </w:t>
      </w:r>
    </w:p>
    <w:p w14:paraId="64E8C3A0">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i/>
          <w:iCs/>
          <w:color w:val="000000"/>
          <w:kern w:val="0"/>
          <w:sz w:val="24"/>
          <w:szCs w:val="24"/>
          <w:lang w:val="en-US" w:eastAsia="zh-CN" w:bidi="ar"/>
        </w:rPr>
        <w:t xml:space="preserve">m </w:t>
      </w:r>
      <w:r>
        <w:rPr>
          <w:rFonts w:hint="default" w:ascii="Times New Roman" w:hAnsi="Times New Roman" w:eastAsia="宋体" w:cs="Times New Roman"/>
          <w:color w:val="000000"/>
          <w:kern w:val="0"/>
          <w:sz w:val="24"/>
          <w:szCs w:val="24"/>
          <w:lang w:val="en-US" w:eastAsia="zh-CN" w:bidi="ar"/>
        </w:rPr>
        <w:t xml:space="preserve">——注入的示踪剂质量，kg； </w:t>
      </w:r>
    </w:p>
    <w:p w14:paraId="265B86DA">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i/>
          <w:iCs/>
          <w:color w:val="000000"/>
          <w:kern w:val="0"/>
          <w:sz w:val="24"/>
          <w:szCs w:val="24"/>
          <w:lang w:val="en-US" w:eastAsia="zh-CN" w:bidi="ar"/>
        </w:rPr>
        <w:t xml:space="preserve">w </w:t>
      </w:r>
      <w:r>
        <w:rPr>
          <w:rFonts w:hint="default" w:ascii="Times New Roman" w:hAnsi="Times New Roman" w:eastAsia="宋体" w:cs="Times New Roman"/>
          <w:color w:val="000000"/>
          <w:kern w:val="0"/>
          <w:sz w:val="24"/>
          <w:szCs w:val="24"/>
          <w:lang w:val="en-US" w:eastAsia="zh-CN" w:bidi="ar"/>
        </w:rPr>
        <w:t>——横截面面积，m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 ； </w:t>
      </w:r>
    </w:p>
    <w:p w14:paraId="4075C50C">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i/>
          <w:iCs/>
          <w:color w:val="000000"/>
          <w:kern w:val="0"/>
          <w:sz w:val="24"/>
          <w:szCs w:val="24"/>
          <w:lang w:val="en-US" w:eastAsia="zh-CN" w:bidi="ar"/>
        </w:rPr>
        <w:t xml:space="preserve">u </w:t>
      </w:r>
      <w:r>
        <w:rPr>
          <w:rFonts w:hint="default" w:ascii="Times New Roman" w:hAnsi="Times New Roman" w:eastAsia="宋体" w:cs="Times New Roman"/>
          <w:color w:val="000000"/>
          <w:kern w:val="0"/>
          <w:sz w:val="24"/>
          <w:szCs w:val="24"/>
          <w:lang w:val="en-US" w:eastAsia="zh-CN" w:bidi="ar"/>
        </w:rPr>
        <w:t xml:space="preserve">——水流速度，m/d； </w:t>
      </w:r>
    </w:p>
    <w:p w14:paraId="7735B065">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n</w:t>
      </w:r>
      <w:r>
        <w:rPr>
          <w:rFonts w:hint="default" w:ascii="Times New Roman" w:hAnsi="Times New Roman" w:eastAsia="宋体" w:cs="Times New Roman"/>
          <w:color w:val="000000"/>
          <w:kern w:val="0"/>
          <w:sz w:val="24"/>
          <w:szCs w:val="24"/>
          <w:vertAlign w:val="subscript"/>
          <w:lang w:val="en-US" w:eastAsia="zh-CN" w:bidi="ar"/>
        </w:rPr>
        <w:t>e</w:t>
      </w:r>
      <w:r>
        <w:rPr>
          <w:rFonts w:hint="default" w:ascii="Times New Roman" w:hAnsi="Times New Roman" w:eastAsia="宋体" w:cs="Times New Roman"/>
          <w:color w:val="000000"/>
          <w:kern w:val="0"/>
          <w:sz w:val="24"/>
          <w:szCs w:val="24"/>
          <w:lang w:val="en-US" w:eastAsia="zh-CN" w:bidi="ar"/>
        </w:rPr>
        <w:t xml:space="preserve"> ——有效孔隙度，量纲为 1； </w:t>
      </w:r>
    </w:p>
    <w:p w14:paraId="29E0D7FD">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DL ——纵向弥散系数，m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 xml:space="preserve">/d； </w:t>
      </w:r>
    </w:p>
    <w:p w14:paraId="6AC2BA70">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i/>
          <w:iCs/>
          <w:color w:val="000000"/>
          <w:kern w:val="0"/>
          <w:sz w:val="24"/>
          <w:szCs w:val="24"/>
          <w:lang w:val="en-US" w:eastAsia="zh-CN" w:bidi="ar"/>
        </w:rPr>
        <w:t xml:space="preserve">π </w:t>
      </w:r>
      <w:r>
        <w:rPr>
          <w:rFonts w:hint="default" w:ascii="Times New Roman" w:hAnsi="Times New Roman" w:eastAsia="宋体" w:cs="Times New Roman"/>
          <w:color w:val="000000"/>
          <w:kern w:val="0"/>
          <w:sz w:val="24"/>
          <w:szCs w:val="24"/>
          <w:lang w:val="en-US" w:eastAsia="zh-CN" w:bidi="ar"/>
        </w:rPr>
        <w:t>——圆周率。</w:t>
      </w:r>
    </w:p>
    <w:p w14:paraId="299BFD31">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2)预测模型参数确定</w:t>
      </w:r>
    </w:p>
    <w:p w14:paraId="6DFEC458">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模型需要的参数有:土层的有效孔隙度n;水流速度u;污染物在土层中的纵向弥散系数D</w:t>
      </w:r>
      <w:r>
        <w:rPr>
          <w:rFonts w:hint="default" w:ascii="Times New Roman" w:hAnsi="Times New Roman" w:eastAsia="宋体" w:cs="Times New Roman"/>
          <w:color w:val="000000"/>
          <w:kern w:val="0"/>
          <w:sz w:val="24"/>
          <w:szCs w:val="24"/>
          <w:vertAlign w:val="subscript"/>
          <w:lang w:val="en-US" w:eastAsia="zh-CN" w:bidi="ar"/>
        </w:rPr>
        <w:t>L</w:t>
      </w:r>
      <w:r>
        <w:rPr>
          <w:rFonts w:hint="default" w:ascii="Times New Roman" w:hAnsi="Times New Roman" w:eastAsia="宋体" w:cs="Times New Roman"/>
          <w:color w:val="000000"/>
          <w:kern w:val="0"/>
          <w:sz w:val="24"/>
          <w:szCs w:val="24"/>
          <w:lang w:val="en-US" w:eastAsia="zh-CN" w:bidi="ar"/>
        </w:rPr>
        <w:t>。这些参数主要由类比相同土层的成果资料确定。</w:t>
      </w:r>
    </w:p>
    <w:p w14:paraId="13AA873C">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①渗透系数</w:t>
      </w:r>
    </w:p>
    <w:p w14:paraId="4D24E021">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根据前文所述，项目厂区潜水含水层土层主要为粘土和粉砂土质，潜水含水层渗透系数取值根据《环境影响评价技术导则地下水环境》(HJ610-2016)附录B 中表 B.1推荐的经验值，渗透系数K取值 0.5m/d。</w:t>
      </w:r>
    </w:p>
    <w:p w14:paraId="022F0B08">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②孔隙度</w:t>
      </w:r>
    </w:p>
    <w:p w14:paraId="0DE6162D">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岩石和土壤孔隙度的大小与颗粒的排列方式、颗粒大小、分选性、颗粒形状以及胶结程度有关。研究区的岩性主要为杂填土、粉质黏土、粗砂和粉砂岩土质，孔隙度取值为 0.34。</w:t>
      </w:r>
    </w:p>
    <w:p w14:paraId="33A1D440">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rPr>
        <w:t>③地下水</w:t>
      </w:r>
      <w:r>
        <w:rPr>
          <w:rFonts w:hint="default" w:ascii="Times New Roman" w:hAnsi="Times New Roman" w:eastAsia="宋体" w:cs="Times New Roman"/>
          <w:sz w:val="24"/>
          <w:szCs w:val="24"/>
          <w:lang w:val="en-US" w:eastAsia="zh-CN"/>
        </w:rPr>
        <w:t>流速</w:t>
      </w:r>
    </w:p>
    <w:p w14:paraId="456D92DB">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项目区域地下水平均流速采用下列公式计算。</w:t>
      </w:r>
    </w:p>
    <w:p w14:paraId="308DE31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rPr>
        <w:t>U=K×U</w:t>
      </w:r>
      <w:r>
        <w:rPr>
          <w:rFonts w:hint="default" w:ascii="Times New Roman" w:hAnsi="Times New Roman" w:eastAsia="宋体" w:cs="Times New Roman"/>
          <w:sz w:val="24"/>
          <w:szCs w:val="24"/>
          <w:lang w:val="en-US" w:eastAsia="zh-CN"/>
        </w:rPr>
        <w:t>/n</w:t>
      </w:r>
    </w:p>
    <w:p w14:paraId="24D14878">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式中:</w:t>
      </w:r>
    </w:p>
    <w:p w14:paraId="583B8080">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U一地下水水流速度，m/d;</w:t>
      </w:r>
    </w:p>
    <w:p w14:paraId="056018DB">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K一渗透系数，取 0.5m/d;</w:t>
      </w:r>
    </w:p>
    <w:p w14:paraId="028EB69E">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I一水力坡度，根据项目地下水监测资料，项目区域水力坡度I约为1.71‰;</w:t>
      </w:r>
    </w:p>
    <w:p w14:paraId="65C0957C">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n一有效孔隙度，取 0.34;</w:t>
      </w:r>
    </w:p>
    <w:p w14:paraId="197EE919">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场地地下水流速:U=0.5×0.017/0.34=0.0025m/d。</w:t>
      </w:r>
    </w:p>
    <w:p w14:paraId="11546B2A">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④纵向弥散系数</w:t>
      </w:r>
    </w:p>
    <w:p w14:paraId="3D7F1E66">
      <w:pPr>
        <w:keepNext w:val="0"/>
        <w:keepLines w:val="0"/>
        <w:pageBreakBefore w:val="0"/>
        <w:widowControl/>
        <w:suppressLineNumbers w:val="0"/>
        <w:kinsoku/>
        <w:wordWrap/>
        <w:overflowPunct/>
        <w:topLinePunct w:val="0"/>
        <w:autoSpaceDE/>
        <w:autoSpaceDN/>
        <w:bidi w:val="0"/>
        <w:adjustRightInd/>
        <w:snapToGrid/>
        <w:ind w:left="0" w:leftChars="0"/>
        <w:jc w:val="both"/>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弥散系数是污染物溶质运移的关键参数,地质介质中溶质运移主要受渗透系数在空间上变化的制约，即地质介质的结构影响。这一空间上变化影响到地下水流速，从而影响到溶质的对流与弥散。考虑到弥散系数的尺度效应问题，参考孔隙介质解析模型，结合本次评价的模型研究尺度大小，综合确定弥散度的取值应介于 1~10 之间，本次α</w:t>
      </w:r>
      <w:r>
        <w:rPr>
          <w:rFonts w:hint="default"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sz w:val="24"/>
          <w:szCs w:val="24"/>
          <w:lang w:val="en-US"/>
        </w:rPr>
        <w:t>取 10m。由此计算项目场地内的纵向弥散系数:</w:t>
      </w:r>
    </w:p>
    <w:p w14:paraId="19609CA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rPr>
        <w:t>D</w:t>
      </w:r>
      <w:r>
        <w:rPr>
          <w:rFonts w:hint="default" w:ascii="Times New Roman" w:hAnsi="Times New Roman" w:eastAsia="宋体" w:cs="Times New Roman"/>
          <w:sz w:val="24"/>
          <w:szCs w:val="24"/>
          <w:vertAlign w:val="subscript"/>
          <w:lang w:val="en-US"/>
        </w:rPr>
        <w:t>L</w:t>
      </w:r>
      <w:r>
        <w:rPr>
          <w:rFonts w:hint="default" w:ascii="Times New Roman" w:hAnsi="Times New Roman" w:eastAsia="宋体" w:cs="Times New Roman"/>
          <w:sz w:val="24"/>
          <w:szCs w:val="24"/>
          <w:lang w:val="en-US"/>
        </w:rPr>
        <w:t>=α</w:t>
      </w:r>
      <w:r>
        <w:rPr>
          <w:rFonts w:hint="default"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sz w:val="24"/>
          <w:szCs w:val="24"/>
          <w:lang w:val="en-US"/>
        </w:rPr>
        <w:t>×u</w:t>
      </w:r>
    </w:p>
    <w:p w14:paraId="20360D9E">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i w:val="0"/>
          <w:iCs w:val="0"/>
          <w:caps w:val="0"/>
          <w:spacing w:val="0"/>
          <w:sz w:val="24"/>
          <w:szCs w:val="24"/>
          <w:shd w:val="clear" w:fill="FFFFFF"/>
          <w:vertAlign w:val="baseline"/>
          <w:lang w:val="en-US" w:eastAsia="zh-CN"/>
        </w:rPr>
      </w:pPr>
      <w:r>
        <w:rPr>
          <w:rFonts w:hint="default" w:ascii="Times New Roman" w:hAnsi="Times New Roman" w:eastAsia="宋体" w:cs="Times New Roman"/>
          <w:i w:val="0"/>
          <w:iCs w:val="0"/>
          <w:caps w:val="0"/>
          <w:spacing w:val="0"/>
          <w:sz w:val="24"/>
          <w:szCs w:val="24"/>
          <w:shd w:val="clear" w:fill="FFFFFF"/>
          <w:vertAlign w:val="baseline"/>
          <w:lang w:val="en-US" w:eastAsia="zh-CN"/>
        </w:rPr>
        <w:t>式中:</w:t>
      </w:r>
    </w:p>
    <w:p w14:paraId="4F0B98CE">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i w:val="0"/>
          <w:iCs w:val="0"/>
          <w:caps w:val="0"/>
          <w:spacing w:val="0"/>
          <w:sz w:val="24"/>
          <w:szCs w:val="24"/>
          <w:shd w:val="clear" w:fill="FFFFFF"/>
          <w:vertAlign w:val="baseline"/>
          <w:lang w:val="en-US" w:eastAsia="zh-CN"/>
        </w:rPr>
      </w:pPr>
      <w:r>
        <w:rPr>
          <w:rFonts w:hint="default" w:ascii="Times New Roman" w:hAnsi="Times New Roman" w:eastAsia="宋体" w:cs="Times New Roman"/>
          <w:sz w:val="24"/>
          <w:szCs w:val="24"/>
          <w:lang w:val="en-US"/>
        </w:rPr>
        <w:t>D</w:t>
      </w:r>
      <w:r>
        <w:rPr>
          <w:rFonts w:hint="default" w:ascii="Times New Roman" w:hAnsi="Times New Roman" w:eastAsia="宋体" w:cs="Times New Roman"/>
          <w:sz w:val="24"/>
          <w:szCs w:val="24"/>
          <w:vertAlign w:val="subscript"/>
          <w:lang w:val="en-US"/>
        </w:rPr>
        <w:t>L</w:t>
      </w:r>
      <w:r>
        <w:rPr>
          <w:rFonts w:hint="default" w:ascii="Times New Roman" w:hAnsi="Times New Roman" w:eastAsia="宋体" w:cs="Times New Roman"/>
          <w:i w:val="0"/>
          <w:iCs w:val="0"/>
          <w:caps w:val="0"/>
          <w:spacing w:val="0"/>
          <w:sz w:val="24"/>
          <w:szCs w:val="24"/>
          <w:shd w:val="clear" w:fill="FFFFFF"/>
          <w:vertAlign w:val="baseline"/>
          <w:lang w:val="en-US" w:eastAsia="zh-CN"/>
        </w:rPr>
        <w:t>,-土层中的弥散系数(m</w:t>
      </w:r>
      <w:r>
        <w:rPr>
          <w:rFonts w:hint="default" w:ascii="Times New Roman" w:hAnsi="Times New Roman" w:eastAsia="宋体" w:cs="Times New Roman"/>
          <w:i w:val="0"/>
          <w:iCs w:val="0"/>
          <w:caps w:val="0"/>
          <w:spacing w:val="0"/>
          <w:sz w:val="24"/>
          <w:szCs w:val="24"/>
          <w:shd w:val="clear" w:fill="FFFFFF"/>
          <w:vertAlign w:val="superscript"/>
          <w:lang w:val="en-US" w:eastAsia="zh-CN"/>
        </w:rPr>
        <w:t>2</w:t>
      </w:r>
      <w:r>
        <w:rPr>
          <w:rFonts w:hint="default" w:ascii="Times New Roman" w:hAnsi="Times New Roman" w:eastAsia="宋体" w:cs="Times New Roman"/>
          <w:i w:val="0"/>
          <w:iCs w:val="0"/>
          <w:caps w:val="0"/>
          <w:spacing w:val="0"/>
          <w:sz w:val="24"/>
          <w:szCs w:val="24"/>
          <w:shd w:val="clear" w:fill="FFFFFF"/>
          <w:vertAlign w:val="baseline"/>
          <w:lang w:val="en-US" w:eastAsia="zh-CN"/>
        </w:rPr>
        <w:t>/d);</w:t>
      </w:r>
    </w:p>
    <w:p w14:paraId="5EC896C6">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i w:val="0"/>
          <w:iCs w:val="0"/>
          <w:caps w:val="0"/>
          <w:spacing w:val="0"/>
          <w:sz w:val="24"/>
          <w:szCs w:val="24"/>
          <w:shd w:val="clear" w:fill="FFFFFF"/>
          <w:vertAlign w:val="baseline"/>
          <w:lang w:val="en-US" w:eastAsia="zh-CN"/>
        </w:rPr>
      </w:pPr>
      <w:r>
        <w:rPr>
          <w:rFonts w:hint="default" w:ascii="Times New Roman" w:hAnsi="Times New Roman" w:eastAsia="宋体" w:cs="Times New Roman"/>
          <w:sz w:val="24"/>
          <w:szCs w:val="24"/>
          <w:lang w:val="en-US"/>
        </w:rPr>
        <w:t>α</w:t>
      </w:r>
      <w:r>
        <w:rPr>
          <w:rFonts w:hint="default"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i w:val="0"/>
          <w:iCs w:val="0"/>
          <w:caps w:val="0"/>
          <w:spacing w:val="0"/>
          <w:sz w:val="24"/>
          <w:szCs w:val="24"/>
          <w:shd w:val="clear" w:fill="FFFFFF"/>
          <w:vertAlign w:val="baseline"/>
          <w:lang w:val="en-US" w:eastAsia="zh-CN"/>
        </w:rPr>
        <w:t>一土层中的弥散度(m)，取10m;</w:t>
      </w:r>
    </w:p>
    <w:p w14:paraId="44805417">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i w:val="0"/>
          <w:iCs w:val="0"/>
          <w:caps w:val="0"/>
          <w:spacing w:val="0"/>
          <w:sz w:val="24"/>
          <w:szCs w:val="24"/>
          <w:shd w:val="clear" w:fill="FFFFFF"/>
          <w:vertAlign w:val="baseline"/>
          <w:lang w:val="en-US" w:eastAsia="zh-CN"/>
        </w:rPr>
      </w:pPr>
      <w:r>
        <w:rPr>
          <w:rFonts w:hint="default" w:ascii="Times New Roman" w:hAnsi="Times New Roman" w:eastAsia="宋体" w:cs="Times New Roman"/>
          <w:i w:val="0"/>
          <w:iCs w:val="0"/>
          <w:caps w:val="0"/>
          <w:spacing w:val="0"/>
          <w:sz w:val="24"/>
          <w:szCs w:val="24"/>
          <w:shd w:val="clear" w:fill="FFFFFF"/>
          <w:vertAlign w:val="baseline"/>
          <w:lang w:val="en-US" w:eastAsia="zh-CN"/>
        </w:rPr>
        <w:t>u-土层中的地下水的流速(m/d)，取 0.0025m/d。按照上式计算可得场地的纵向弥散系数</w:t>
      </w:r>
      <w:r>
        <w:rPr>
          <w:rFonts w:hint="default" w:ascii="Times New Roman" w:hAnsi="Times New Roman" w:eastAsia="宋体" w:cs="Times New Roman"/>
          <w:sz w:val="24"/>
          <w:szCs w:val="24"/>
          <w:lang w:val="en-US"/>
        </w:rPr>
        <w:t>D</w:t>
      </w:r>
      <w:r>
        <w:rPr>
          <w:rFonts w:hint="default" w:ascii="Times New Roman" w:hAnsi="Times New Roman" w:eastAsia="宋体" w:cs="Times New Roman"/>
          <w:sz w:val="24"/>
          <w:szCs w:val="24"/>
          <w:vertAlign w:val="subscript"/>
          <w:lang w:val="en-US"/>
        </w:rPr>
        <w:t>L</w:t>
      </w:r>
      <w:r>
        <w:rPr>
          <w:rFonts w:hint="default" w:ascii="Times New Roman" w:hAnsi="Times New Roman" w:eastAsia="宋体" w:cs="Times New Roman"/>
          <w:i w:val="0"/>
          <w:iCs w:val="0"/>
          <w:caps w:val="0"/>
          <w:spacing w:val="0"/>
          <w:sz w:val="24"/>
          <w:szCs w:val="24"/>
          <w:shd w:val="clear" w:fill="FFFFFF"/>
          <w:vertAlign w:val="baseline"/>
          <w:lang w:val="en-US" w:eastAsia="zh-CN"/>
        </w:rPr>
        <w:t>=0.025m</w:t>
      </w:r>
      <w:r>
        <w:rPr>
          <w:rFonts w:hint="default" w:ascii="Times New Roman" w:hAnsi="Times New Roman" w:eastAsia="宋体" w:cs="Times New Roman"/>
          <w:i w:val="0"/>
          <w:iCs w:val="0"/>
          <w:caps w:val="0"/>
          <w:spacing w:val="0"/>
          <w:sz w:val="24"/>
          <w:szCs w:val="24"/>
          <w:shd w:val="clear" w:fill="FFFFFF"/>
          <w:vertAlign w:val="superscript"/>
          <w:lang w:val="en-US" w:eastAsia="zh-CN"/>
        </w:rPr>
        <w:t>2</w:t>
      </w:r>
      <w:r>
        <w:rPr>
          <w:rFonts w:hint="default" w:ascii="Times New Roman" w:hAnsi="Times New Roman" w:eastAsia="宋体" w:cs="Times New Roman"/>
          <w:i w:val="0"/>
          <w:iCs w:val="0"/>
          <w:caps w:val="0"/>
          <w:spacing w:val="0"/>
          <w:sz w:val="24"/>
          <w:szCs w:val="24"/>
          <w:shd w:val="clear" w:fill="FFFFFF"/>
          <w:vertAlign w:val="baseline"/>
          <w:lang w:val="en-US" w:eastAsia="zh-CN"/>
        </w:rPr>
        <w:t>/d。</w:t>
      </w:r>
    </w:p>
    <w:p w14:paraId="0DEA23CF">
      <w:pPr>
        <w:pStyle w:val="22"/>
        <w:ind w:left="0" w:leftChars="0" w:firstLine="0" w:firstLineChars="0"/>
        <w:rPr>
          <w:rFonts w:hint="eastAsia" w:eastAsia="宋体" w:cs="Times New Roman"/>
          <w:b/>
          <w:bCs/>
          <w:i w:val="0"/>
          <w:iCs w:val="0"/>
          <w:caps w:val="0"/>
          <w:spacing w:val="0"/>
          <w:sz w:val="24"/>
          <w:szCs w:val="24"/>
          <w:shd w:val="clear" w:fill="FFFFFF"/>
          <w:vertAlign w:val="baseline"/>
          <w:lang w:val="en-US" w:eastAsia="zh-CN"/>
        </w:rPr>
      </w:pPr>
      <w:r>
        <w:rPr>
          <w:rFonts w:hint="eastAsia" w:eastAsia="宋体" w:cs="Times New Roman"/>
          <w:b/>
          <w:bCs/>
          <w:i w:val="0"/>
          <w:iCs w:val="0"/>
          <w:caps w:val="0"/>
          <w:spacing w:val="0"/>
          <w:sz w:val="24"/>
          <w:szCs w:val="24"/>
          <w:shd w:val="clear" w:fill="FFFFFF"/>
          <w:vertAlign w:val="baseline"/>
          <w:lang w:val="en-US" w:eastAsia="zh-CN"/>
        </w:rPr>
        <w:t>（4）预测结果</w:t>
      </w:r>
    </w:p>
    <w:p w14:paraId="4ECBDB80">
      <w:pPr>
        <w:pStyle w:val="22"/>
        <w:keepNext w:val="0"/>
        <w:keepLines w:val="0"/>
        <w:pageBreakBefore w:val="0"/>
        <w:kinsoku/>
        <w:wordWrap/>
        <w:overflowPunct/>
        <w:topLinePunct w:val="0"/>
        <w:autoSpaceDE/>
        <w:autoSpaceDN/>
        <w:bidi w:val="0"/>
        <w:adjustRightInd/>
        <w:snapToGrid/>
        <w:spacing w:after="0" w:afterLines="0"/>
        <w:ind w:left="0" w:leftChars="0"/>
        <w:jc w:val="both"/>
        <w:textAlignment w:val="auto"/>
        <w:rPr>
          <w:rFonts w:hint="default" w:ascii="Times New Roman" w:hAnsi="Times New Roman" w:eastAsia="宋体" w:cs="Times New Roman"/>
          <w:i w:val="0"/>
          <w:iCs w:val="0"/>
          <w:caps w:val="0"/>
          <w:spacing w:val="0"/>
          <w:sz w:val="24"/>
          <w:szCs w:val="24"/>
          <w:shd w:val="clear" w:fill="FFFFFF"/>
          <w:vertAlign w:val="baseline"/>
          <w:lang w:val="en-US" w:eastAsia="zh-CN"/>
        </w:rPr>
      </w:pPr>
      <w:r>
        <w:rPr>
          <w:rFonts w:hint="default" w:ascii="Times New Roman" w:hAnsi="Times New Roman" w:eastAsia="宋体" w:cs="Times New Roman"/>
          <w:i w:val="0"/>
          <w:iCs w:val="0"/>
          <w:caps w:val="0"/>
          <w:spacing w:val="0"/>
          <w:sz w:val="24"/>
          <w:szCs w:val="24"/>
          <w:shd w:val="clear" w:fill="FFFFFF"/>
          <w:vertAlign w:val="baseline"/>
          <w:lang w:val="en-US" w:eastAsia="zh-CN"/>
        </w:rPr>
        <w:t>结合《环境影响评价技术导则一地下水环境》(HJ610-2016)，选取泄漏后1d、10d、</w:t>
      </w:r>
      <w:r>
        <w:rPr>
          <w:rFonts w:hint="eastAsia" w:eastAsia="宋体" w:cs="Times New Roman"/>
          <w:i w:val="0"/>
          <w:iCs w:val="0"/>
          <w:caps w:val="0"/>
          <w:spacing w:val="0"/>
          <w:sz w:val="24"/>
          <w:szCs w:val="24"/>
          <w:shd w:val="clear" w:fill="FFFFFF"/>
          <w:vertAlign w:val="baseline"/>
          <w:lang w:val="en-US" w:eastAsia="zh-CN"/>
        </w:rPr>
        <w:t>60d、</w:t>
      </w:r>
      <w:r>
        <w:rPr>
          <w:rFonts w:hint="default" w:ascii="Times New Roman" w:hAnsi="Times New Roman" w:eastAsia="宋体" w:cs="Times New Roman"/>
          <w:i w:val="0"/>
          <w:iCs w:val="0"/>
          <w:caps w:val="0"/>
          <w:spacing w:val="0"/>
          <w:sz w:val="24"/>
          <w:szCs w:val="24"/>
          <w:shd w:val="clear" w:fill="FFFFFF"/>
          <w:vertAlign w:val="baseline"/>
          <w:lang w:val="en-US" w:eastAsia="zh-CN"/>
        </w:rPr>
        <w:t>100d、365d、1000d等进行预测。</w:t>
      </w:r>
      <w:r>
        <w:rPr>
          <w:rFonts w:hint="eastAsia" w:eastAsia="宋体" w:cs="Times New Roman"/>
          <w:i w:val="0"/>
          <w:iCs w:val="0"/>
          <w:caps w:val="0"/>
          <w:spacing w:val="0"/>
          <w:sz w:val="24"/>
          <w:szCs w:val="24"/>
          <w:shd w:val="clear" w:fill="FFFFFF"/>
          <w:vertAlign w:val="baseline"/>
          <w:lang w:val="en-US" w:eastAsia="zh-CN"/>
        </w:rPr>
        <w:t>预测结果见下表。</w:t>
      </w:r>
    </w:p>
    <w:p w14:paraId="460EFCA0">
      <w:pPr>
        <w:pStyle w:val="22"/>
        <w:rPr>
          <w:rFonts w:hint="default" w:ascii="Times New Roman" w:hAnsi="Times New Roman" w:eastAsia="宋体" w:cs="Times New Roman"/>
          <w:b/>
          <w:bCs/>
          <w:i w:val="0"/>
          <w:iCs w:val="0"/>
          <w:caps w:val="0"/>
          <w:spacing w:val="0"/>
          <w:sz w:val="24"/>
          <w:szCs w:val="24"/>
          <w:shd w:val="clear" w:fill="FFFFFF"/>
          <w:vertAlign w:val="baseline"/>
          <w:lang w:val="en-US" w:eastAsia="zh-CN"/>
        </w:rPr>
      </w:pPr>
      <w:r>
        <w:rPr>
          <w:rFonts w:hint="eastAsia" w:eastAsia="宋体" w:cs="Times New Roman"/>
          <w:b/>
          <w:bCs/>
          <w:i w:val="0"/>
          <w:iCs w:val="0"/>
          <w:caps w:val="0"/>
          <w:spacing w:val="0"/>
          <w:sz w:val="24"/>
          <w:szCs w:val="24"/>
          <w:shd w:val="clear" w:fill="FFFFFF"/>
          <w:vertAlign w:val="baseline"/>
          <w:lang w:val="en-US" w:eastAsia="zh-CN"/>
        </w:rPr>
        <w:t>表6.4-2 非正常工况下本项目厂址地下水石油类预测结果一览表</w:t>
      </w:r>
      <w:r>
        <w:rPr>
          <w:rFonts w:hint="eastAsia" w:eastAsia="宋体" w:cs="Times New Roman"/>
          <w:b/>
          <w:bCs/>
          <w:i w:val="0"/>
          <w:iCs w:val="0"/>
          <w:caps w:val="0"/>
          <w:spacing w:val="0"/>
          <w:sz w:val="21"/>
          <w:szCs w:val="21"/>
          <w:shd w:val="clear" w:fill="FFFFFF"/>
          <w:vertAlign w:val="baseline"/>
          <w:lang w:val="en-US" w:eastAsia="zh-CN"/>
        </w:rPr>
        <w:t>（mg/L）</w:t>
      </w:r>
    </w:p>
    <w:tbl>
      <w:tblPr>
        <w:tblStyle w:val="23"/>
        <w:tblpPr w:leftFromText="180" w:rightFromText="180" w:vertAnchor="text" w:horzAnchor="page" w:tblpX="1801" w:tblpY="108"/>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1"/>
        <w:gridCol w:w="1331"/>
        <w:gridCol w:w="1842"/>
        <w:gridCol w:w="1331"/>
        <w:gridCol w:w="1331"/>
        <w:gridCol w:w="1366"/>
      </w:tblGrid>
      <w:tr w14:paraId="1B4D8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4"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6A02929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mc:AlternateContent>
                <mc:Choice Requires="wpsCustomData">
                  <wpsCustomData:diagonalParaType/>
                </mc:Choice>
              </mc:AlternateConten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距离</w:t>
            </w:r>
            <w:r>
              <w:rPr>
                <w:rFonts w:hint="eastAsia" w:eastAsia="宋体" w:cs="Times New Roman"/>
                <w:i w:val="0"/>
                <w:iCs w:val="0"/>
                <w:color w:val="000000"/>
                <w:kern w:val="0"/>
                <w:sz w:val="21"/>
                <w:szCs w:val="21"/>
                <w:u w:val="none"/>
                <w:lang w:val="en-US" w:eastAsia="zh-CN" w:bidi="ar"/>
              </w:rPr>
              <w:t>(m)</w:t>
            </w:r>
          </w:p>
          <w:p w14:paraId="0B583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cs="Times New Roman"/>
                <w:i w:val="0"/>
                <w:iCs w:val="0"/>
                <w:color w:val="000000"/>
                <w:kern w:val="0"/>
                <w:sz w:val="21"/>
                <w:szCs w:val="21"/>
                <w:u w:val="none"/>
                <w:lang w:val="en-US" w:eastAsia="zh-CN" w:bidi="ar"/>
              </w:rPr>
              <w:t>时间（d）</w:t>
            </w:r>
          </w:p>
        </w:tc>
        <w:tc>
          <w:tcPr>
            <w:tcW w:w="781" w:type="pct"/>
            <w:tcBorders>
              <w:top w:val="single" w:color="000000" w:sz="4" w:space="0"/>
              <w:left w:val="single" w:color="000000" w:sz="4" w:space="0"/>
              <w:right w:val="single" w:color="000000" w:sz="4" w:space="0"/>
            </w:tcBorders>
            <w:shd w:val="clear" w:color="auto" w:fill="auto"/>
            <w:noWrap/>
            <w:vAlign w:val="center"/>
          </w:tcPr>
          <w:p w14:paraId="40C79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81" w:type="pct"/>
            <w:tcBorders>
              <w:top w:val="single" w:color="000000" w:sz="4" w:space="0"/>
              <w:left w:val="single" w:color="000000" w:sz="4" w:space="0"/>
              <w:right w:val="single" w:color="000000" w:sz="4" w:space="0"/>
            </w:tcBorders>
            <w:shd w:val="clear" w:color="auto" w:fill="auto"/>
            <w:noWrap/>
            <w:vAlign w:val="center"/>
          </w:tcPr>
          <w:p w14:paraId="37F451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781" w:type="pct"/>
            <w:tcBorders>
              <w:top w:val="single" w:color="000000" w:sz="4" w:space="0"/>
              <w:left w:val="single" w:color="000000" w:sz="4" w:space="0"/>
              <w:right w:val="single" w:color="000000" w:sz="4" w:space="0"/>
            </w:tcBorders>
            <w:shd w:val="clear" w:color="auto" w:fill="auto"/>
            <w:noWrap/>
            <w:vAlign w:val="center"/>
          </w:tcPr>
          <w:p w14:paraId="13063E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781" w:type="pct"/>
            <w:tcBorders>
              <w:top w:val="single" w:color="000000" w:sz="4" w:space="0"/>
              <w:left w:val="single" w:color="000000" w:sz="4" w:space="0"/>
              <w:right w:val="single" w:color="000000" w:sz="4" w:space="0"/>
            </w:tcBorders>
            <w:shd w:val="clear" w:color="auto" w:fill="auto"/>
            <w:noWrap/>
            <w:vAlign w:val="center"/>
          </w:tcPr>
          <w:p w14:paraId="2000C2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365 </w:t>
            </w:r>
          </w:p>
        </w:tc>
        <w:tc>
          <w:tcPr>
            <w:tcW w:w="802" w:type="pct"/>
            <w:tcBorders>
              <w:top w:val="single" w:color="000000" w:sz="4" w:space="0"/>
              <w:left w:val="single" w:color="000000" w:sz="4" w:space="0"/>
              <w:right w:val="single" w:color="000000" w:sz="4" w:space="0"/>
            </w:tcBorders>
            <w:shd w:val="clear" w:color="auto" w:fill="auto"/>
            <w:noWrap/>
            <w:vAlign w:val="center"/>
          </w:tcPr>
          <w:p w14:paraId="2CAC9E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1000 </w:t>
            </w:r>
          </w:p>
        </w:tc>
      </w:tr>
      <w:tr w14:paraId="7E503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F74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0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5.55E+06</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54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2260000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833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1.74E+06</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36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8.98E+05</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CD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5.21E+05</w:t>
            </w:r>
          </w:p>
        </w:tc>
      </w:tr>
      <w:tr w14:paraId="1635E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32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9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9.89E-05</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39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44900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E74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1.84E+05</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C2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5.81E+05</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C80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5.21E+05</w:t>
            </w:r>
          </w:p>
        </w:tc>
      </w:tr>
      <w:tr w14:paraId="46DED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3C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7F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3.40E-37</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FA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8B6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1.31E+02</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A1F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9.56E+04</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5E0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3.16E+05</w:t>
            </w:r>
          </w:p>
        </w:tc>
      </w:tr>
      <w:tr w14:paraId="598AF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042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65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ED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5E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6.25E-04</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94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4.00E+03</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8D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1.16E+05</w:t>
            </w:r>
          </w:p>
        </w:tc>
      </w:tr>
      <w:tr w14:paraId="476C7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27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C9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B78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0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2.01E-11</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DA6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4.25E+01</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F81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2.60E+04</w:t>
            </w:r>
          </w:p>
        </w:tc>
      </w:tr>
      <w:tr w14:paraId="5EA57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3A7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E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AF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DC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4.37E-21</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7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1.15E-01</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4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3.51E+03</w:t>
            </w:r>
          </w:p>
        </w:tc>
      </w:tr>
      <w:tr w14:paraId="3F3C1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D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03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0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010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6.40E-33</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77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7.87E-05</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ED3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2.88E+02</w:t>
            </w:r>
          </w:p>
        </w:tc>
      </w:tr>
      <w:tr w14:paraId="2BAB9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78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85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D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1D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32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1.37E-08</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B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1.44E+01</w:t>
            </w:r>
          </w:p>
        </w:tc>
      </w:tr>
      <w:tr w14:paraId="69B68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00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E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5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D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43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6.08E-13</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32C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4.33E-01</w:t>
            </w:r>
          </w:p>
        </w:tc>
      </w:tr>
      <w:tr w14:paraId="766F4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8EA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7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E16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90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7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6.85E-18</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1A4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7.94E-03</w:t>
            </w:r>
          </w:p>
        </w:tc>
      </w:tr>
      <w:tr w14:paraId="076A0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3F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F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E9E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D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1B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1.96E-23</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44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8.82E-05</w:t>
            </w:r>
          </w:p>
        </w:tc>
      </w:tr>
      <w:tr w14:paraId="306CD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A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785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A1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103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47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1.43E-29</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F86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5.94E-07</w:t>
            </w:r>
          </w:p>
        </w:tc>
      </w:tr>
      <w:tr w14:paraId="402C9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C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1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73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0AB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2E9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2.64E-36</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1B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2.43E-09</w:t>
            </w:r>
          </w:p>
        </w:tc>
      </w:tr>
      <w:tr w14:paraId="2E068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25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AF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63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9E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A5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1.25E-43</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593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6.02E-12</w:t>
            </w:r>
          </w:p>
        </w:tc>
      </w:tr>
      <w:tr w14:paraId="5529B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1F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A8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D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47B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AA4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F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9.05E-15</w:t>
            </w:r>
          </w:p>
        </w:tc>
      </w:tr>
      <w:tr w14:paraId="373A3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1B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D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57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6B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42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05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8.25E-18</w:t>
            </w:r>
          </w:p>
        </w:tc>
      </w:tr>
      <w:tr w14:paraId="4D669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BE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38E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4E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E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51E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D5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4.56E-21</w:t>
            </w:r>
          </w:p>
        </w:tc>
      </w:tr>
      <w:tr w14:paraId="3446D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81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57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9BB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1DB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1D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5E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1.53E-24</w:t>
            </w:r>
          </w:p>
        </w:tc>
      </w:tr>
      <w:tr w14:paraId="26888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BD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241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994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D7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70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DD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3.12E-28</w:t>
            </w:r>
          </w:p>
        </w:tc>
      </w:tr>
      <w:tr w14:paraId="06EC6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A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95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80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24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39C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B6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84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3.84E-32</w:t>
            </w:r>
          </w:p>
        </w:tc>
      </w:tr>
      <w:tr w14:paraId="7606A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42C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DC2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35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 </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62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E3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0.00E+00</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0AA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2.88E-36</w:t>
            </w:r>
          </w:p>
        </w:tc>
      </w:tr>
    </w:tbl>
    <w:p w14:paraId="3B9554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pP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在模拟期内，非正常工况下，</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硅油桶底部</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开裂与防渗层破裂情景下，污染物在运移的过程中随着地下水的稀释作用，浓度逐渐降低，随着时间的增长，污染物运移范围随之扩大。</w:t>
      </w:r>
    </w:p>
    <w:p w14:paraId="7F8287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pP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在模拟期内，第10d时，</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石油类</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沿地下水流向最大超标距离约</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4m，</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未超出厂区边界；</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第6</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0d时，</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石油类</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沿地下水流向</w:t>
      </w:r>
      <w:r>
        <w:rPr>
          <w:rFonts w:hint="eastAsia" w:ascii="Times New Roman" w:hAnsi="Times New Roman" w:eastAsia="宋体" w:cs="Times New Roman"/>
          <w:i w:val="0"/>
          <w:iCs w:val="0"/>
          <w:caps w:val="0"/>
          <w:spacing w:val="0"/>
          <w:kern w:val="2"/>
          <w:sz w:val="24"/>
          <w:szCs w:val="24"/>
          <w:shd w:val="clear" w:fill="FFFFFF"/>
          <w:vertAlign w:val="baseline"/>
          <w:lang w:val="zh-CN" w:eastAsia="zh-CN" w:bidi="ar-SA"/>
        </w:rPr>
        <w:t>超标距离最远为10m；影响距离最远为10m，</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未超出厂区边界；</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第100</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d时，</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石油类</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沿地下水流向</w:t>
      </w:r>
      <w:r>
        <w:rPr>
          <w:rFonts w:hint="eastAsia" w:ascii="Times New Roman" w:hAnsi="Times New Roman" w:eastAsia="宋体" w:cs="Times New Roman"/>
          <w:i w:val="0"/>
          <w:iCs w:val="0"/>
          <w:caps w:val="0"/>
          <w:spacing w:val="0"/>
          <w:kern w:val="2"/>
          <w:sz w:val="24"/>
          <w:szCs w:val="24"/>
          <w:shd w:val="clear" w:fill="FFFFFF"/>
          <w:vertAlign w:val="baseline"/>
          <w:lang w:val="zh-CN" w:eastAsia="zh-CN" w:bidi="ar-SA"/>
        </w:rPr>
        <w:t>超标距离最远为13m，影响距离最远为14m，</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未超出厂区边界；</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第365</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d时，</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石油类</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沿地下水流向</w:t>
      </w:r>
      <w:r>
        <w:rPr>
          <w:rFonts w:hint="eastAsia" w:ascii="Times New Roman" w:hAnsi="Times New Roman" w:eastAsia="宋体" w:cs="Times New Roman"/>
          <w:i w:val="0"/>
          <w:iCs w:val="0"/>
          <w:caps w:val="0"/>
          <w:spacing w:val="0"/>
          <w:kern w:val="2"/>
          <w:sz w:val="24"/>
          <w:szCs w:val="24"/>
          <w:shd w:val="clear" w:fill="FFFFFF"/>
          <w:vertAlign w:val="baseline"/>
          <w:lang w:val="zh-CN" w:eastAsia="zh-CN" w:bidi="ar-SA"/>
        </w:rPr>
        <w:t>超标距离最远为25m；影响距离最远为26m，</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未超出厂区边界；</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第1000</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d时，</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石油类</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沿地下水流向</w:t>
      </w:r>
      <w:r>
        <w:rPr>
          <w:rFonts w:hint="eastAsia" w:ascii="Times New Roman" w:hAnsi="Times New Roman" w:eastAsia="宋体" w:cs="Times New Roman"/>
          <w:i w:val="0"/>
          <w:iCs w:val="0"/>
          <w:caps w:val="0"/>
          <w:spacing w:val="0"/>
          <w:kern w:val="2"/>
          <w:sz w:val="24"/>
          <w:szCs w:val="24"/>
          <w:shd w:val="clear" w:fill="FFFFFF"/>
          <w:vertAlign w:val="baseline"/>
          <w:lang w:val="zh-CN" w:eastAsia="zh-CN" w:bidi="ar-SA"/>
        </w:rPr>
        <w:t>超标距离最远为42m，影响距离最远为44m，</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超出厂区边界</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w:t>
      </w:r>
    </w:p>
    <w:p w14:paraId="088EFB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pP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当发生污染物泄漏事故后，会导致其周围地下水中</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石油类</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浓度明显增加。按照不利情况，设定企业</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硅油泄漏</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事故发生7天</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内</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排查发现并立即采取相应措施进行处理，周边地下水</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石油类</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会出现超标现象。</w:t>
      </w:r>
    </w:p>
    <w:p w14:paraId="7A86C4A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i w:val="0"/>
          <w:iCs w:val="0"/>
          <w:caps w:val="0"/>
          <w:spacing w:val="0"/>
          <w:kern w:val="2"/>
          <w:sz w:val="24"/>
          <w:szCs w:val="24"/>
          <w:shd w:val="clear" w:fill="FFFFFF"/>
          <w:vertAlign w:val="baseline"/>
          <w:lang w:val="en-US" w:eastAsia="zh-CN" w:bidi="ar-SA"/>
        </w:rPr>
      </w:pPr>
      <w:r>
        <w:rPr>
          <w:rFonts w:hint="eastAsia" w:ascii="Times New Roman" w:hAnsi="Times New Roman" w:eastAsia="宋体" w:cs="Times New Roman"/>
          <w:b/>
          <w:bCs/>
          <w:i w:val="0"/>
          <w:iCs w:val="0"/>
          <w:caps w:val="0"/>
          <w:spacing w:val="0"/>
          <w:kern w:val="2"/>
          <w:sz w:val="24"/>
          <w:szCs w:val="24"/>
          <w:shd w:val="clear" w:fill="FFFFFF"/>
          <w:vertAlign w:val="baseline"/>
          <w:lang w:val="en-US" w:eastAsia="zh-CN" w:bidi="ar-SA"/>
        </w:rPr>
        <w:t>3、小结</w:t>
      </w:r>
    </w:p>
    <w:p w14:paraId="5E9606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highlight w:val="none"/>
          <w:lang w:val="en-US" w:eastAsia="zh-CN"/>
        </w:rPr>
      </w:pP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根据预测结果，</w:t>
      </w:r>
      <w:r>
        <w:rPr>
          <w:rFonts w:hint="eastAsia" w:ascii="Times New Roman" w:hAnsi="Times New Roman" w:eastAsia="宋体" w:cs="Times New Roman"/>
          <w:i w:val="0"/>
          <w:iCs w:val="0"/>
          <w:caps w:val="0"/>
          <w:spacing w:val="0"/>
          <w:kern w:val="2"/>
          <w:sz w:val="24"/>
          <w:szCs w:val="24"/>
          <w:shd w:val="clear" w:fill="FFFFFF"/>
          <w:vertAlign w:val="baseline"/>
          <w:lang w:val="en-US" w:eastAsia="zh-CN" w:bidi="ar-SA"/>
        </w:rPr>
        <w:t>硅油</w:t>
      </w:r>
      <w:r>
        <w:rPr>
          <w:rFonts w:hint="default" w:ascii="Times New Roman" w:hAnsi="Times New Roman" w:eastAsia="宋体" w:cs="Times New Roman"/>
          <w:i w:val="0"/>
          <w:iCs w:val="0"/>
          <w:caps w:val="0"/>
          <w:spacing w:val="0"/>
          <w:kern w:val="2"/>
          <w:sz w:val="24"/>
          <w:szCs w:val="24"/>
          <w:shd w:val="clear" w:fill="FFFFFF"/>
          <w:vertAlign w:val="baseline"/>
          <w:lang w:val="en-US" w:eastAsia="zh-CN" w:bidi="ar-SA"/>
        </w:rPr>
        <w:t>泄漏对地下水影响范围较小，仅影响本项目厂界周边小范围内的地下水水质，对区域地下水水质不会造成严重影响。由于地下水流速慢，扩散稀释过程时间长，地下水水质要恢复至背景水平仍需要很长时间，因此应尽量避免非正常状况发生。企业应加强设施维护和日常监管防止出现废水渗漏，发生渗漏时，企业应及时检测发现及修复渗漏。当发生污染物泄漏事故后，必须立即启动应急预案，参照预测结果，分析污染事故的发展趋势，迅速控制或切断事件灾害链，对废水进行封闭、截流，抽出废水，使污染地下水扩散得到有效抑制，最大限度地保护下游地下水水质安全，将损失降到最低限度。企业在认真落实本报告提出的各项地下水污染防治措施的基础上，项目建设对当地地下水环境产生影响可接受。</w:t>
      </w:r>
    </w:p>
    <w:p w14:paraId="70CA1D89">
      <w:pPr>
        <w:pStyle w:val="7"/>
        <w:bidi w:val="0"/>
        <w:rPr>
          <w:highlight w:val="none"/>
        </w:rPr>
      </w:pPr>
      <w:r>
        <w:rPr>
          <w:rFonts w:hint="eastAsia"/>
          <w:highlight w:val="none"/>
          <w:lang w:val="en-US" w:eastAsia="zh-CN"/>
        </w:rPr>
        <w:t>6.4.3</w:t>
      </w:r>
      <w:r>
        <w:rPr>
          <w:highlight w:val="none"/>
        </w:rPr>
        <w:t xml:space="preserve"> 地下水污染防治措施</w:t>
      </w:r>
      <w:bookmarkEnd w:id="186"/>
    </w:p>
    <w:p w14:paraId="3B98AF5A">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0"/>
          <w:sz w:val="24"/>
          <w:szCs w:val="24"/>
          <w:highlight w:val="none"/>
        </w:rPr>
        <w:t>1</w:t>
      </w:r>
      <w:r>
        <w:rPr>
          <w:rFonts w:hint="default" w:ascii="Times New Roman" w:hAnsi="Times New Roman" w:eastAsia="宋体" w:cs="Times New Roman"/>
          <w:spacing w:val="-30"/>
          <w:sz w:val="24"/>
          <w:szCs w:val="24"/>
          <w:highlight w:val="none"/>
        </w:rPr>
        <w:t xml:space="preserve"> </w:t>
      </w:r>
      <w:r>
        <w:rPr>
          <w:rFonts w:hint="default" w:ascii="Times New Roman" w:hAnsi="Times New Roman" w:eastAsia="宋体" w:cs="Times New Roman"/>
          <w:spacing w:val="-10"/>
          <w:sz w:val="24"/>
          <w:szCs w:val="24"/>
          <w:highlight w:val="none"/>
        </w:rPr>
        <w:t>、源头控制</w:t>
      </w:r>
    </w:p>
    <w:p w14:paraId="6C44DBE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8"/>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在</w:t>
      </w:r>
      <w:r>
        <w:rPr>
          <w:rFonts w:hint="eastAsia" w:ascii="Times New Roman" w:hAnsi="Times New Roman" w:eastAsia="宋体" w:cs="Times New Roman"/>
          <w:spacing w:val="-2"/>
          <w:sz w:val="24"/>
          <w:szCs w:val="24"/>
          <w:highlight w:val="none"/>
          <w:lang w:val="en-US" w:eastAsia="zh-CN"/>
        </w:rPr>
        <w:t>实验室</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1"/>
          <w:sz w:val="24"/>
          <w:szCs w:val="24"/>
          <w:highlight w:val="none"/>
        </w:rPr>
        <w:t>危险废物暂存间</w:t>
      </w:r>
      <w:r>
        <w:rPr>
          <w:rFonts w:hint="default" w:ascii="Times New Roman" w:hAnsi="Times New Roman" w:eastAsia="宋体" w:cs="Times New Roman"/>
          <w:spacing w:val="-2"/>
          <w:sz w:val="24"/>
          <w:szCs w:val="24"/>
          <w:highlight w:val="none"/>
        </w:rPr>
        <w:t>、</w:t>
      </w:r>
      <w:r>
        <w:rPr>
          <w:rFonts w:hint="eastAsia" w:ascii="Times New Roman" w:hAnsi="Times New Roman" w:eastAsia="宋体" w:cs="Times New Roman"/>
          <w:spacing w:val="-2"/>
          <w:sz w:val="24"/>
          <w:szCs w:val="24"/>
          <w:highlight w:val="none"/>
          <w:lang w:val="en-US" w:eastAsia="zh-CN"/>
        </w:rPr>
        <w:t>一般固废暂存间、沉淀池</w:t>
      </w:r>
      <w:r>
        <w:rPr>
          <w:rFonts w:hint="eastAsia" w:cs="Times New Roman"/>
          <w:spacing w:val="-2"/>
          <w:sz w:val="24"/>
          <w:szCs w:val="24"/>
          <w:highlight w:val="none"/>
          <w:lang w:val="en-US" w:eastAsia="zh-CN"/>
        </w:rPr>
        <w:t>、事故应急池</w:t>
      </w:r>
      <w:r>
        <w:rPr>
          <w:rFonts w:hint="default" w:ascii="Times New Roman" w:hAnsi="Times New Roman" w:eastAsia="宋体" w:cs="Times New Roman"/>
          <w:spacing w:val="-2"/>
          <w:sz w:val="24"/>
          <w:szCs w:val="24"/>
          <w:highlight w:val="none"/>
        </w:rPr>
        <w:t>设置不渗漏的地</w:t>
      </w:r>
      <w:r>
        <w:rPr>
          <w:rFonts w:hint="default" w:ascii="Times New Roman" w:hAnsi="Times New Roman" w:eastAsia="宋体" w:cs="Times New Roman"/>
          <w:spacing w:val="-3"/>
          <w:sz w:val="24"/>
          <w:szCs w:val="24"/>
          <w:highlight w:val="none"/>
        </w:rPr>
        <w:t>基，</w:t>
      </w:r>
      <w:r>
        <w:rPr>
          <w:rFonts w:hint="default" w:ascii="Times New Roman" w:hAnsi="Times New Roman" w:eastAsia="宋体" w:cs="Times New Roman"/>
          <w:sz w:val="24"/>
          <w:szCs w:val="24"/>
          <w:highlight w:val="none"/>
        </w:rPr>
        <w:t xml:space="preserve"> </w:t>
      </w:r>
      <w:r>
        <w:rPr>
          <w:rFonts w:hint="eastAsia" w:ascii="Times New Roman" w:hAnsi="Times New Roman" w:eastAsia="宋体" w:cs="Times New Roman"/>
          <w:spacing w:val="-2"/>
          <w:sz w:val="24"/>
          <w:szCs w:val="24"/>
          <w:highlight w:val="none"/>
          <w:lang w:val="en-US" w:eastAsia="zh-CN"/>
        </w:rPr>
        <w:t>实验室</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1"/>
          <w:sz w:val="24"/>
          <w:szCs w:val="24"/>
          <w:highlight w:val="none"/>
        </w:rPr>
        <w:t>危险废物暂存间</w:t>
      </w:r>
      <w:r>
        <w:rPr>
          <w:rFonts w:hint="default" w:ascii="Times New Roman" w:hAnsi="Times New Roman" w:eastAsia="宋体" w:cs="Times New Roman"/>
          <w:spacing w:val="-3"/>
          <w:sz w:val="24"/>
          <w:szCs w:val="24"/>
          <w:highlight w:val="none"/>
        </w:rPr>
        <w:t>设置截流沟，以确保任何物质的冒溢能被回收，从而防</w:t>
      </w:r>
      <w:r>
        <w:rPr>
          <w:rFonts w:hint="default" w:ascii="Times New Roman" w:hAnsi="Times New Roman" w:eastAsia="宋体" w:cs="Times New Roman"/>
          <w:spacing w:val="-2"/>
          <w:sz w:val="24"/>
          <w:szCs w:val="24"/>
          <w:highlight w:val="none"/>
        </w:rPr>
        <w:t>止地下水环境污染。</w:t>
      </w:r>
    </w:p>
    <w:p w14:paraId="02C16120">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3"/>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从设计，管理中防止和减少污染物料的跑，冒</w:t>
      </w:r>
      <w:r>
        <w:rPr>
          <w:rFonts w:hint="default" w:ascii="Times New Roman" w:hAnsi="Times New Roman" w:eastAsia="宋体" w:cs="Times New Roman"/>
          <w:spacing w:val="-2"/>
          <w:sz w:val="24"/>
          <w:szCs w:val="24"/>
          <w:highlight w:val="none"/>
        </w:rPr>
        <w:t>，滴，漏而采取的各种措施，</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3"/>
          <w:sz w:val="24"/>
          <w:szCs w:val="24"/>
          <w:highlight w:val="none"/>
        </w:rPr>
        <w:t>主要措施包括工艺，设备，土建，给排水管道，总图布置等防止污染物泄漏的措</w:t>
      </w:r>
      <w:r>
        <w:rPr>
          <w:rFonts w:hint="default" w:ascii="Times New Roman" w:hAnsi="Times New Roman" w:eastAsia="宋体" w:cs="Times New Roman"/>
          <w:spacing w:val="-8"/>
          <w:sz w:val="24"/>
          <w:szCs w:val="24"/>
          <w:highlight w:val="none"/>
        </w:rPr>
        <w:t>施；运营期严格管理，加强巡检，及时发现污染物泄漏；一旦出现泄漏及时处理，</w:t>
      </w:r>
      <w:r>
        <w:rPr>
          <w:rFonts w:hint="default" w:ascii="Times New Roman" w:hAnsi="Times New Roman" w:eastAsia="宋体" w:cs="Times New Roman"/>
          <w:spacing w:val="-1"/>
          <w:sz w:val="24"/>
          <w:szCs w:val="24"/>
          <w:highlight w:val="none"/>
        </w:rPr>
        <w:t>检查修设备，将污染物泄漏的环境风险事故降到最低。</w:t>
      </w:r>
    </w:p>
    <w:p w14:paraId="726E35C8">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2</w:t>
      </w:r>
      <w:r>
        <w:rPr>
          <w:rFonts w:hint="default" w:ascii="Times New Roman" w:hAnsi="Times New Roman" w:eastAsia="宋体" w:cs="Times New Roman"/>
          <w:spacing w:val="-34"/>
          <w:sz w:val="24"/>
          <w:szCs w:val="24"/>
          <w:highlight w:val="none"/>
        </w:rPr>
        <w:t xml:space="preserve"> </w:t>
      </w:r>
      <w:r>
        <w:rPr>
          <w:rFonts w:hint="default" w:ascii="Times New Roman" w:hAnsi="Times New Roman" w:eastAsia="宋体" w:cs="Times New Roman"/>
          <w:spacing w:val="-4"/>
          <w:sz w:val="24"/>
          <w:szCs w:val="24"/>
          <w:highlight w:val="none"/>
        </w:rPr>
        <w:t>、分区防控措施</w:t>
      </w:r>
    </w:p>
    <w:p w14:paraId="12BAC67B">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8"/>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根据本工程的特点，将厂区不同的区域划分为重点防渗区、一般</w:t>
      </w:r>
      <w:r>
        <w:rPr>
          <w:rFonts w:hint="default" w:ascii="Times New Roman" w:hAnsi="Times New Roman" w:eastAsia="宋体" w:cs="Times New Roman"/>
          <w:spacing w:val="-4"/>
          <w:sz w:val="24"/>
          <w:szCs w:val="24"/>
          <w:highlight w:val="none"/>
        </w:rPr>
        <w:t>防渗区和简</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3"/>
          <w:sz w:val="24"/>
          <w:szCs w:val="24"/>
          <w:highlight w:val="none"/>
        </w:rPr>
        <w:t>单防渗区。</w:t>
      </w:r>
    </w:p>
    <w:p w14:paraId="58C33C98">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9"/>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①重点防渗区：</w:t>
      </w:r>
      <w:r>
        <w:rPr>
          <w:rFonts w:hint="default" w:ascii="Times New Roman" w:hAnsi="Times New Roman" w:eastAsia="宋体" w:cs="Times New Roman"/>
          <w:spacing w:val="-3"/>
          <w:sz w:val="24"/>
          <w:szCs w:val="24"/>
          <w:highlight w:val="none"/>
          <w:lang w:eastAsia="zh-CN"/>
        </w:rPr>
        <w:t>实验室、危险废物暂存间</w:t>
      </w:r>
      <w:r>
        <w:rPr>
          <w:rFonts w:hint="eastAsia" w:ascii="Times New Roman" w:hAnsi="Times New Roman" w:eastAsia="宋体" w:cs="Times New Roman"/>
          <w:spacing w:val="-3"/>
          <w:sz w:val="24"/>
          <w:szCs w:val="24"/>
          <w:highlight w:val="none"/>
          <w:lang w:eastAsia="zh-CN"/>
        </w:rPr>
        <w:t>、</w:t>
      </w:r>
      <w:r>
        <w:rPr>
          <w:rFonts w:hint="eastAsia" w:ascii="Times New Roman" w:hAnsi="Times New Roman" w:eastAsia="宋体" w:cs="Times New Roman"/>
          <w:spacing w:val="-3"/>
          <w:sz w:val="24"/>
          <w:szCs w:val="24"/>
          <w:highlight w:val="none"/>
          <w:lang w:val="en-US" w:eastAsia="zh-CN"/>
        </w:rPr>
        <w:t>一般固废暂存间、原料存放区、沉淀池、事故应急池</w:t>
      </w:r>
      <w:r>
        <w:rPr>
          <w:rFonts w:hint="default" w:ascii="Times New Roman" w:hAnsi="Times New Roman" w:eastAsia="宋体" w:cs="Times New Roman"/>
          <w:spacing w:val="-3"/>
          <w:sz w:val="24"/>
          <w:szCs w:val="24"/>
          <w:highlight w:val="none"/>
        </w:rPr>
        <w:t>，基础必须防渗，</w:t>
      </w:r>
      <w:r>
        <w:rPr>
          <w:rFonts w:hint="default" w:ascii="Times New Roman" w:hAnsi="Times New Roman" w:eastAsia="宋体" w:cs="Times New Roman"/>
          <w:spacing w:val="-1"/>
          <w:sz w:val="24"/>
          <w:szCs w:val="24"/>
          <w:highlight w:val="none"/>
        </w:rPr>
        <w:t>防渗层为至少1米厚粘土层（渗透系数≤10</w:t>
      </w:r>
      <w:r>
        <w:rPr>
          <w:rFonts w:hint="default" w:ascii="Times New Roman" w:hAnsi="Times New Roman" w:eastAsia="宋体" w:cs="Times New Roman"/>
          <w:spacing w:val="-1"/>
          <w:sz w:val="24"/>
          <w:szCs w:val="24"/>
          <w:highlight w:val="none"/>
          <w:vertAlign w:val="superscript"/>
        </w:rPr>
        <w:t>-7</w:t>
      </w:r>
      <w:r>
        <w:rPr>
          <w:rFonts w:hint="default" w:ascii="Times New Roman" w:hAnsi="Times New Roman" w:eastAsia="宋体" w:cs="Times New Roman"/>
          <w:spacing w:val="-1"/>
          <w:sz w:val="24"/>
          <w:szCs w:val="24"/>
          <w:highlight w:val="none"/>
        </w:rPr>
        <w:t>厘米/秒），或2毫米厚高密度聚乙烯，或至少2毫米厚的其它人工材料，渗透系数≤10</w:t>
      </w:r>
      <w:r>
        <w:rPr>
          <w:rFonts w:hint="default" w:ascii="Times New Roman" w:hAnsi="Times New Roman" w:eastAsia="宋体" w:cs="Times New Roman"/>
          <w:spacing w:val="-1"/>
          <w:sz w:val="24"/>
          <w:szCs w:val="24"/>
          <w:highlight w:val="none"/>
          <w:vertAlign w:val="superscript"/>
        </w:rPr>
        <w:t>-10</w:t>
      </w:r>
      <w:r>
        <w:rPr>
          <w:rFonts w:hint="default" w:ascii="Times New Roman" w:hAnsi="Times New Roman" w:eastAsia="宋体" w:cs="Times New Roman"/>
          <w:spacing w:val="-1"/>
          <w:sz w:val="24"/>
          <w:szCs w:val="24"/>
          <w:highlight w:val="none"/>
        </w:rPr>
        <w:t>厘米/秒</w:t>
      </w:r>
      <w:r>
        <w:rPr>
          <w:rFonts w:hint="default" w:ascii="Times New Roman" w:hAnsi="Times New Roman" w:eastAsia="宋体" w:cs="Times New Roman"/>
          <w:spacing w:val="-5"/>
          <w:sz w:val="24"/>
          <w:szCs w:val="24"/>
          <w:highlight w:val="none"/>
        </w:rPr>
        <w:t>。</w:t>
      </w:r>
    </w:p>
    <w:p w14:paraId="3694D0C3">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5"/>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②一般防渗区：生产车间、成品堆放区其他区域等采用钢筋混凝土防渗，</w:t>
      </w:r>
      <w:r>
        <w:rPr>
          <w:rFonts w:hint="default" w:ascii="Times New Roman" w:hAnsi="Times New Roman" w:eastAsia="宋体" w:cs="Times New Roman"/>
          <w:spacing w:val="-4"/>
          <w:sz w:val="24"/>
          <w:szCs w:val="24"/>
          <w:highlight w:val="none"/>
        </w:rPr>
        <w:t>防渗等级</w:t>
      </w:r>
      <w:r>
        <w:rPr>
          <w:rFonts w:hint="default" w:ascii="Times New Roman" w:hAnsi="Times New Roman" w:eastAsia="宋体" w:cs="Times New Roman"/>
          <w:spacing w:val="-1"/>
          <w:sz w:val="24"/>
          <w:szCs w:val="24"/>
          <w:highlight w:val="none"/>
        </w:rPr>
        <w:t>为</w:t>
      </w:r>
      <w:r>
        <w:rPr>
          <w:rFonts w:hint="default" w:ascii="Times New Roman" w:hAnsi="Times New Roman" w:eastAsia="宋体" w:cs="Times New Roman"/>
          <w:spacing w:val="-55"/>
          <w:sz w:val="24"/>
          <w:szCs w:val="24"/>
          <w:highlight w:val="none"/>
        </w:rPr>
        <w:t xml:space="preserve"> </w:t>
      </w:r>
      <w:r>
        <w:rPr>
          <w:rFonts w:hint="default" w:ascii="Times New Roman" w:hAnsi="Times New Roman" w:eastAsia="宋体" w:cs="Times New Roman"/>
          <w:spacing w:val="-1"/>
          <w:sz w:val="24"/>
          <w:szCs w:val="24"/>
          <w:highlight w:val="none"/>
        </w:rPr>
        <w:t>P4（0.78×10</w:t>
      </w:r>
      <w:r>
        <w:rPr>
          <w:rFonts w:hint="default" w:ascii="Times New Roman" w:hAnsi="Times New Roman" w:eastAsia="宋体" w:cs="Times New Roman"/>
          <w:spacing w:val="-1"/>
          <w:position w:val="7"/>
          <w:sz w:val="18"/>
          <w:szCs w:val="18"/>
          <w:highlight w:val="none"/>
        </w:rPr>
        <w:t>-8</w:t>
      </w:r>
      <w:r>
        <w:rPr>
          <w:rFonts w:hint="default" w:ascii="Times New Roman" w:hAnsi="Times New Roman" w:eastAsia="宋体" w:cs="Times New Roman"/>
          <w:spacing w:val="-1"/>
          <w:sz w:val="24"/>
          <w:szCs w:val="24"/>
          <w:highlight w:val="none"/>
        </w:rPr>
        <w:t>cm/s</w:t>
      </w:r>
      <w:r>
        <w:rPr>
          <w:rFonts w:hint="default" w:ascii="Times New Roman" w:hAnsi="Times New Roman" w:eastAsia="宋体" w:cs="Times New Roman"/>
          <w:spacing w:val="7"/>
          <w:sz w:val="24"/>
          <w:szCs w:val="24"/>
          <w:highlight w:val="none"/>
        </w:rPr>
        <w:t>），</w:t>
      </w:r>
      <w:r>
        <w:rPr>
          <w:rFonts w:hint="default" w:ascii="Times New Roman" w:hAnsi="Times New Roman" w:eastAsia="宋体" w:cs="Times New Roman"/>
          <w:spacing w:val="-1"/>
          <w:sz w:val="24"/>
          <w:szCs w:val="24"/>
          <w:highlight w:val="none"/>
        </w:rPr>
        <w:t>混凝土厚度不低于</w:t>
      </w:r>
      <w:r>
        <w:rPr>
          <w:rFonts w:hint="default" w:ascii="Times New Roman" w:hAnsi="Times New Roman" w:eastAsia="宋体" w:cs="Times New Roman"/>
          <w:spacing w:val="-55"/>
          <w:sz w:val="24"/>
          <w:szCs w:val="24"/>
          <w:highlight w:val="none"/>
        </w:rPr>
        <w:t xml:space="preserve"> </w:t>
      </w:r>
      <w:r>
        <w:rPr>
          <w:rFonts w:hint="default" w:ascii="Times New Roman" w:hAnsi="Times New Roman" w:eastAsia="宋体" w:cs="Times New Roman"/>
          <w:spacing w:val="-1"/>
          <w:sz w:val="24"/>
          <w:szCs w:val="24"/>
          <w:highlight w:val="none"/>
        </w:rPr>
        <w:t>2</w:t>
      </w:r>
      <w:r>
        <w:rPr>
          <w:rFonts w:hint="default" w:ascii="Times New Roman" w:hAnsi="Times New Roman" w:eastAsia="宋体" w:cs="Times New Roman"/>
          <w:spacing w:val="-2"/>
          <w:sz w:val="24"/>
          <w:szCs w:val="24"/>
          <w:highlight w:val="none"/>
        </w:rPr>
        <w:t>0cm；</w:t>
      </w:r>
    </w:p>
    <w:p w14:paraId="1432AAE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8"/>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③简单防渗区：厂区道路、办</w:t>
      </w:r>
      <w:r>
        <w:rPr>
          <w:rFonts w:hint="default" w:ascii="Times New Roman" w:hAnsi="Times New Roman" w:eastAsia="宋体" w:cs="Times New Roman"/>
          <w:sz w:val="24"/>
          <w:szCs w:val="24"/>
          <w:highlight w:val="none"/>
        </w:rPr>
        <w:t>公区</w:t>
      </w:r>
      <w:r>
        <w:rPr>
          <w:rFonts w:hint="default"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厨房、</w:t>
      </w:r>
      <w:r>
        <w:rPr>
          <w:rFonts w:hint="default" w:ascii="Times New Roman" w:hAnsi="Times New Roman" w:eastAsia="宋体" w:cs="Times New Roman"/>
          <w:sz w:val="24"/>
          <w:szCs w:val="24"/>
          <w:highlight w:val="none"/>
        </w:rPr>
        <w:t>停车场</w:t>
      </w:r>
      <w:r>
        <w:rPr>
          <w:rFonts w:hint="default" w:ascii="Times New Roman" w:hAnsi="Times New Roman" w:eastAsia="宋体" w:cs="Times New Roman"/>
          <w:spacing w:val="-5"/>
          <w:sz w:val="24"/>
          <w:szCs w:val="24"/>
          <w:highlight w:val="none"/>
        </w:rPr>
        <w:t>等，铺设</w:t>
      </w:r>
      <w:r>
        <w:rPr>
          <w:rFonts w:hint="default" w:ascii="Times New Roman" w:hAnsi="Times New Roman" w:eastAsia="宋体" w:cs="Times New Roman"/>
          <w:spacing w:val="-32"/>
          <w:sz w:val="24"/>
          <w:szCs w:val="24"/>
          <w:highlight w:val="none"/>
        </w:rPr>
        <w:t xml:space="preserve"> </w:t>
      </w:r>
      <w:r>
        <w:rPr>
          <w:rFonts w:hint="default" w:ascii="Times New Roman" w:hAnsi="Times New Roman" w:eastAsia="宋体" w:cs="Times New Roman"/>
          <w:spacing w:val="-5"/>
          <w:sz w:val="24"/>
          <w:szCs w:val="24"/>
          <w:highlight w:val="none"/>
        </w:rPr>
        <w:t>10—14cm</w:t>
      </w:r>
      <w:r>
        <w:rPr>
          <w:rFonts w:hint="default" w:ascii="Times New Roman" w:hAnsi="Times New Roman" w:eastAsia="宋体" w:cs="Times New Roman"/>
          <w:spacing w:val="16"/>
          <w:sz w:val="24"/>
          <w:szCs w:val="24"/>
          <w:highlight w:val="none"/>
        </w:rPr>
        <w:t xml:space="preserve"> </w:t>
      </w:r>
      <w:r>
        <w:rPr>
          <w:rFonts w:hint="default" w:ascii="Times New Roman" w:hAnsi="Times New Roman" w:eastAsia="宋体" w:cs="Times New Roman"/>
          <w:spacing w:val="-5"/>
          <w:sz w:val="24"/>
          <w:szCs w:val="24"/>
          <w:highlight w:val="none"/>
        </w:rPr>
        <w:t>的水泥进行</w:t>
      </w:r>
      <w:r>
        <w:rPr>
          <w:rFonts w:hint="default" w:ascii="Times New Roman" w:hAnsi="Times New Roman" w:eastAsia="宋体" w:cs="Times New Roman"/>
          <w:spacing w:val="-4"/>
          <w:sz w:val="24"/>
          <w:szCs w:val="24"/>
          <w:highlight w:val="none"/>
        </w:rPr>
        <w:t>硬化。</w:t>
      </w:r>
    </w:p>
    <w:p w14:paraId="1748382B">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1"/>
          <w:sz w:val="24"/>
          <w:szCs w:val="24"/>
          <w:highlight w:val="none"/>
        </w:rPr>
        <w:t>经以上防护措施后，可有效防止污染物渗漏污染地下水。</w:t>
      </w:r>
    </w:p>
    <w:p w14:paraId="713AC33E">
      <w:pPr>
        <w:pStyle w:val="6"/>
        <w:bidi w:val="0"/>
        <w:rPr>
          <w:highlight w:val="none"/>
        </w:rPr>
      </w:pPr>
      <w:bookmarkStart w:id="187" w:name="_Toc29893"/>
      <w:r>
        <w:rPr>
          <w:rFonts w:hint="eastAsia"/>
          <w:highlight w:val="none"/>
          <w:lang w:val="en-US" w:eastAsia="zh-CN"/>
        </w:rPr>
        <w:t>6</w:t>
      </w:r>
      <w:r>
        <w:rPr>
          <w:highlight w:val="none"/>
        </w:rPr>
        <w:t>.</w:t>
      </w:r>
      <w:r>
        <w:rPr>
          <w:rFonts w:hint="eastAsia"/>
          <w:highlight w:val="none"/>
          <w:lang w:val="en-US" w:eastAsia="zh-CN"/>
        </w:rPr>
        <w:t xml:space="preserve">5 </w:t>
      </w:r>
      <w:r>
        <w:rPr>
          <w:highlight w:val="none"/>
        </w:rPr>
        <w:t>营运期噪声环境影响分析</w:t>
      </w:r>
      <w:bookmarkEnd w:id="187"/>
    </w:p>
    <w:p w14:paraId="3E64CC6B">
      <w:pPr>
        <w:keepNext w:val="0"/>
        <w:keepLines w:val="0"/>
        <w:pageBreakBefore w:val="0"/>
        <w:widowControl w:val="0"/>
        <w:kinsoku/>
        <w:wordWrap/>
        <w:overflowPunct/>
        <w:topLinePunct w:val="0"/>
        <w:autoSpaceDE/>
        <w:autoSpaceDN/>
        <w:bidi w:val="0"/>
        <w:adjustRightInd/>
        <w:snapToGrid/>
        <w:spacing w:line="360" w:lineRule="auto"/>
        <w:ind w:left="0" w:right="0" w:firstLine="484"/>
        <w:jc w:val="both"/>
        <w:textAlignment w:val="auto"/>
        <w:rPr>
          <w:rFonts w:hint="default" w:ascii="Times New Roman" w:hAnsi="Times New Roman" w:eastAsia="宋体" w:cs="Times New Roman"/>
          <w:spacing w:val="-1"/>
          <w:kern w:val="0"/>
          <w:sz w:val="24"/>
          <w:szCs w:val="24"/>
          <w:highlight w:val="none"/>
          <w:lang w:val="en-US" w:eastAsia="zh-CN" w:bidi="ar-SA"/>
        </w:rPr>
      </w:pPr>
      <w:r>
        <w:rPr>
          <w:rFonts w:hint="default" w:ascii="Times New Roman" w:hAnsi="Times New Roman" w:eastAsia="宋体" w:cs="Times New Roman"/>
          <w:spacing w:val="-1"/>
          <w:kern w:val="0"/>
          <w:sz w:val="24"/>
          <w:szCs w:val="24"/>
          <w:highlight w:val="none"/>
          <w:lang w:val="en-US" w:eastAsia="zh-CN" w:bidi="ar-SA"/>
        </w:rPr>
        <w:t>根据《环境影响评价技术导则声环境》（HJ2.4-2021）中声环境评价等级划分的基本原则，项目声环境评价工作等级为三级。评级范围为项目</w:t>
      </w:r>
      <w:r>
        <w:rPr>
          <w:rFonts w:hint="eastAsia" w:ascii="Times New Roman" w:hAnsi="Times New Roman" w:eastAsia="宋体" w:cs="Times New Roman"/>
          <w:spacing w:val="-1"/>
          <w:kern w:val="0"/>
          <w:sz w:val="24"/>
          <w:szCs w:val="24"/>
          <w:highlight w:val="none"/>
          <w:lang w:val="en-US" w:eastAsia="zh-CN" w:bidi="ar-SA"/>
        </w:rPr>
        <w:t>厂</w:t>
      </w:r>
      <w:r>
        <w:rPr>
          <w:rFonts w:hint="default" w:ascii="Times New Roman" w:hAnsi="Times New Roman" w:eastAsia="宋体" w:cs="Times New Roman"/>
          <w:spacing w:val="-1"/>
          <w:kern w:val="0"/>
          <w:sz w:val="24"/>
          <w:szCs w:val="24"/>
          <w:highlight w:val="none"/>
          <w:lang w:val="en-US" w:eastAsia="zh-CN" w:bidi="ar-SA"/>
        </w:rPr>
        <w:t>界外扩 200m 的范围。</w:t>
      </w:r>
    </w:p>
    <w:p w14:paraId="203FAFFE">
      <w:pPr>
        <w:pStyle w:val="7"/>
        <w:bidi w:val="0"/>
        <w:rPr>
          <w:highlight w:val="none"/>
        </w:rPr>
      </w:pPr>
      <w:bookmarkStart w:id="188" w:name="_Toc4597"/>
      <w:r>
        <w:rPr>
          <w:highlight w:val="none"/>
        </w:rPr>
        <w:t>6.5.1 噪声源强</w:t>
      </w:r>
      <w:bookmarkEnd w:id="188"/>
    </w:p>
    <w:p w14:paraId="678DAC4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拟建项目噪声主要为</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搅拌</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釜</w:t>
      </w:r>
      <w:r>
        <w:rPr>
          <w:rFonts w:hint="eastAsia"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打粉机、风机、空压机</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等运行噪声。拟建工程大部分设备均在车间内密封，生产线实行集中控制，主要噪声源设备噪声级在</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70</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w:t>
      </w: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85</w:t>
      </w: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dB(A)左右。</w:t>
      </w:r>
    </w:p>
    <w:p w14:paraId="05802631">
      <w:pPr>
        <w:keepNext w:val="0"/>
        <w:keepLines w:val="0"/>
        <w:pageBreakBefore w:val="0"/>
        <w:widowControl w:val="0"/>
        <w:kinsoku/>
        <w:wordWrap/>
        <w:overflowPunct/>
        <w:topLinePunct w:val="0"/>
        <w:autoSpaceDE/>
        <w:autoSpaceDN/>
        <w:bidi w:val="0"/>
        <w:adjustRightInd/>
        <w:snapToGrid/>
        <w:textAlignment w:val="auto"/>
        <w:rPr>
          <w:rFonts w:ascii="宋体" w:hAnsi="宋体" w:eastAsia="宋体" w:cs="宋体"/>
          <w:spacing w:val="-1"/>
          <w:sz w:val="24"/>
          <w:szCs w:val="24"/>
          <w:highlight w:val="none"/>
        </w:rPr>
      </w:pPr>
      <w:r>
        <w:rPr>
          <w:rFonts w:ascii="宋体" w:hAnsi="宋体" w:eastAsia="宋体" w:cs="宋体"/>
          <w:spacing w:val="-1"/>
          <w:sz w:val="24"/>
          <w:szCs w:val="24"/>
          <w:highlight w:val="none"/>
        </w:rPr>
        <w:t>为了控制噪声污染源的噪声污染，本项目在选用噪声较小的新型设备基础</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上，将生产设备尽量安置在厂房内，并对设备进行基础减振、安装消声</w:t>
      </w:r>
      <w:r>
        <w:rPr>
          <w:rFonts w:ascii="宋体" w:hAnsi="宋体" w:eastAsia="宋体" w:cs="宋体"/>
          <w:spacing w:val="-4"/>
          <w:sz w:val="24"/>
          <w:szCs w:val="24"/>
          <w:highlight w:val="none"/>
        </w:rPr>
        <w:t>器、隔声</w:t>
      </w:r>
      <w:r>
        <w:rPr>
          <w:rFonts w:ascii="宋体" w:hAnsi="宋体" w:eastAsia="宋体" w:cs="宋体"/>
          <w:spacing w:val="-1"/>
          <w:sz w:val="24"/>
          <w:szCs w:val="24"/>
          <w:highlight w:val="none"/>
        </w:rPr>
        <w:t>罩，尽量降低噪声源强，具体噪声源强见下表。</w:t>
      </w:r>
    </w:p>
    <w:p w14:paraId="6AB41584">
      <w:pPr>
        <w:ind w:firstLine="480" w:firstLineChars="200"/>
        <w:rPr>
          <w:rFonts w:ascii="Times New Roman" w:hAnsi="Times New Roman" w:cs="Times New Roman"/>
          <w:color w:val="auto"/>
          <w:highlight w:val="none"/>
        </w:rPr>
      </w:pPr>
      <w:r>
        <w:rPr>
          <w:rFonts w:hint="default" w:ascii="Times New Roman" w:hAnsi="Times New Roman" w:eastAsia="宋体" w:cs="Times New Roman"/>
          <w:bCs/>
          <w:snapToGrid w:val="0"/>
          <w:color w:val="000000" w:themeColor="text1"/>
          <w:kern w:val="0"/>
          <w:sz w:val="24"/>
          <w:szCs w:val="24"/>
          <w:highlight w:val="none"/>
          <w:lang w:val="en-US" w:eastAsia="zh-CN"/>
          <w14:textFill>
            <w14:solidFill>
              <w14:schemeClr w14:val="tx1"/>
            </w14:solidFill>
          </w14:textFill>
        </w:rPr>
        <w:t>本项目各设备噪声源强及降噪量详见下表。</w:t>
      </w:r>
    </w:p>
    <w:p w14:paraId="6903373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t xml:space="preserve">表6.5-1 </w:t>
      </w:r>
      <w:r>
        <w:rPr>
          <w:rFonts w:hint="default" w:ascii="Times New Roman" w:hAnsi="Times New Roman" w:eastAsia="宋体" w:cs="Times New Roman"/>
          <w:b/>
          <w:bCs w:val="0"/>
          <w:snapToGrid w:val="0"/>
          <w:color w:val="000000" w:themeColor="text1"/>
          <w:kern w:val="0"/>
          <w:sz w:val="24"/>
          <w:szCs w:val="24"/>
          <w:highlight w:val="none"/>
          <w:lang w:val="en-US" w:eastAsia="zh-CN"/>
          <w14:textFill>
            <w14:solidFill>
              <w14:schemeClr w14:val="tx1"/>
            </w14:solidFill>
          </w14:textFill>
        </w:rPr>
        <w:t>项目噪声源强一览表  单位：dB(A)</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34"/>
        <w:gridCol w:w="1870"/>
        <w:gridCol w:w="732"/>
        <w:gridCol w:w="1405"/>
        <w:gridCol w:w="1885"/>
        <w:gridCol w:w="1886"/>
      </w:tblGrid>
      <w:tr w14:paraId="3E2C2C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3E1492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序号</w:t>
            </w:r>
          </w:p>
        </w:tc>
        <w:tc>
          <w:tcPr>
            <w:tcW w:w="1098" w:type="pct"/>
            <w:tcBorders>
              <w:tl2br w:val="nil"/>
              <w:tr2bl w:val="nil"/>
            </w:tcBorders>
            <w:noWrap w:val="0"/>
            <w:vAlign w:val="center"/>
          </w:tcPr>
          <w:p w14:paraId="45F2F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设备名称</w:t>
            </w:r>
          </w:p>
        </w:tc>
        <w:tc>
          <w:tcPr>
            <w:tcW w:w="430" w:type="pct"/>
            <w:tcBorders>
              <w:tl2br w:val="nil"/>
              <w:tr2bl w:val="nil"/>
            </w:tcBorders>
            <w:noWrap w:val="0"/>
            <w:vAlign w:val="center"/>
          </w:tcPr>
          <w:p w14:paraId="432F4C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数量</w:t>
            </w:r>
          </w:p>
        </w:tc>
        <w:tc>
          <w:tcPr>
            <w:tcW w:w="825" w:type="pct"/>
            <w:tcBorders>
              <w:tl2br w:val="nil"/>
              <w:tr2bl w:val="nil"/>
            </w:tcBorders>
            <w:noWrap w:val="0"/>
            <w:vAlign w:val="center"/>
          </w:tcPr>
          <w:p w14:paraId="6C493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源强[dB(A)]</w:t>
            </w:r>
          </w:p>
        </w:tc>
        <w:tc>
          <w:tcPr>
            <w:tcW w:w="1107" w:type="pct"/>
            <w:tcBorders>
              <w:tl2br w:val="nil"/>
              <w:tr2bl w:val="nil"/>
            </w:tcBorders>
            <w:noWrap w:val="0"/>
            <w:vAlign w:val="center"/>
          </w:tcPr>
          <w:p w14:paraId="322520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rPr>
            </w:pPr>
            <w:r>
              <w:rPr>
                <w:rFonts w:hint="default" w:ascii="Times New Roman" w:hAnsi="Times New Roman" w:cs="Times New Roman" w:eastAsiaTheme="minorEastAsia"/>
                <w:b/>
                <w:color w:val="auto"/>
                <w:sz w:val="21"/>
                <w:szCs w:val="21"/>
                <w:highlight w:val="none"/>
                <w:u w:val="none"/>
              </w:rPr>
              <w:t>治理措施</w:t>
            </w:r>
          </w:p>
        </w:tc>
        <w:tc>
          <w:tcPr>
            <w:tcW w:w="1107" w:type="pct"/>
            <w:tcBorders>
              <w:tl2br w:val="nil"/>
              <w:tr2bl w:val="nil"/>
            </w:tcBorders>
            <w:noWrap w:val="0"/>
            <w:vAlign w:val="center"/>
          </w:tcPr>
          <w:p w14:paraId="416518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color w:val="auto"/>
                <w:sz w:val="21"/>
                <w:szCs w:val="21"/>
                <w:highlight w:val="none"/>
                <w:u w:val="none"/>
                <w:lang w:val="en-US" w:eastAsia="zh-CN"/>
              </w:rPr>
            </w:pPr>
            <w:r>
              <w:rPr>
                <w:rFonts w:hint="eastAsia" w:ascii="Times New Roman" w:hAnsi="Times New Roman" w:cs="Times New Roman" w:eastAsiaTheme="minorEastAsia"/>
                <w:b/>
                <w:color w:val="auto"/>
                <w:sz w:val="21"/>
                <w:szCs w:val="21"/>
                <w:highlight w:val="none"/>
                <w:u w:val="none"/>
                <w:lang w:val="en-US" w:eastAsia="zh-CN"/>
              </w:rPr>
              <w:t>采取措施后噪声级</w:t>
            </w:r>
          </w:p>
        </w:tc>
      </w:tr>
      <w:tr w14:paraId="524EA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69D111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1</w:t>
            </w:r>
          </w:p>
        </w:tc>
        <w:tc>
          <w:tcPr>
            <w:tcW w:w="1098" w:type="pct"/>
            <w:tcBorders>
              <w:tl2br w:val="nil"/>
              <w:tr2bl w:val="nil"/>
            </w:tcBorders>
            <w:noWrap w:val="0"/>
            <w:vAlign w:val="center"/>
          </w:tcPr>
          <w:p w14:paraId="4DD5E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水剂搅拌釜</w:t>
            </w:r>
          </w:p>
        </w:tc>
        <w:tc>
          <w:tcPr>
            <w:tcW w:w="430" w:type="pct"/>
            <w:tcBorders>
              <w:tl2br w:val="nil"/>
              <w:tr2bl w:val="nil"/>
            </w:tcBorders>
            <w:noWrap w:val="0"/>
            <w:vAlign w:val="center"/>
          </w:tcPr>
          <w:p w14:paraId="784134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1</w:t>
            </w:r>
          </w:p>
        </w:tc>
        <w:tc>
          <w:tcPr>
            <w:tcW w:w="825" w:type="pct"/>
            <w:tcBorders>
              <w:tl2br w:val="nil"/>
              <w:tr2bl w:val="nil"/>
            </w:tcBorders>
            <w:noWrap w:val="0"/>
            <w:vAlign w:val="center"/>
          </w:tcPr>
          <w:p w14:paraId="1B378A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7AE48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20FBF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0A333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2B99A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2</w:t>
            </w:r>
          </w:p>
        </w:tc>
        <w:tc>
          <w:tcPr>
            <w:tcW w:w="1098" w:type="pct"/>
            <w:tcBorders>
              <w:tl2br w:val="nil"/>
              <w:tr2bl w:val="nil"/>
            </w:tcBorders>
            <w:noWrap w:val="0"/>
            <w:vAlign w:val="center"/>
          </w:tcPr>
          <w:p w14:paraId="4335D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粉剂搅拌罐</w:t>
            </w:r>
          </w:p>
        </w:tc>
        <w:tc>
          <w:tcPr>
            <w:tcW w:w="430" w:type="pct"/>
            <w:tcBorders>
              <w:tl2br w:val="nil"/>
              <w:tr2bl w:val="nil"/>
            </w:tcBorders>
            <w:noWrap w:val="0"/>
            <w:vAlign w:val="center"/>
          </w:tcPr>
          <w:p w14:paraId="65E16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060B0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7B0D5C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126315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191B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36DC0E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3</w:t>
            </w:r>
          </w:p>
        </w:tc>
        <w:tc>
          <w:tcPr>
            <w:tcW w:w="1098" w:type="pct"/>
            <w:tcBorders>
              <w:tl2br w:val="nil"/>
              <w:tr2bl w:val="nil"/>
            </w:tcBorders>
            <w:noWrap w:val="0"/>
            <w:vAlign w:val="center"/>
          </w:tcPr>
          <w:p w14:paraId="03157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多功能混合搅拌罐</w:t>
            </w:r>
          </w:p>
        </w:tc>
        <w:tc>
          <w:tcPr>
            <w:tcW w:w="430" w:type="pct"/>
            <w:tcBorders>
              <w:tl2br w:val="nil"/>
              <w:tr2bl w:val="nil"/>
            </w:tcBorders>
            <w:noWrap w:val="0"/>
            <w:vAlign w:val="center"/>
          </w:tcPr>
          <w:p w14:paraId="05CB4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66932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6E1910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46EB89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3CE30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56EF4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4</w:t>
            </w:r>
          </w:p>
        </w:tc>
        <w:tc>
          <w:tcPr>
            <w:tcW w:w="1098" w:type="pct"/>
            <w:tcBorders>
              <w:tl2br w:val="nil"/>
              <w:tr2bl w:val="nil"/>
            </w:tcBorders>
            <w:noWrap w:val="0"/>
            <w:vAlign w:val="center"/>
          </w:tcPr>
          <w:p w14:paraId="67413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电加热搅拌釜</w:t>
            </w:r>
            <w:r>
              <w:rPr>
                <w:rFonts w:hint="eastAsia" w:cs="Times New Roman" w:eastAsiaTheme="minorEastAsia"/>
                <w:color w:val="auto"/>
                <w:sz w:val="21"/>
                <w:szCs w:val="21"/>
                <w:highlight w:val="none"/>
                <w:u w:val="none"/>
                <w:lang w:val="en-US" w:eastAsia="zh-CN"/>
              </w:rPr>
              <w:t>（3T）</w:t>
            </w:r>
          </w:p>
        </w:tc>
        <w:tc>
          <w:tcPr>
            <w:tcW w:w="430" w:type="pct"/>
            <w:tcBorders>
              <w:tl2br w:val="nil"/>
              <w:tr2bl w:val="nil"/>
            </w:tcBorders>
            <w:noWrap w:val="0"/>
            <w:vAlign w:val="center"/>
          </w:tcPr>
          <w:p w14:paraId="13F879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25FAE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u w:val="none"/>
              </w:rPr>
            </w:pPr>
            <w:r>
              <w:rPr>
                <w:rFonts w:hint="eastAsia" w:ascii="Times New Roman" w:hAnsi="Times New Roman" w:cs="Times New Roman" w:eastAsiaTheme="minorEastAsia"/>
                <w:color w:val="auto"/>
                <w:sz w:val="21"/>
                <w:szCs w:val="21"/>
                <w:highlight w:val="none"/>
                <w:u w:val="none"/>
                <w:lang w:val="en-US" w:eastAsia="zh-CN"/>
              </w:rPr>
              <w:t>70-75</w:t>
            </w:r>
          </w:p>
        </w:tc>
        <w:tc>
          <w:tcPr>
            <w:tcW w:w="1107" w:type="pct"/>
            <w:tcBorders>
              <w:tl2br w:val="nil"/>
              <w:tr2bl w:val="nil"/>
            </w:tcBorders>
            <w:noWrap w:val="0"/>
            <w:vAlign w:val="center"/>
          </w:tcPr>
          <w:p w14:paraId="682720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5E226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228D6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tcBorders>
              <w:tl2br w:val="nil"/>
              <w:tr2bl w:val="nil"/>
            </w:tcBorders>
            <w:noWrap w:val="0"/>
            <w:vAlign w:val="center"/>
          </w:tcPr>
          <w:p w14:paraId="48161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w:t>
            </w:r>
          </w:p>
        </w:tc>
        <w:tc>
          <w:tcPr>
            <w:tcW w:w="1098" w:type="pct"/>
            <w:tcBorders>
              <w:tl2br w:val="nil"/>
              <w:tr2bl w:val="nil"/>
            </w:tcBorders>
            <w:noWrap w:val="0"/>
            <w:vAlign w:val="center"/>
          </w:tcPr>
          <w:p w14:paraId="0A79B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简易电加热搅拌釜（2T）</w:t>
            </w:r>
          </w:p>
        </w:tc>
        <w:tc>
          <w:tcPr>
            <w:tcW w:w="430" w:type="pct"/>
            <w:tcBorders>
              <w:tl2br w:val="nil"/>
              <w:tr2bl w:val="nil"/>
            </w:tcBorders>
            <w:noWrap w:val="0"/>
            <w:vAlign w:val="center"/>
          </w:tcPr>
          <w:p w14:paraId="3C0F4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2</w:t>
            </w:r>
          </w:p>
        </w:tc>
        <w:tc>
          <w:tcPr>
            <w:tcW w:w="825" w:type="pct"/>
            <w:tcBorders>
              <w:tl2br w:val="nil"/>
              <w:tr2bl w:val="nil"/>
            </w:tcBorders>
            <w:noWrap w:val="0"/>
            <w:vAlign w:val="center"/>
          </w:tcPr>
          <w:p w14:paraId="2AB18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70-75</w:t>
            </w:r>
          </w:p>
        </w:tc>
        <w:tc>
          <w:tcPr>
            <w:tcW w:w="1885" w:type="dxa"/>
            <w:tcBorders>
              <w:tl2br w:val="nil"/>
              <w:tr2bl w:val="nil"/>
            </w:tcBorders>
            <w:noWrap w:val="0"/>
            <w:vAlign w:val="center"/>
          </w:tcPr>
          <w:p w14:paraId="38ADF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886" w:type="dxa"/>
            <w:tcBorders>
              <w:tl2br w:val="nil"/>
              <w:tr2bl w:val="nil"/>
            </w:tcBorders>
            <w:noWrap w:val="0"/>
            <w:vAlign w:val="center"/>
          </w:tcPr>
          <w:p w14:paraId="33B48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55</w:t>
            </w:r>
          </w:p>
        </w:tc>
      </w:tr>
      <w:tr w14:paraId="5CA92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tcBorders>
              <w:tl2br w:val="nil"/>
              <w:tr2bl w:val="nil"/>
            </w:tcBorders>
            <w:noWrap w:val="0"/>
            <w:vAlign w:val="center"/>
          </w:tcPr>
          <w:p w14:paraId="2BDFF4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w:t>
            </w:r>
          </w:p>
        </w:tc>
        <w:tc>
          <w:tcPr>
            <w:tcW w:w="1870" w:type="dxa"/>
            <w:tcBorders>
              <w:tl2br w:val="nil"/>
              <w:tr2bl w:val="nil"/>
            </w:tcBorders>
            <w:noWrap w:val="0"/>
            <w:vAlign w:val="center"/>
          </w:tcPr>
          <w:p w14:paraId="529776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打</w:t>
            </w:r>
            <w:r>
              <w:rPr>
                <w:rFonts w:hint="default" w:ascii="Times New Roman" w:hAnsi="Times New Roman" w:cs="Times New Roman" w:eastAsiaTheme="minorEastAsia"/>
                <w:color w:val="auto"/>
                <w:sz w:val="21"/>
                <w:szCs w:val="21"/>
                <w:highlight w:val="none"/>
                <w:u w:val="none"/>
              </w:rPr>
              <w:t>粉机</w:t>
            </w:r>
          </w:p>
        </w:tc>
        <w:tc>
          <w:tcPr>
            <w:tcW w:w="732" w:type="dxa"/>
            <w:tcBorders>
              <w:tl2br w:val="nil"/>
              <w:tr2bl w:val="nil"/>
            </w:tcBorders>
            <w:noWrap w:val="0"/>
            <w:vAlign w:val="center"/>
          </w:tcPr>
          <w:p w14:paraId="55D8F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1405" w:type="dxa"/>
            <w:tcBorders>
              <w:tl2br w:val="nil"/>
              <w:tr2bl w:val="nil"/>
            </w:tcBorders>
            <w:noWrap w:val="0"/>
            <w:vAlign w:val="center"/>
          </w:tcPr>
          <w:p w14:paraId="533B2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75-80</w:t>
            </w:r>
          </w:p>
        </w:tc>
        <w:tc>
          <w:tcPr>
            <w:tcW w:w="1885" w:type="dxa"/>
            <w:tcBorders>
              <w:tl2br w:val="nil"/>
              <w:tr2bl w:val="nil"/>
            </w:tcBorders>
            <w:noWrap w:val="0"/>
            <w:vAlign w:val="center"/>
          </w:tcPr>
          <w:p w14:paraId="7091B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886" w:type="dxa"/>
            <w:tcBorders>
              <w:tl2br w:val="nil"/>
              <w:tr2bl w:val="nil"/>
            </w:tcBorders>
            <w:noWrap w:val="0"/>
            <w:vAlign w:val="center"/>
          </w:tcPr>
          <w:p w14:paraId="38E11D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60</w:t>
            </w:r>
          </w:p>
        </w:tc>
      </w:tr>
      <w:tr w14:paraId="6C795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34" w:type="dxa"/>
            <w:tcBorders>
              <w:tl2br w:val="nil"/>
              <w:tr2bl w:val="nil"/>
            </w:tcBorders>
            <w:noWrap w:val="0"/>
            <w:vAlign w:val="center"/>
          </w:tcPr>
          <w:p w14:paraId="728641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w:t>
            </w:r>
          </w:p>
        </w:tc>
        <w:tc>
          <w:tcPr>
            <w:tcW w:w="1098" w:type="pct"/>
            <w:tcBorders>
              <w:tl2br w:val="nil"/>
              <w:tr2bl w:val="nil"/>
            </w:tcBorders>
            <w:noWrap w:val="0"/>
            <w:vAlign w:val="center"/>
          </w:tcPr>
          <w:p w14:paraId="7167F1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风机</w:t>
            </w:r>
          </w:p>
        </w:tc>
        <w:tc>
          <w:tcPr>
            <w:tcW w:w="430" w:type="pct"/>
            <w:tcBorders>
              <w:tl2br w:val="nil"/>
              <w:tr2bl w:val="nil"/>
            </w:tcBorders>
            <w:noWrap w:val="0"/>
            <w:vAlign w:val="center"/>
          </w:tcPr>
          <w:p w14:paraId="3D510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2</w:t>
            </w:r>
          </w:p>
        </w:tc>
        <w:tc>
          <w:tcPr>
            <w:tcW w:w="825" w:type="pct"/>
            <w:tcBorders>
              <w:tl2br w:val="nil"/>
              <w:tr2bl w:val="nil"/>
            </w:tcBorders>
            <w:noWrap w:val="0"/>
            <w:vAlign w:val="center"/>
          </w:tcPr>
          <w:p w14:paraId="3B33B9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75-80</w:t>
            </w:r>
          </w:p>
        </w:tc>
        <w:tc>
          <w:tcPr>
            <w:tcW w:w="1107" w:type="pct"/>
            <w:tcBorders>
              <w:tl2br w:val="nil"/>
              <w:tr2bl w:val="nil"/>
            </w:tcBorders>
            <w:noWrap w:val="0"/>
            <w:vAlign w:val="center"/>
          </w:tcPr>
          <w:p w14:paraId="753581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6C727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60</w:t>
            </w:r>
          </w:p>
        </w:tc>
      </w:tr>
      <w:tr w14:paraId="06B65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1" w:type="pct"/>
            <w:tcBorders>
              <w:tl2br w:val="nil"/>
              <w:tr2bl w:val="nil"/>
            </w:tcBorders>
            <w:noWrap w:val="0"/>
            <w:vAlign w:val="center"/>
          </w:tcPr>
          <w:p w14:paraId="44010A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cs="Times New Roman" w:eastAsiaTheme="minorEastAsia"/>
                <w:color w:val="auto"/>
                <w:sz w:val="21"/>
                <w:szCs w:val="21"/>
                <w:highlight w:val="none"/>
                <w:u w:val="none"/>
                <w:lang w:val="en-US" w:eastAsia="zh-CN"/>
              </w:rPr>
              <w:t>8</w:t>
            </w:r>
          </w:p>
        </w:tc>
        <w:tc>
          <w:tcPr>
            <w:tcW w:w="1098" w:type="pct"/>
            <w:tcBorders>
              <w:tl2br w:val="nil"/>
              <w:tr2bl w:val="nil"/>
            </w:tcBorders>
            <w:noWrap w:val="0"/>
            <w:vAlign w:val="center"/>
          </w:tcPr>
          <w:p w14:paraId="1700CA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eastAsia" w:eastAsia="宋体" w:cs="Times New Roman"/>
                <w:bCs/>
                <w:snapToGrid w:val="0"/>
                <w:color w:val="000000" w:themeColor="text1"/>
                <w:kern w:val="0"/>
                <w:sz w:val="24"/>
                <w:szCs w:val="24"/>
                <w:highlight w:val="none"/>
                <w:lang w:val="en-US" w:eastAsia="zh-CN"/>
                <w14:textFill>
                  <w14:solidFill>
                    <w14:schemeClr w14:val="tx1"/>
                  </w14:solidFill>
                </w14:textFill>
              </w:rPr>
              <w:t>空压机</w:t>
            </w:r>
          </w:p>
        </w:tc>
        <w:tc>
          <w:tcPr>
            <w:tcW w:w="430" w:type="pct"/>
            <w:tcBorders>
              <w:tl2br w:val="nil"/>
              <w:tr2bl w:val="nil"/>
            </w:tcBorders>
            <w:noWrap w:val="0"/>
            <w:vAlign w:val="center"/>
          </w:tcPr>
          <w:p w14:paraId="6BFC45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1</w:t>
            </w:r>
          </w:p>
        </w:tc>
        <w:tc>
          <w:tcPr>
            <w:tcW w:w="825" w:type="pct"/>
            <w:tcBorders>
              <w:tl2br w:val="nil"/>
              <w:tr2bl w:val="nil"/>
            </w:tcBorders>
            <w:noWrap w:val="0"/>
            <w:vAlign w:val="center"/>
          </w:tcPr>
          <w:p w14:paraId="1648F6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75-85</w:t>
            </w:r>
          </w:p>
        </w:tc>
        <w:tc>
          <w:tcPr>
            <w:tcW w:w="1107" w:type="pct"/>
            <w:tcBorders>
              <w:tl2br w:val="nil"/>
              <w:tr2bl w:val="nil"/>
            </w:tcBorders>
            <w:noWrap w:val="0"/>
            <w:vAlign w:val="center"/>
          </w:tcPr>
          <w:p w14:paraId="2959C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rPr>
            </w:pPr>
            <w:r>
              <w:rPr>
                <w:rFonts w:hint="default" w:ascii="Times New Roman" w:hAnsi="Times New Roman" w:cs="Times New Roman" w:eastAsiaTheme="minorEastAsia"/>
                <w:color w:val="auto"/>
                <w:sz w:val="21"/>
                <w:szCs w:val="21"/>
                <w:highlight w:val="none"/>
                <w:u w:val="none"/>
              </w:rPr>
              <w:t>厂房隔声、减震</w:t>
            </w:r>
          </w:p>
        </w:tc>
        <w:tc>
          <w:tcPr>
            <w:tcW w:w="1107" w:type="pct"/>
            <w:tcBorders>
              <w:tl2br w:val="nil"/>
              <w:tr2bl w:val="nil"/>
            </w:tcBorders>
            <w:noWrap w:val="0"/>
            <w:vAlign w:val="center"/>
          </w:tcPr>
          <w:p w14:paraId="11C5E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eastAsia" w:ascii="Times New Roman" w:hAnsi="Times New Roman" w:cs="Times New Roman" w:eastAsiaTheme="minorEastAsia"/>
                <w:color w:val="auto"/>
                <w:sz w:val="21"/>
                <w:szCs w:val="21"/>
                <w:highlight w:val="none"/>
                <w:u w:val="none"/>
                <w:lang w:val="en-US" w:eastAsia="zh-CN"/>
              </w:rPr>
              <w:t>65</w:t>
            </w:r>
          </w:p>
        </w:tc>
      </w:tr>
    </w:tbl>
    <w:p w14:paraId="573D823E">
      <w:pPr>
        <w:pStyle w:val="7"/>
        <w:bidi w:val="0"/>
        <w:rPr>
          <w:highlight w:val="none"/>
        </w:rPr>
      </w:pPr>
      <w:bookmarkStart w:id="189" w:name="_Toc20953"/>
      <w:r>
        <w:rPr>
          <w:highlight w:val="none"/>
        </w:rPr>
        <w:t>6.</w:t>
      </w:r>
      <w:r>
        <w:rPr>
          <w:rFonts w:hint="eastAsia"/>
          <w:highlight w:val="none"/>
          <w:lang w:val="en-US" w:eastAsia="zh-CN"/>
        </w:rPr>
        <w:t>5</w:t>
      </w:r>
      <w:r>
        <w:rPr>
          <w:highlight w:val="none"/>
        </w:rPr>
        <w:t>.2</w:t>
      </w:r>
      <w:r>
        <w:rPr>
          <w:rFonts w:hint="eastAsia"/>
          <w:highlight w:val="none"/>
          <w:lang w:val="en-US" w:eastAsia="zh-CN"/>
        </w:rPr>
        <w:t xml:space="preserve"> </w:t>
      </w:r>
      <w:r>
        <w:rPr>
          <w:highlight w:val="none"/>
        </w:rPr>
        <w:t>声环境影响</w:t>
      </w:r>
      <w:r>
        <w:rPr>
          <w:rFonts w:hint="eastAsia"/>
          <w:highlight w:val="none"/>
          <w:lang w:val="en-US" w:eastAsia="zh-CN"/>
        </w:rPr>
        <w:t>预测</w:t>
      </w:r>
      <w:r>
        <w:rPr>
          <w:highlight w:val="none"/>
        </w:rPr>
        <w:t>分析</w:t>
      </w:r>
      <w:bookmarkEnd w:id="189"/>
    </w:p>
    <w:p w14:paraId="00186B11">
      <w:pPr>
        <w:pStyle w:val="53"/>
        <w:ind w:firstLine="420"/>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1、预测模式</w:t>
      </w:r>
    </w:p>
    <w:p w14:paraId="721F6D8B">
      <w:pPr>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将设备所产生的噪声视为点源噪声进行预测，采用声能衰减和噪声级叠加模式。</w:t>
      </w:r>
    </w:p>
    <w:p w14:paraId="601AD7C1">
      <w:pPr>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auto"/>
          <w:sz w:val="24"/>
          <w:szCs w:val="24"/>
          <w:highlight w:val="none"/>
        </w:rPr>
        <w:t>(1)无指向性点声源的几何发散衰减公式：</w:t>
      </w:r>
    </w:p>
    <w:p w14:paraId="45276D6E">
      <w:pPr>
        <w:pStyle w:val="53"/>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auto"/>
          <w:position w:val="-14"/>
          <w:sz w:val="24"/>
          <w:szCs w:val="24"/>
          <w:highlight w:val="none"/>
        </w:rPr>
        <w:object>
          <v:shape id="_x0000_i1025" o:spt="75" type="#_x0000_t75" style="height:24.15pt;width:173.1pt;" o:ole="t" filled="f" o:preferrelative="t" stroked="f" coordsize="21600,21600">
            <v:path/>
            <v:fill on="f" focussize="0,0"/>
            <v:stroke on="f"/>
            <v:imagedata r:id="rId32" o:title=""/>
            <o:lock v:ext="edit" aspectratio="t"/>
            <w10:wrap type="none"/>
            <w10:anchorlock/>
          </v:shape>
          <o:OLEObject Type="Embed" ProgID="Equation.3" ShapeID="_x0000_i1025" DrawAspect="Content" ObjectID="_1468075727" r:id="rId31">
            <o:LockedField>false</o:LockedField>
          </o:OLEObject>
        </w:object>
      </w:r>
    </w:p>
    <w:p w14:paraId="324BDB3C">
      <w:pPr>
        <w:pStyle w:val="53"/>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szCs w:val="24"/>
          <w:highlight w:val="none"/>
          <w14:textFill>
            <w14:solidFill>
              <w14:schemeClr w14:val="tx1"/>
            </w14:solidFill>
          </w14:textFill>
        </w:rPr>
        <w:t>（r）——距声源r处的声级值，dB（A）；</w:t>
      </w:r>
    </w:p>
    <w:p w14:paraId="23264E36">
      <w:pPr>
        <w:pStyle w:val="53"/>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szCs w:val="24"/>
          <w:highlight w:val="none"/>
          <w14:textFill>
            <w14:solidFill>
              <w14:schemeClr w14:val="tx1"/>
            </w14:solidFill>
          </w14:textFill>
        </w:rPr>
        <w: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）——参考位置r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o</w:t>
      </w:r>
      <w:r>
        <w:rPr>
          <w:rFonts w:hint="default" w:ascii="Times New Roman" w:hAnsi="Times New Roman" w:eastAsia="宋体" w:cs="Times New Roman"/>
          <w:color w:val="000000" w:themeColor="text1"/>
          <w:sz w:val="24"/>
          <w:szCs w:val="24"/>
          <w:highlight w:val="none"/>
          <w14:textFill>
            <w14:solidFill>
              <w14:schemeClr w14:val="tx1"/>
            </w14:solidFill>
          </w14:textFill>
        </w:rPr>
        <w:t>处的声级值，dB（A）；</w:t>
      </w:r>
    </w:p>
    <w:p w14:paraId="0F93370D">
      <w:pPr>
        <w:pStyle w:val="53"/>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r——预测点至声源的距离，m；</w:t>
      </w:r>
    </w:p>
    <w:p w14:paraId="1DB3A180">
      <w:pPr>
        <w:pStyle w:val="53"/>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——参考点距声源的距离，m；</w:t>
      </w:r>
    </w:p>
    <w:p w14:paraId="4A23ECBE">
      <w:pPr>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(2)建设项目声源在预测点产生的等效声级贡献值(</w:t>
      </w:r>
      <w:r>
        <w:rPr>
          <w:rFonts w:hint="default" w:ascii="Times New Roman" w:hAnsi="Times New Roman" w:eastAsia="宋体" w:cs="Times New Roman"/>
          <w:bCs/>
          <w:i/>
          <w:color w:val="auto"/>
          <w:sz w:val="24"/>
          <w:szCs w:val="24"/>
          <w:highlight w:val="none"/>
        </w:rPr>
        <w:t>L</w:t>
      </w:r>
      <w:r>
        <w:rPr>
          <w:rFonts w:hint="default" w:ascii="Times New Roman" w:hAnsi="Times New Roman" w:eastAsia="宋体" w:cs="Times New Roman"/>
          <w:bCs/>
          <w:i/>
          <w:color w:val="auto"/>
          <w:sz w:val="24"/>
          <w:szCs w:val="24"/>
          <w:highlight w:val="none"/>
          <w:vertAlign w:val="subscript"/>
        </w:rPr>
        <w:t>eqg</w:t>
      </w:r>
      <w:r>
        <w:rPr>
          <w:rFonts w:hint="default" w:ascii="Times New Roman" w:hAnsi="Times New Roman" w:eastAsia="宋体" w:cs="Times New Roman"/>
          <w:bCs/>
          <w:color w:val="auto"/>
          <w:sz w:val="24"/>
          <w:szCs w:val="24"/>
          <w:highlight w:val="none"/>
        </w:rPr>
        <w:t>)计算公式：</w:t>
      </w:r>
    </w:p>
    <w:p w14:paraId="3356A137">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position w:val="-28"/>
          <w:sz w:val="24"/>
          <w:szCs w:val="24"/>
          <w:highlight w:val="none"/>
        </w:rPr>
        <w:object>
          <v:shape id="_x0000_i1026" o:spt="75" type="#_x0000_t75" style="height:38.1pt;width:148.1pt;" o:ole="t" filled="f" o:preferrelative="t" stroked="f" coordsize="21600,21600">
            <v:path/>
            <v:fill on="f" alignshape="1" focussize="0,0"/>
            <v:stroke on="f"/>
            <v:imagedata r:id="rId34" o:title=""/>
            <o:lock v:ext="edit" aspectratio="t"/>
            <w10:wrap type="none"/>
            <w10:anchorlock/>
          </v:shape>
          <o:OLEObject Type="Embed" ProgID="Equation.3" ShapeID="_x0000_i1026" DrawAspect="Content" ObjectID="_1468075728" r:id="rId33">
            <o:LockedField>false</o:LockedField>
          </o:OLEObject>
        </w:object>
      </w:r>
    </w:p>
    <w:p w14:paraId="69990367">
      <w:pPr>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式中：</w:t>
      </w:r>
      <w:r>
        <w:rPr>
          <w:rFonts w:hint="default" w:ascii="Times New Roman" w:hAnsi="Times New Roman" w:eastAsia="宋体" w:cs="Times New Roman"/>
          <w:bCs/>
          <w:i/>
          <w:color w:val="auto"/>
          <w:sz w:val="24"/>
          <w:szCs w:val="24"/>
          <w:highlight w:val="none"/>
        </w:rPr>
        <w:t>L</w:t>
      </w:r>
      <w:r>
        <w:rPr>
          <w:rFonts w:hint="default" w:ascii="Times New Roman" w:hAnsi="Times New Roman" w:eastAsia="宋体" w:cs="Times New Roman"/>
          <w:bCs/>
          <w:i/>
          <w:color w:val="auto"/>
          <w:sz w:val="24"/>
          <w:szCs w:val="24"/>
          <w:highlight w:val="none"/>
          <w:vertAlign w:val="subscript"/>
        </w:rPr>
        <w:t>eqg</w:t>
      </w:r>
      <w:r>
        <w:rPr>
          <w:rFonts w:hint="default" w:ascii="Times New Roman" w:hAnsi="Times New Roman" w:eastAsia="宋体" w:cs="Times New Roman"/>
          <w:bCs/>
          <w:color w:val="auto"/>
          <w:sz w:val="24"/>
          <w:szCs w:val="24"/>
          <w:highlight w:val="none"/>
        </w:rPr>
        <w:t>——建设项目声源在预测点的等效声级贡献值，dB(A)；</w:t>
      </w:r>
    </w:p>
    <w:p w14:paraId="37A0B692">
      <w:pPr>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i/>
          <w:color w:val="auto"/>
          <w:sz w:val="24"/>
          <w:szCs w:val="24"/>
          <w:highlight w:val="none"/>
        </w:rPr>
        <w:t>L</w:t>
      </w:r>
      <w:r>
        <w:rPr>
          <w:rFonts w:hint="default" w:ascii="Times New Roman" w:hAnsi="Times New Roman" w:eastAsia="宋体" w:cs="Times New Roman"/>
          <w:bCs/>
          <w:i/>
          <w:color w:val="auto"/>
          <w:sz w:val="24"/>
          <w:szCs w:val="24"/>
          <w:highlight w:val="none"/>
          <w:vertAlign w:val="subscript"/>
        </w:rPr>
        <w:t>Ai</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i/>
          <w:color w:val="auto"/>
          <w:sz w:val="24"/>
          <w:szCs w:val="24"/>
          <w:highlight w:val="none"/>
        </w:rPr>
        <w:t>i</w:t>
      </w:r>
      <w:r>
        <w:rPr>
          <w:rFonts w:hint="default" w:ascii="Times New Roman" w:hAnsi="Times New Roman" w:eastAsia="宋体" w:cs="Times New Roman"/>
          <w:bCs/>
          <w:color w:val="auto"/>
          <w:sz w:val="24"/>
          <w:szCs w:val="24"/>
          <w:highlight w:val="none"/>
        </w:rPr>
        <w:t>声源在预测点产生的A声级，dB(A)；</w:t>
      </w:r>
    </w:p>
    <w:p w14:paraId="7FB5B7A7">
      <w:pPr>
        <w:keepLines w:val="0"/>
        <w:pageBreakBefore w:val="0"/>
        <w:widowControl w:val="0"/>
        <w:tabs>
          <w:tab w:val="left" w:pos="0"/>
        </w:tabs>
        <w:kinsoku/>
        <w:wordWrap/>
        <w:overflowPunct/>
        <w:topLinePunct w:val="0"/>
        <w:autoSpaceDE/>
        <w:autoSpaceDN/>
        <w:bidi w:val="0"/>
        <w:adjustRightInd/>
        <w:snapToGrid/>
        <w:ind w:firstLine="1200" w:firstLineChars="5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i/>
          <w:color w:val="auto"/>
          <w:sz w:val="24"/>
          <w:szCs w:val="24"/>
          <w:highlight w:val="none"/>
        </w:rPr>
        <w:t>T</w:t>
      </w:r>
      <w:r>
        <w:rPr>
          <w:rFonts w:hint="default" w:ascii="Times New Roman" w:hAnsi="Times New Roman" w:eastAsia="宋体" w:cs="Times New Roman"/>
          <w:bCs/>
          <w:color w:val="auto"/>
          <w:sz w:val="24"/>
          <w:szCs w:val="24"/>
          <w:highlight w:val="none"/>
        </w:rPr>
        <w:t xml:space="preserve"> ——预测计算的时间段，s；</w:t>
      </w:r>
    </w:p>
    <w:p w14:paraId="16638E0A">
      <w:pPr>
        <w:keepLines w:val="0"/>
        <w:pageBreakBefore w:val="0"/>
        <w:widowControl w:val="0"/>
        <w:tabs>
          <w:tab w:val="left" w:pos="0"/>
        </w:tabs>
        <w:kinsoku/>
        <w:wordWrap/>
        <w:overflowPunct/>
        <w:topLinePunct w:val="0"/>
        <w:autoSpaceDE/>
        <w:autoSpaceDN/>
        <w:bidi w:val="0"/>
        <w:adjustRightInd/>
        <w:snapToGrid/>
        <w:ind w:firstLine="1200" w:firstLineChars="500"/>
        <w:jc w:val="both"/>
        <w:textAlignment w:val="auto"/>
        <w:rPr>
          <w:rFonts w:hint="default" w:ascii="Times New Roman" w:hAnsi="Times New Roman" w:eastAsia="宋体" w:cs="Times New Roman"/>
          <w:bCs/>
          <w:i/>
          <w:color w:val="auto"/>
          <w:sz w:val="24"/>
          <w:szCs w:val="24"/>
          <w:highlight w:val="none"/>
        </w:rPr>
      </w:pPr>
      <w:r>
        <w:rPr>
          <w:rFonts w:hint="default" w:ascii="Times New Roman" w:hAnsi="Times New Roman" w:eastAsia="宋体" w:cs="Times New Roman"/>
          <w:bCs/>
          <w:i/>
          <w:color w:val="auto"/>
          <w:sz w:val="24"/>
          <w:szCs w:val="24"/>
          <w:highlight w:val="none"/>
        </w:rPr>
        <w:t>t</w:t>
      </w:r>
      <w:r>
        <w:rPr>
          <w:rFonts w:hint="default" w:ascii="Times New Roman" w:hAnsi="Times New Roman" w:eastAsia="宋体" w:cs="Times New Roman"/>
          <w:bCs/>
          <w:i/>
          <w:color w:val="auto"/>
          <w:sz w:val="24"/>
          <w:szCs w:val="24"/>
          <w:highlight w:val="none"/>
          <w:vertAlign w:val="subscript"/>
        </w:rPr>
        <w:t>i</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i/>
          <w:color w:val="auto"/>
          <w:sz w:val="24"/>
          <w:szCs w:val="24"/>
          <w:highlight w:val="none"/>
        </w:rPr>
        <w:t>i</w:t>
      </w:r>
      <w:r>
        <w:rPr>
          <w:rFonts w:hint="default" w:ascii="Times New Roman" w:hAnsi="Times New Roman" w:eastAsia="宋体" w:cs="Times New Roman"/>
          <w:bCs/>
          <w:color w:val="auto"/>
          <w:sz w:val="24"/>
          <w:szCs w:val="24"/>
          <w:highlight w:val="none"/>
        </w:rPr>
        <w:t>声源在</w:t>
      </w:r>
      <w:r>
        <w:rPr>
          <w:rFonts w:hint="default" w:ascii="Times New Roman" w:hAnsi="Times New Roman" w:eastAsia="宋体" w:cs="Times New Roman"/>
          <w:bCs/>
          <w:i/>
          <w:color w:val="auto"/>
          <w:sz w:val="24"/>
          <w:szCs w:val="24"/>
          <w:highlight w:val="none"/>
        </w:rPr>
        <w:t>T</w:t>
      </w:r>
      <w:r>
        <w:rPr>
          <w:rFonts w:hint="default" w:ascii="Times New Roman" w:hAnsi="Times New Roman" w:eastAsia="宋体" w:cs="Times New Roman"/>
          <w:bCs/>
          <w:color w:val="auto"/>
          <w:sz w:val="24"/>
          <w:szCs w:val="24"/>
          <w:highlight w:val="none"/>
        </w:rPr>
        <w:t>时段内的运行时间，s。</w:t>
      </w:r>
    </w:p>
    <w:p w14:paraId="05C9F587">
      <w:pPr>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(3)预测点的预测等效声级(</w:t>
      </w:r>
      <w:r>
        <w:rPr>
          <w:rFonts w:hint="default" w:ascii="Times New Roman" w:hAnsi="Times New Roman" w:eastAsia="宋体" w:cs="Times New Roman"/>
          <w:bCs/>
          <w:i/>
          <w:color w:val="auto"/>
          <w:sz w:val="24"/>
          <w:szCs w:val="24"/>
          <w:highlight w:val="none"/>
        </w:rPr>
        <w:t>L</w:t>
      </w:r>
      <w:r>
        <w:rPr>
          <w:rFonts w:hint="default" w:ascii="Times New Roman" w:hAnsi="Times New Roman" w:eastAsia="宋体" w:cs="Times New Roman"/>
          <w:bCs/>
          <w:i/>
          <w:color w:val="auto"/>
          <w:sz w:val="24"/>
          <w:szCs w:val="24"/>
          <w:highlight w:val="none"/>
          <w:vertAlign w:val="subscript"/>
        </w:rPr>
        <w:t>eq</w:t>
      </w:r>
      <w:r>
        <w:rPr>
          <w:rFonts w:hint="default" w:ascii="Times New Roman" w:hAnsi="Times New Roman" w:eastAsia="宋体" w:cs="Times New Roman"/>
          <w:bCs/>
          <w:color w:val="auto"/>
          <w:sz w:val="24"/>
          <w:szCs w:val="24"/>
          <w:highlight w:val="none"/>
        </w:rPr>
        <w:t>)计算公式：</w:t>
      </w:r>
    </w:p>
    <w:p w14:paraId="1C359D46">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position w:val="-14"/>
          <w:sz w:val="24"/>
          <w:szCs w:val="24"/>
          <w:highlight w:val="none"/>
        </w:rPr>
        <w:object>
          <v:shape id="_x0000_i1027" o:spt="75" type="#_x0000_t75" style="height:25.1pt;width:167.65pt;" o:ole="t" filled="f" o:preferrelative="t" stroked="f" coordsize="21600,21600">
            <v:path/>
            <v:fill on="f" focussize="0,0"/>
            <v:stroke on="f"/>
            <v:imagedata r:id="rId36" o:title=""/>
            <o:lock v:ext="edit" grouping="f" rotation="f" text="f" aspectratio="t"/>
            <w10:wrap type="none"/>
            <w10:anchorlock/>
          </v:shape>
          <o:OLEObject Type="Embed" ProgID="Equation.3" ShapeID="_x0000_i1027" DrawAspect="Content" ObjectID="_1468075729" r:id="rId35">
            <o:LockedField>false</o:LockedField>
          </o:OLEObject>
        </w:object>
      </w:r>
    </w:p>
    <w:p w14:paraId="6AD7D09D">
      <w:pPr>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式中：</w:t>
      </w:r>
      <w:r>
        <w:rPr>
          <w:rFonts w:hint="default" w:ascii="Times New Roman" w:hAnsi="Times New Roman" w:eastAsia="宋体" w:cs="Times New Roman"/>
          <w:bCs/>
          <w:i/>
          <w:color w:val="auto"/>
          <w:sz w:val="24"/>
          <w:szCs w:val="24"/>
          <w:highlight w:val="none"/>
        </w:rPr>
        <w:t>L</w:t>
      </w:r>
      <w:r>
        <w:rPr>
          <w:rFonts w:hint="default" w:ascii="Times New Roman" w:hAnsi="Times New Roman" w:eastAsia="宋体" w:cs="Times New Roman"/>
          <w:bCs/>
          <w:i/>
          <w:color w:val="auto"/>
          <w:sz w:val="24"/>
          <w:szCs w:val="24"/>
          <w:highlight w:val="none"/>
          <w:vertAlign w:val="subscript"/>
        </w:rPr>
        <w:t>eqg</w:t>
      </w:r>
      <w:r>
        <w:rPr>
          <w:rFonts w:hint="default" w:ascii="Times New Roman" w:hAnsi="Times New Roman" w:eastAsia="宋体" w:cs="Times New Roman"/>
          <w:bCs/>
          <w:color w:val="auto"/>
          <w:sz w:val="24"/>
          <w:szCs w:val="24"/>
          <w:highlight w:val="none"/>
        </w:rPr>
        <w:t>——建设项目声源在预测点的等效声级贡献值，dB(A)；</w:t>
      </w:r>
    </w:p>
    <w:p w14:paraId="7D3FFFD5">
      <w:pPr>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i/>
          <w:color w:val="auto"/>
          <w:sz w:val="24"/>
          <w:szCs w:val="24"/>
          <w:highlight w:val="none"/>
        </w:rPr>
        <w:t>L</w:t>
      </w:r>
      <w:r>
        <w:rPr>
          <w:rFonts w:hint="default" w:ascii="Times New Roman" w:hAnsi="Times New Roman" w:eastAsia="宋体" w:cs="Times New Roman"/>
          <w:bCs/>
          <w:i/>
          <w:color w:val="auto"/>
          <w:sz w:val="24"/>
          <w:szCs w:val="24"/>
          <w:highlight w:val="none"/>
          <w:vertAlign w:val="subscript"/>
        </w:rPr>
        <w:t>eqb</w:t>
      </w:r>
      <w:r>
        <w:rPr>
          <w:rFonts w:hint="default" w:ascii="Times New Roman" w:hAnsi="Times New Roman" w:eastAsia="宋体" w:cs="Times New Roman"/>
          <w:bCs/>
          <w:color w:val="auto"/>
          <w:sz w:val="24"/>
          <w:szCs w:val="24"/>
          <w:highlight w:val="none"/>
        </w:rPr>
        <w:t>——预测点的背景值，dB(A)。</w:t>
      </w:r>
    </w:p>
    <w:p w14:paraId="2BBAED1C">
      <w:pPr>
        <w:pStyle w:val="53"/>
        <w:numPr>
          <w:ilvl w:val="0"/>
          <w:numId w:val="11"/>
        </w:numPr>
        <w:ind w:firstLine="420"/>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噪声预测结果</w:t>
      </w:r>
    </w:p>
    <w:p w14:paraId="1830E93E">
      <w:pPr>
        <w:keepNext w:val="0"/>
        <w:keepLines w:val="0"/>
        <w:widowControl/>
        <w:suppressLineNumbers w:val="0"/>
        <w:jc w:val="left"/>
        <w:rPr>
          <w:rFonts w:hint="eastAsia"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pPr>
      <w:r>
        <w:rPr>
          <w:rFonts w:hint="eastAsia" w:ascii="宋体" w:hAnsi="宋体" w:eastAsia="宋体" w:cs="宋体"/>
          <w:color w:val="000000"/>
          <w:kern w:val="0"/>
          <w:sz w:val="24"/>
          <w:szCs w:val="24"/>
          <w:highlight w:val="none"/>
          <w:lang w:val="en-US" w:eastAsia="zh-CN" w:bidi="ar"/>
        </w:rPr>
        <w:t>根据《环境影响评价技术导则——声环境》（</w:t>
      </w:r>
      <w:r>
        <w:rPr>
          <w:rFonts w:hint="default" w:ascii="Times New Roman" w:hAnsi="Times New Roman" w:eastAsia="宋体" w:cs="Times New Roman"/>
          <w:color w:val="000000"/>
          <w:kern w:val="0"/>
          <w:sz w:val="24"/>
          <w:szCs w:val="24"/>
          <w:highlight w:val="none"/>
          <w:lang w:val="en-US" w:eastAsia="zh-CN" w:bidi="ar"/>
        </w:rPr>
        <w:t>HJ2.4-2021</w:t>
      </w:r>
      <w:r>
        <w:rPr>
          <w:rFonts w:hint="eastAsia" w:ascii="宋体" w:hAnsi="宋体" w:eastAsia="宋体" w:cs="宋体"/>
          <w:color w:val="000000"/>
          <w:kern w:val="0"/>
          <w:sz w:val="24"/>
          <w:szCs w:val="24"/>
          <w:highlight w:val="none"/>
          <w:lang w:val="en-US" w:eastAsia="zh-CN" w:bidi="ar"/>
        </w:rPr>
        <w:t>）中章节</w:t>
      </w:r>
      <w:r>
        <w:rPr>
          <w:rFonts w:hint="default" w:ascii="Times New Roman" w:hAnsi="Times New Roman" w:eastAsia="宋体" w:cs="Times New Roman"/>
          <w:color w:val="000000"/>
          <w:kern w:val="0"/>
          <w:sz w:val="24"/>
          <w:szCs w:val="24"/>
          <w:highlight w:val="none"/>
          <w:lang w:val="en-US" w:eastAsia="zh-CN" w:bidi="ar"/>
        </w:rPr>
        <w:t>8.4</w:t>
      </w:r>
      <w:r>
        <w:rPr>
          <w:rFonts w:hint="eastAsia" w:ascii="宋体" w:hAnsi="宋体" w:eastAsia="宋体" w:cs="宋体"/>
          <w:color w:val="000000"/>
          <w:kern w:val="0"/>
          <w:sz w:val="24"/>
          <w:szCs w:val="24"/>
          <w:highlight w:val="none"/>
          <w:lang w:val="en-US" w:eastAsia="zh-CN" w:bidi="ar"/>
        </w:rPr>
        <w:t>预测方法：预测建设项目在施工期和运营期所有声环境保护目标处的噪声贡献值和预测值，评价其超标和达标情况；预测和评价建设项目在施工期和运营期厂界（场界、边界）噪声贡献值，评价其超标与达标情况。</w:t>
      </w:r>
      <w:r>
        <w:rPr>
          <w:rFonts w:hint="eastAsia"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t xml:space="preserve"> </w:t>
      </w:r>
    </w:p>
    <w:p w14:paraId="2F218583">
      <w:pPr>
        <w:pStyle w:val="53"/>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ascii="宋体" w:hAnsi="宋体" w:eastAsia="宋体" w:cs="宋体"/>
          <w:b/>
          <w:bCs/>
          <w:spacing w:val="3"/>
          <w:sz w:val="24"/>
          <w:szCs w:val="24"/>
          <w:highlight w:val="none"/>
        </w:rPr>
      </w:pPr>
      <w:r>
        <w:rPr>
          <w:rFonts w:hint="eastAsia"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t xml:space="preserve"> 表6.5-2 项目厂界的噪声贡献值      单位：dB(A)</w:t>
      </w:r>
    </w:p>
    <w:tbl>
      <w:tblPr>
        <w:tblStyle w:val="23"/>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994"/>
        <w:gridCol w:w="459"/>
        <w:gridCol w:w="1195"/>
        <w:gridCol w:w="680"/>
        <w:gridCol w:w="784"/>
        <w:gridCol w:w="680"/>
        <w:gridCol w:w="784"/>
        <w:gridCol w:w="680"/>
        <w:gridCol w:w="784"/>
        <w:gridCol w:w="680"/>
        <w:gridCol w:w="795"/>
      </w:tblGrid>
      <w:tr w14:paraId="6E8E1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583" w:type="pct"/>
            <w:vMerge w:val="restart"/>
            <w:tcBorders>
              <w:tl2br w:val="nil"/>
              <w:tr2bl w:val="nil"/>
            </w:tcBorders>
            <w:shd w:val="clear" w:color="auto" w:fill="auto"/>
            <w:vAlign w:val="center"/>
          </w:tcPr>
          <w:p w14:paraId="124D21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设备名称</w:t>
            </w:r>
          </w:p>
        </w:tc>
        <w:tc>
          <w:tcPr>
            <w:tcW w:w="269" w:type="pct"/>
            <w:vMerge w:val="restart"/>
            <w:tcBorders>
              <w:tl2br w:val="nil"/>
              <w:tr2bl w:val="nil"/>
            </w:tcBorders>
            <w:shd w:val="clear" w:color="auto" w:fill="auto"/>
            <w:vAlign w:val="center"/>
          </w:tcPr>
          <w:p w14:paraId="6F0E75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数量</w:t>
            </w:r>
          </w:p>
        </w:tc>
        <w:tc>
          <w:tcPr>
            <w:tcW w:w="701" w:type="pct"/>
            <w:vMerge w:val="restart"/>
            <w:tcBorders>
              <w:tl2br w:val="nil"/>
              <w:tr2bl w:val="nil"/>
            </w:tcBorders>
            <w:shd w:val="clear" w:color="auto" w:fill="auto"/>
            <w:vAlign w:val="center"/>
          </w:tcPr>
          <w:p w14:paraId="24D3D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治理后声级（dB(A)）</w:t>
            </w:r>
          </w:p>
        </w:tc>
        <w:tc>
          <w:tcPr>
            <w:tcW w:w="859" w:type="pct"/>
            <w:gridSpan w:val="2"/>
            <w:tcBorders>
              <w:tl2br w:val="nil"/>
              <w:tr2bl w:val="nil"/>
            </w:tcBorders>
            <w:shd w:val="clear" w:color="auto" w:fill="auto"/>
            <w:vAlign w:val="center"/>
          </w:tcPr>
          <w:p w14:paraId="58FCAA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厂界东</w:t>
            </w:r>
          </w:p>
        </w:tc>
        <w:tc>
          <w:tcPr>
            <w:tcW w:w="859" w:type="pct"/>
            <w:gridSpan w:val="2"/>
            <w:tcBorders>
              <w:tl2br w:val="nil"/>
              <w:tr2bl w:val="nil"/>
            </w:tcBorders>
            <w:shd w:val="clear" w:color="auto" w:fill="auto"/>
            <w:vAlign w:val="center"/>
          </w:tcPr>
          <w:p w14:paraId="368C5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厂界南</w:t>
            </w:r>
          </w:p>
        </w:tc>
        <w:tc>
          <w:tcPr>
            <w:tcW w:w="859" w:type="pct"/>
            <w:gridSpan w:val="2"/>
            <w:tcBorders>
              <w:tl2br w:val="nil"/>
              <w:tr2bl w:val="nil"/>
            </w:tcBorders>
            <w:shd w:val="clear" w:color="auto" w:fill="auto"/>
            <w:vAlign w:val="center"/>
          </w:tcPr>
          <w:p w14:paraId="5503F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厂界西</w:t>
            </w:r>
          </w:p>
        </w:tc>
        <w:tc>
          <w:tcPr>
            <w:tcW w:w="866" w:type="pct"/>
            <w:gridSpan w:val="2"/>
            <w:tcBorders>
              <w:tl2br w:val="nil"/>
              <w:tr2bl w:val="nil"/>
            </w:tcBorders>
            <w:shd w:val="clear" w:color="auto" w:fill="auto"/>
            <w:vAlign w:val="center"/>
          </w:tcPr>
          <w:p w14:paraId="789490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厂界北</w:t>
            </w:r>
          </w:p>
        </w:tc>
      </w:tr>
      <w:tr w14:paraId="3EE8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495" w:hRule="atLeast"/>
        </w:trPr>
        <w:tc>
          <w:tcPr>
            <w:tcW w:w="583" w:type="pct"/>
            <w:vMerge w:val="continue"/>
            <w:tcBorders>
              <w:tl2br w:val="nil"/>
              <w:tr2bl w:val="nil"/>
            </w:tcBorders>
            <w:shd w:val="clear" w:color="auto" w:fill="auto"/>
            <w:vAlign w:val="center"/>
          </w:tcPr>
          <w:p w14:paraId="0E6A40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highlight w:val="none"/>
                <w:u w:val="none"/>
              </w:rPr>
            </w:pPr>
          </w:p>
        </w:tc>
        <w:tc>
          <w:tcPr>
            <w:tcW w:w="269" w:type="pct"/>
            <w:vMerge w:val="continue"/>
            <w:tcBorders>
              <w:tl2br w:val="nil"/>
              <w:tr2bl w:val="nil"/>
            </w:tcBorders>
            <w:shd w:val="clear" w:color="auto" w:fill="auto"/>
            <w:vAlign w:val="center"/>
          </w:tcPr>
          <w:p w14:paraId="5E6B9C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highlight w:val="none"/>
                <w:u w:val="none"/>
              </w:rPr>
            </w:pPr>
          </w:p>
        </w:tc>
        <w:tc>
          <w:tcPr>
            <w:tcW w:w="701" w:type="pct"/>
            <w:vMerge w:val="continue"/>
            <w:tcBorders>
              <w:tl2br w:val="nil"/>
              <w:tr2bl w:val="nil"/>
            </w:tcBorders>
            <w:shd w:val="clear" w:color="auto" w:fill="auto"/>
            <w:vAlign w:val="center"/>
          </w:tcPr>
          <w:p w14:paraId="2A3496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0"/>
                <w:szCs w:val="20"/>
                <w:highlight w:val="none"/>
                <w:u w:val="none"/>
              </w:rPr>
            </w:pPr>
          </w:p>
        </w:tc>
        <w:tc>
          <w:tcPr>
            <w:tcW w:w="399" w:type="pct"/>
            <w:tcBorders>
              <w:tl2br w:val="nil"/>
              <w:tr2bl w:val="nil"/>
            </w:tcBorders>
            <w:shd w:val="clear" w:color="auto" w:fill="auto"/>
            <w:vAlign w:val="center"/>
          </w:tcPr>
          <w:p w14:paraId="0423D0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距离(m)</w:t>
            </w:r>
          </w:p>
        </w:tc>
        <w:tc>
          <w:tcPr>
            <w:tcW w:w="460" w:type="pct"/>
            <w:tcBorders>
              <w:tl2br w:val="nil"/>
              <w:tr2bl w:val="nil"/>
            </w:tcBorders>
            <w:shd w:val="clear" w:color="auto" w:fill="auto"/>
            <w:vAlign w:val="center"/>
          </w:tcPr>
          <w:p w14:paraId="3778EB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贡献值dB（A）</w:t>
            </w:r>
          </w:p>
        </w:tc>
        <w:tc>
          <w:tcPr>
            <w:tcW w:w="399" w:type="pct"/>
            <w:tcBorders>
              <w:tl2br w:val="nil"/>
              <w:tr2bl w:val="nil"/>
            </w:tcBorders>
            <w:shd w:val="clear" w:color="auto" w:fill="auto"/>
            <w:vAlign w:val="center"/>
          </w:tcPr>
          <w:p w14:paraId="0AC862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距离(m)</w:t>
            </w:r>
          </w:p>
        </w:tc>
        <w:tc>
          <w:tcPr>
            <w:tcW w:w="460" w:type="pct"/>
            <w:tcBorders>
              <w:tl2br w:val="nil"/>
              <w:tr2bl w:val="nil"/>
            </w:tcBorders>
            <w:shd w:val="clear" w:color="auto" w:fill="auto"/>
            <w:vAlign w:val="center"/>
          </w:tcPr>
          <w:p w14:paraId="340E7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贡献值dB（A）</w:t>
            </w:r>
          </w:p>
        </w:tc>
        <w:tc>
          <w:tcPr>
            <w:tcW w:w="399" w:type="pct"/>
            <w:tcBorders>
              <w:tl2br w:val="nil"/>
              <w:tr2bl w:val="nil"/>
            </w:tcBorders>
            <w:shd w:val="clear" w:color="auto" w:fill="auto"/>
            <w:vAlign w:val="center"/>
          </w:tcPr>
          <w:p w14:paraId="5263C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距离(m)</w:t>
            </w:r>
          </w:p>
        </w:tc>
        <w:tc>
          <w:tcPr>
            <w:tcW w:w="460" w:type="pct"/>
            <w:tcBorders>
              <w:tl2br w:val="nil"/>
              <w:tr2bl w:val="nil"/>
            </w:tcBorders>
            <w:shd w:val="clear" w:color="auto" w:fill="auto"/>
            <w:vAlign w:val="center"/>
          </w:tcPr>
          <w:p w14:paraId="6878F8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贡献值dB（A）</w:t>
            </w:r>
          </w:p>
        </w:tc>
        <w:tc>
          <w:tcPr>
            <w:tcW w:w="399" w:type="pct"/>
            <w:tcBorders>
              <w:tl2br w:val="nil"/>
              <w:tr2bl w:val="nil"/>
            </w:tcBorders>
            <w:shd w:val="clear" w:color="auto" w:fill="auto"/>
            <w:vAlign w:val="center"/>
          </w:tcPr>
          <w:p w14:paraId="33297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距离(m)</w:t>
            </w:r>
          </w:p>
        </w:tc>
        <w:tc>
          <w:tcPr>
            <w:tcW w:w="466" w:type="pct"/>
            <w:tcBorders>
              <w:tl2br w:val="nil"/>
              <w:tr2bl w:val="nil"/>
            </w:tcBorders>
            <w:shd w:val="clear" w:color="auto" w:fill="auto"/>
            <w:vAlign w:val="center"/>
          </w:tcPr>
          <w:p w14:paraId="316DF9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贡献值dB（A）</w:t>
            </w:r>
          </w:p>
        </w:tc>
      </w:tr>
      <w:tr w14:paraId="76BE8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 w:hRule="atLeast"/>
        </w:trPr>
        <w:tc>
          <w:tcPr>
            <w:tcW w:w="583" w:type="pct"/>
            <w:tcBorders>
              <w:tl2br w:val="nil"/>
              <w:tr2bl w:val="nil"/>
            </w:tcBorders>
            <w:shd w:val="clear" w:color="auto" w:fill="auto"/>
            <w:vAlign w:val="center"/>
          </w:tcPr>
          <w:p w14:paraId="610962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水剂搅拌釜</w:t>
            </w:r>
          </w:p>
        </w:tc>
        <w:tc>
          <w:tcPr>
            <w:tcW w:w="269" w:type="pct"/>
            <w:tcBorders>
              <w:tl2br w:val="nil"/>
              <w:tr2bl w:val="nil"/>
            </w:tcBorders>
            <w:shd w:val="clear" w:color="auto" w:fill="auto"/>
            <w:vAlign w:val="center"/>
          </w:tcPr>
          <w:p w14:paraId="01C3D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701" w:type="pct"/>
            <w:tcBorders>
              <w:tl2br w:val="nil"/>
              <w:tr2bl w:val="nil"/>
            </w:tcBorders>
            <w:shd w:val="clear" w:color="auto" w:fill="auto"/>
            <w:vAlign w:val="center"/>
          </w:tcPr>
          <w:p w14:paraId="15F895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399" w:type="pct"/>
            <w:tcBorders>
              <w:tl2br w:val="nil"/>
              <w:tr2bl w:val="nil"/>
            </w:tcBorders>
            <w:shd w:val="clear" w:color="auto" w:fill="auto"/>
            <w:noWrap/>
            <w:vAlign w:val="center"/>
          </w:tcPr>
          <w:p w14:paraId="19BC2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460" w:type="pct"/>
            <w:tcBorders>
              <w:tl2br w:val="nil"/>
              <w:tr2bl w:val="nil"/>
            </w:tcBorders>
            <w:shd w:val="clear" w:color="auto" w:fill="auto"/>
            <w:noWrap/>
            <w:vAlign w:val="center"/>
          </w:tcPr>
          <w:p w14:paraId="0B5FE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16.9</w:t>
            </w:r>
          </w:p>
        </w:tc>
        <w:tc>
          <w:tcPr>
            <w:tcW w:w="399" w:type="pct"/>
            <w:tcBorders>
              <w:tl2br w:val="nil"/>
              <w:tr2bl w:val="nil"/>
            </w:tcBorders>
            <w:shd w:val="clear" w:color="auto" w:fill="auto"/>
            <w:noWrap/>
            <w:vAlign w:val="center"/>
          </w:tcPr>
          <w:p w14:paraId="1D14B2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20.9</w:t>
            </w:r>
          </w:p>
        </w:tc>
        <w:tc>
          <w:tcPr>
            <w:tcW w:w="460" w:type="pct"/>
            <w:tcBorders>
              <w:tl2br w:val="nil"/>
              <w:tr2bl w:val="nil"/>
            </w:tcBorders>
            <w:shd w:val="clear" w:color="auto" w:fill="auto"/>
            <w:noWrap/>
            <w:vAlign w:val="center"/>
          </w:tcPr>
          <w:p w14:paraId="6A062B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23.4</w:t>
            </w:r>
          </w:p>
        </w:tc>
        <w:tc>
          <w:tcPr>
            <w:tcW w:w="399" w:type="pct"/>
            <w:tcBorders>
              <w:tl2br w:val="nil"/>
              <w:tr2bl w:val="nil"/>
            </w:tcBorders>
            <w:shd w:val="clear" w:color="auto" w:fill="auto"/>
            <w:noWrap/>
            <w:vAlign w:val="center"/>
          </w:tcPr>
          <w:p w14:paraId="2852A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460" w:type="pct"/>
            <w:tcBorders>
              <w:tl2br w:val="nil"/>
              <w:tr2bl w:val="nil"/>
            </w:tcBorders>
            <w:shd w:val="clear" w:color="auto" w:fill="auto"/>
            <w:noWrap/>
            <w:vAlign w:val="center"/>
          </w:tcPr>
          <w:p w14:paraId="49179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26.8</w:t>
            </w:r>
          </w:p>
        </w:tc>
        <w:tc>
          <w:tcPr>
            <w:tcW w:w="399" w:type="pct"/>
            <w:tcBorders>
              <w:tl2br w:val="nil"/>
              <w:tr2bl w:val="nil"/>
            </w:tcBorders>
            <w:shd w:val="clear" w:color="auto" w:fill="auto"/>
            <w:noWrap/>
            <w:vAlign w:val="center"/>
          </w:tcPr>
          <w:p w14:paraId="5C361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466" w:type="pct"/>
            <w:tcBorders>
              <w:tl2br w:val="nil"/>
              <w:tr2bl w:val="nil"/>
            </w:tcBorders>
            <w:shd w:val="clear" w:color="auto" w:fill="auto"/>
            <w:noWrap/>
            <w:vAlign w:val="center"/>
          </w:tcPr>
          <w:p w14:paraId="11815D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17.9</w:t>
            </w:r>
          </w:p>
        </w:tc>
      </w:tr>
      <w:tr w14:paraId="77D22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25" w:hRule="atLeast"/>
        </w:trPr>
        <w:tc>
          <w:tcPr>
            <w:tcW w:w="583" w:type="pct"/>
            <w:tcBorders>
              <w:tl2br w:val="nil"/>
              <w:tr2bl w:val="nil"/>
            </w:tcBorders>
            <w:shd w:val="clear" w:color="auto" w:fill="auto"/>
            <w:vAlign w:val="center"/>
          </w:tcPr>
          <w:p w14:paraId="5B26C0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粉剂搅拌罐</w:t>
            </w:r>
          </w:p>
        </w:tc>
        <w:tc>
          <w:tcPr>
            <w:tcW w:w="269" w:type="pct"/>
            <w:tcBorders>
              <w:tl2br w:val="nil"/>
              <w:tr2bl w:val="nil"/>
            </w:tcBorders>
            <w:shd w:val="clear" w:color="auto" w:fill="auto"/>
            <w:vAlign w:val="center"/>
          </w:tcPr>
          <w:p w14:paraId="13046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701" w:type="pct"/>
            <w:tcBorders>
              <w:tl2br w:val="nil"/>
              <w:tr2bl w:val="nil"/>
            </w:tcBorders>
            <w:shd w:val="clear" w:color="auto" w:fill="auto"/>
            <w:vAlign w:val="center"/>
          </w:tcPr>
          <w:p w14:paraId="21B9D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399" w:type="pct"/>
            <w:tcBorders>
              <w:tl2br w:val="nil"/>
              <w:tr2bl w:val="nil"/>
            </w:tcBorders>
            <w:shd w:val="clear" w:color="auto" w:fill="auto"/>
            <w:noWrap/>
            <w:vAlign w:val="center"/>
          </w:tcPr>
          <w:p w14:paraId="140A18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460" w:type="pct"/>
            <w:tcBorders>
              <w:tl2br w:val="nil"/>
              <w:tr2bl w:val="nil"/>
            </w:tcBorders>
            <w:shd w:val="clear" w:color="auto" w:fill="auto"/>
            <w:noWrap/>
            <w:vAlign w:val="center"/>
          </w:tcPr>
          <w:p w14:paraId="62FE9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18.6</w:t>
            </w:r>
          </w:p>
        </w:tc>
        <w:tc>
          <w:tcPr>
            <w:tcW w:w="399" w:type="pct"/>
            <w:tcBorders>
              <w:tl2br w:val="nil"/>
              <w:tr2bl w:val="nil"/>
            </w:tcBorders>
            <w:shd w:val="clear" w:color="auto" w:fill="auto"/>
            <w:noWrap/>
            <w:vAlign w:val="center"/>
          </w:tcPr>
          <w:p w14:paraId="38FA1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8.4</w:t>
            </w:r>
          </w:p>
        </w:tc>
        <w:tc>
          <w:tcPr>
            <w:tcW w:w="460" w:type="pct"/>
            <w:tcBorders>
              <w:tl2br w:val="nil"/>
              <w:tr2bl w:val="nil"/>
            </w:tcBorders>
            <w:shd w:val="clear" w:color="auto" w:fill="auto"/>
            <w:noWrap/>
            <w:vAlign w:val="center"/>
          </w:tcPr>
          <w:p w14:paraId="1660D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30.8</w:t>
            </w:r>
          </w:p>
        </w:tc>
        <w:tc>
          <w:tcPr>
            <w:tcW w:w="399" w:type="pct"/>
            <w:tcBorders>
              <w:tl2br w:val="nil"/>
              <w:tr2bl w:val="nil"/>
            </w:tcBorders>
            <w:shd w:val="clear" w:color="auto" w:fill="auto"/>
            <w:noWrap/>
            <w:vAlign w:val="center"/>
          </w:tcPr>
          <w:p w14:paraId="78D42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21.7</w:t>
            </w:r>
          </w:p>
        </w:tc>
        <w:tc>
          <w:tcPr>
            <w:tcW w:w="460" w:type="pct"/>
            <w:tcBorders>
              <w:tl2br w:val="nil"/>
              <w:tr2bl w:val="nil"/>
            </w:tcBorders>
            <w:shd w:val="clear" w:color="auto" w:fill="auto"/>
            <w:noWrap/>
            <w:vAlign w:val="center"/>
          </w:tcPr>
          <w:p w14:paraId="2A35C0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23.1</w:t>
            </w:r>
          </w:p>
        </w:tc>
        <w:tc>
          <w:tcPr>
            <w:tcW w:w="399" w:type="pct"/>
            <w:tcBorders>
              <w:tl2br w:val="nil"/>
              <w:tr2bl w:val="nil"/>
            </w:tcBorders>
            <w:shd w:val="clear" w:color="auto" w:fill="auto"/>
            <w:noWrap/>
            <w:vAlign w:val="center"/>
          </w:tcPr>
          <w:p w14:paraId="69D421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53.2</w:t>
            </w:r>
          </w:p>
        </w:tc>
        <w:tc>
          <w:tcPr>
            <w:tcW w:w="466" w:type="pct"/>
            <w:tcBorders>
              <w:tl2br w:val="nil"/>
              <w:tr2bl w:val="nil"/>
            </w:tcBorders>
            <w:shd w:val="clear" w:color="auto" w:fill="auto"/>
            <w:noWrap/>
            <w:vAlign w:val="center"/>
          </w:tcPr>
          <w:p w14:paraId="06EF9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15.5</w:t>
            </w:r>
          </w:p>
        </w:tc>
      </w:tr>
      <w:tr w14:paraId="7467F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 w:hRule="atLeast"/>
        </w:trPr>
        <w:tc>
          <w:tcPr>
            <w:tcW w:w="583" w:type="pct"/>
            <w:tcBorders>
              <w:tl2br w:val="nil"/>
              <w:tr2bl w:val="nil"/>
            </w:tcBorders>
            <w:shd w:val="clear" w:color="auto" w:fill="auto"/>
            <w:vAlign w:val="center"/>
          </w:tcPr>
          <w:p w14:paraId="2ED91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多功能混合搅拌罐</w:t>
            </w:r>
          </w:p>
        </w:tc>
        <w:tc>
          <w:tcPr>
            <w:tcW w:w="269" w:type="pct"/>
            <w:tcBorders>
              <w:tl2br w:val="nil"/>
              <w:tr2bl w:val="nil"/>
            </w:tcBorders>
            <w:shd w:val="clear" w:color="auto" w:fill="auto"/>
            <w:vAlign w:val="center"/>
          </w:tcPr>
          <w:p w14:paraId="6A3E9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701" w:type="pct"/>
            <w:tcBorders>
              <w:tl2br w:val="nil"/>
              <w:tr2bl w:val="nil"/>
            </w:tcBorders>
            <w:shd w:val="clear" w:color="auto" w:fill="auto"/>
            <w:vAlign w:val="center"/>
          </w:tcPr>
          <w:p w14:paraId="33B90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399" w:type="pct"/>
            <w:tcBorders>
              <w:tl2br w:val="nil"/>
              <w:tr2bl w:val="nil"/>
            </w:tcBorders>
            <w:shd w:val="clear" w:color="auto" w:fill="auto"/>
            <w:noWrap/>
            <w:vAlign w:val="center"/>
          </w:tcPr>
          <w:p w14:paraId="11472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460" w:type="pct"/>
            <w:tcBorders>
              <w:tl2br w:val="nil"/>
              <w:tr2bl w:val="nil"/>
            </w:tcBorders>
            <w:shd w:val="clear" w:color="auto" w:fill="auto"/>
            <w:noWrap/>
            <w:vAlign w:val="center"/>
          </w:tcPr>
          <w:p w14:paraId="798B5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399" w:type="pct"/>
            <w:tcBorders>
              <w:tl2br w:val="nil"/>
              <w:tr2bl w:val="nil"/>
            </w:tcBorders>
            <w:shd w:val="clear" w:color="auto" w:fill="auto"/>
            <w:noWrap/>
            <w:vAlign w:val="center"/>
          </w:tcPr>
          <w:p w14:paraId="5F07F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460" w:type="pct"/>
            <w:tcBorders>
              <w:tl2br w:val="nil"/>
              <w:tr2bl w:val="nil"/>
            </w:tcBorders>
            <w:shd w:val="clear" w:color="auto" w:fill="auto"/>
            <w:noWrap/>
            <w:vAlign w:val="center"/>
          </w:tcPr>
          <w:p w14:paraId="1C85B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18.4</w:t>
            </w:r>
          </w:p>
        </w:tc>
        <w:tc>
          <w:tcPr>
            <w:tcW w:w="399" w:type="pct"/>
            <w:tcBorders>
              <w:tl2br w:val="nil"/>
              <w:tr2bl w:val="nil"/>
            </w:tcBorders>
            <w:shd w:val="clear" w:color="auto" w:fill="auto"/>
            <w:noWrap/>
            <w:vAlign w:val="center"/>
          </w:tcPr>
          <w:p w14:paraId="48DDB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460" w:type="pct"/>
            <w:tcBorders>
              <w:tl2br w:val="nil"/>
              <w:tr2bl w:val="nil"/>
            </w:tcBorders>
            <w:shd w:val="clear" w:color="auto" w:fill="auto"/>
            <w:noWrap/>
            <w:vAlign w:val="center"/>
          </w:tcPr>
          <w:p w14:paraId="761B10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16.7</w:t>
            </w:r>
          </w:p>
        </w:tc>
        <w:tc>
          <w:tcPr>
            <w:tcW w:w="399" w:type="pct"/>
            <w:tcBorders>
              <w:tl2br w:val="nil"/>
              <w:tr2bl w:val="nil"/>
            </w:tcBorders>
            <w:shd w:val="clear" w:color="auto" w:fill="auto"/>
            <w:noWrap/>
            <w:vAlign w:val="center"/>
          </w:tcPr>
          <w:p w14:paraId="44457F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466" w:type="pct"/>
            <w:tcBorders>
              <w:tl2br w:val="nil"/>
              <w:tr2bl w:val="nil"/>
            </w:tcBorders>
            <w:shd w:val="clear" w:color="auto" w:fill="auto"/>
            <w:noWrap/>
            <w:vAlign w:val="center"/>
          </w:tcPr>
          <w:p w14:paraId="71FEBD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22.6</w:t>
            </w:r>
          </w:p>
        </w:tc>
      </w:tr>
      <w:tr w14:paraId="713F3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795" w:hRule="atLeast"/>
        </w:trPr>
        <w:tc>
          <w:tcPr>
            <w:tcW w:w="583" w:type="pct"/>
            <w:tcBorders>
              <w:tl2br w:val="nil"/>
              <w:tr2bl w:val="nil"/>
            </w:tcBorders>
            <w:shd w:val="clear" w:color="auto" w:fill="auto"/>
            <w:vAlign w:val="center"/>
          </w:tcPr>
          <w:p w14:paraId="17E1A5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电加热搅拌釜（3T）</w:t>
            </w:r>
          </w:p>
        </w:tc>
        <w:tc>
          <w:tcPr>
            <w:tcW w:w="269" w:type="pct"/>
            <w:tcBorders>
              <w:tl2br w:val="nil"/>
              <w:tr2bl w:val="nil"/>
            </w:tcBorders>
            <w:shd w:val="clear" w:color="auto" w:fill="auto"/>
            <w:vAlign w:val="center"/>
          </w:tcPr>
          <w:p w14:paraId="61E4CB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701" w:type="pct"/>
            <w:tcBorders>
              <w:tl2br w:val="nil"/>
              <w:tr2bl w:val="nil"/>
            </w:tcBorders>
            <w:shd w:val="clear" w:color="auto" w:fill="auto"/>
            <w:vAlign w:val="center"/>
          </w:tcPr>
          <w:p w14:paraId="53A186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399" w:type="pct"/>
            <w:tcBorders>
              <w:tl2br w:val="nil"/>
              <w:tr2bl w:val="nil"/>
            </w:tcBorders>
            <w:shd w:val="clear" w:color="auto" w:fill="auto"/>
            <w:noWrap/>
            <w:vAlign w:val="center"/>
          </w:tcPr>
          <w:p w14:paraId="2B574D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460" w:type="pct"/>
            <w:tcBorders>
              <w:tl2br w:val="nil"/>
              <w:tr2bl w:val="nil"/>
            </w:tcBorders>
            <w:shd w:val="clear" w:color="auto" w:fill="auto"/>
            <w:noWrap/>
            <w:vAlign w:val="center"/>
          </w:tcPr>
          <w:p w14:paraId="51EB5B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28.7</w:t>
            </w:r>
          </w:p>
        </w:tc>
        <w:tc>
          <w:tcPr>
            <w:tcW w:w="399" w:type="pct"/>
            <w:tcBorders>
              <w:tl2br w:val="nil"/>
              <w:tr2bl w:val="nil"/>
            </w:tcBorders>
            <w:shd w:val="clear" w:color="auto" w:fill="auto"/>
            <w:noWrap/>
            <w:vAlign w:val="center"/>
          </w:tcPr>
          <w:p w14:paraId="0FC7F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460" w:type="pct"/>
            <w:tcBorders>
              <w:tl2br w:val="nil"/>
              <w:tr2bl w:val="nil"/>
            </w:tcBorders>
            <w:shd w:val="clear" w:color="auto" w:fill="auto"/>
            <w:noWrap/>
            <w:vAlign w:val="center"/>
          </w:tcPr>
          <w:p w14:paraId="692BA8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17.9</w:t>
            </w:r>
          </w:p>
        </w:tc>
        <w:tc>
          <w:tcPr>
            <w:tcW w:w="399" w:type="pct"/>
            <w:tcBorders>
              <w:tl2br w:val="nil"/>
              <w:tr2bl w:val="nil"/>
            </w:tcBorders>
            <w:shd w:val="clear" w:color="auto" w:fill="auto"/>
            <w:noWrap/>
            <w:vAlign w:val="center"/>
          </w:tcPr>
          <w:p w14:paraId="6972AC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460" w:type="pct"/>
            <w:tcBorders>
              <w:tl2br w:val="nil"/>
              <w:tr2bl w:val="nil"/>
            </w:tcBorders>
            <w:shd w:val="clear" w:color="auto" w:fill="auto"/>
            <w:noWrap/>
            <w:vAlign w:val="center"/>
          </w:tcPr>
          <w:p w14:paraId="4E3FD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16.5</w:t>
            </w:r>
          </w:p>
        </w:tc>
        <w:tc>
          <w:tcPr>
            <w:tcW w:w="399" w:type="pct"/>
            <w:tcBorders>
              <w:tl2br w:val="nil"/>
              <w:tr2bl w:val="nil"/>
            </w:tcBorders>
            <w:shd w:val="clear" w:color="auto" w:fill="auto"/>
            <w:noWrap/>
            <w:vAlign w:val="center"/>
          </w:tcPr>
          <w:p w14:paraId="725A66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466" w:type="pct"/>
            <w:tcBorders>
              <w:tl2br w:val="nil"/>
              <w:tr2bl w:val="nil"/>
            </w:tcBorders>
            <w:shd w:val="clear" w:color="auto" w:fill="auto"/>
            <w:noWrap/>
            <w:vAlign w:val="center"/>
          </w:tcPr>
          <w:p w14:paraId="21DB72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23.8</w:t>
            </w:r>
          </w:p>
        </w:tc>
      </w:tr>
      <w:tr w14:paraId="6F88F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795" w:hRule="atLeast"/>
        </w:trPr>
        <w:tc>
          <w:tcPr>
            <w:tcW w:w="583" w:type="pct"/>
            <w:tcBorders>
              <w:tl2br w:val="nil"/>
              <w:tr2bl w:val="nil"/>
            </w:tcBorders>
            <w:shd w:val="clear" w:color="auto" w:fill="auto"/>
            <w:vAlign w:val="center"/>
          </w:tcPr>
          <w:p w14:paraId="4F4ADC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简易电加热搅拌釜（2T）</w:t>
            </w:r>
          </w:p>
        </w:tc>
        <w:tc>
          <w:tcPr>
            <w:tcW w:w="269" w:type="pct"/>
            <w:tcBorders>
              <w:tl2br w:val="nil"/>
              <w:tr2bl w:val="nil"/>
            </w:tcBorders>
            <w:shd w:val="clear" w:color="auto" w:fill="auto"/>
            <w:vAlign w:val="center"/>
          </w:tcPr>
          <w:p w14:paraId="6F00A5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701" w:type="pct"/>
            <w:tcBorders>
              <w:tl2br w:val="nil"/>
              <w:tr2bl w:val="nil"/>
            </w:tcBorders>
            <w:shd w:val="clear" w:color="auto" w:fill="auto"/>
            <w:vAlign w:val="center"/>
          </w:tcPr>
          <w:p w14:paraId="3836B9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399" w:type="pct"/>
            <w:tcBorders>
              <w:tl2br w:val="nil"/>
              <w:tr2bl w:val="nil"/>
            </w:tcBorders>
            <w:shd w:val="clear" w:color="auto" w:fill="auto"/>
            <w:noWrap/>
            <w:vAlign w:val="center"/>
          </w:tcPr>
          <w:p w14:paraId="10CAA8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460" w:type="pct"/>
            <w:tcBorders>
              <w:tl2br w:val="nil"/>
              <w:tr2bl w:val="nil"/>
            </w:tcBorders>
            <w:shd w:val="clear" w:color="auto" w:fill="auto"/>
            <w:noWrap/>
            <w:vAlign w:val="center"/>
          </w:tcPr>
          <w:p w14:paraId="7E9FE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19.9</w:t>
            </w:r>
          </w:p>
        </w:tc>
        <w:tc>
          <w:tcPr>
            <w:tcW w:w="399" w:type="pct"/>
            <w:tcBorders>
              <w:tl2br w:val="nil"/>
              <w:tr2bl w:val="nil"/>
            </w:tcBorders>
            <w:shd w:val="clear" w:color="auto" w:fill="auto"/>
            <w:noWrap/>
            <w:vAlign w:val="center"/>
          </w:tcPr>
          <w:p w14:paraId="2276A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460" w:type="pct"/>
            <w:tcBorders>
              <w:tl2br w:val="nil"/>
              <w:tr2bl w:val="nil"/>
            </w:tcBorders>
            <w:shd w:val="clear" w:color="auto" w:fill="auto"/>
            <w:noWrap/>
            <w:vAlign w:val="center"/>
          </w:tcPr>
          <w:p w14:paraId="4A78E9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29.2</w:t>
            </w:r>
          </w:p>
        </w:tc>
        <w:tc>
          <w:tcPr>
            <w:tcW w:w="399" w:type="pct"/>
            <w:tcBorders>
              <w:tl2br w:val="nil"/>
              <w:tr2bl w:val="nil"/>
            </w:tcBorders>
            <w:shd w:val="clear" w:color="auto" w:fill="auto"/>
            <w:noWrap/>
            <w:vAlign w:val="center"/>
          </w:tcPr>
          <w:p w14:paraId="2898F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460" w:type="pct"/>
            <w:tcBorders>
              <w:tl2br w:val="nil"/>
              <w:tr2bl w:val="nil"/>
            </w:tcBorders>
            <w:shd w:val="clear" w:color="auto" w:fill="auto"/>
            <w:noWrap/>
            <w:vAlign w:val="center"/>
          </w:tcPr>
          <w:p w14:paraId="15A24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29.8</w:t>
            </w:r>
          </w:p>
        </w:tc>
        <w:tc>
          <w:tcPr>
            <w:tcW w:w="399" w:type="pct"/>
            <w:tcBorders>
              <w:tl2br w:val="nil"/>
              <w:tr2bl w:val="nil"/>
            </w:tcBorders>
            <w:shd w:val="clear" w:color="auto" w:fill="auto"/>
            <w:noWrap/>
            <w:vAlign w:val="center"/>
          </w:tcPr>
          <w:p w14:paraId="451EEE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466" w:type="pct"/>
            <w:tcBorders>
              <w:tl2br w:val="nil"/>
              <w:tr2bl w:val="nil"/>
            </w:tcBorders>
            <w:shd w:val="clear" w:color="auto" w:fill="auto"/>
            <w:noWrap/>
            <w:vAlign w:val="center"/>
          </w:tcPr>
          <w:p w14:paraId="6F81E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19.7</w:t>
            </w:r>
          </w:p>
        </w:tc>
      </w:tr>
      <w:tr w14:paraId="6EC29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00" w:hRule="atLeast"/>
        </w:trPr>
        <w:tc>
          <w:tcPr>
            <w:tcW w:w="583" w:type="pct"/>
            <w:tcBorders>
              <w:tl2br w:val="nil"/>
              <w:tr2bl w:val="nil"/>
            </w:tcBorders>
            <w:shd w:val="clear" w:color="auto" w:fill="auto"/>
            <w:vAlign w:val="center"/>
          </w:tcPr>
          <w:p w14:paraId="09DC71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打粉机</w:t>
            </w:r>
          </w:p>
        </w:tc>
        <w:tc>
          <w:tcPr>
            <w:tcW w:w="269" w:type="pct"/>
            <w:tcBorders>
              <w:tl2br w:val="nil"/>
              <w:tr2bl w:val="nil"/>
            </w:tcBorders>
            <w:shd w:val="clear" w:color="auto" w:fill="auto"/>
            <w:vAlign w:val="center"/>
          </w:tcPr>
          <w:p w14:paraId="6A5B13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701" w:type="pct"/>
            <w:tcBorders>
              <w:tl2br w:val="nil"/>
              <w:tr2bl w:val="nil"/>
            </w:tcBorders>
            <w:shd w:val="clear" w:color="auto" w:fill="auto"/>
            <w:vAlign w:val="center"/>
          </w:tcPr>
          <w:p w14:paraId="38F2DC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399" w:type="pct"/>
            <w:tcBorders>
              <w:tl2br w:val="nil"/>
              <w:tr2bl w:val="nil"/>
            </w:tcBorders>
            <w:shd w:val="clear" w:color="auto" w:fill="auto"/>
            <w:noWrap/>
            <w:vAlign w:val="center"/>
          </w:tcPr>
          <w:p w14:paraId="2AE176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460" w:type="pct"/>
            <w:tcBorders>
              <w:tl2br w:val="nil"/>
              <w:tr2bl w:val="nil"/>
            </w:tcBorders>
            <w:shd w:val="clear" w:color="auto" w:fill="auto"/>
            <w:noWrap/>
            <w:vAlign w:val="center"/>
          </w:tcPr>
          <w:p w14:paraId="0D66A3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399" w:type="pct"/>
            <w:tcBorders>
              <w:tl2br w:val="nil"/>
              <w:tr2bl w:val="nil"/>
            </w:tcBorders>
            <w:shd w:val="clear" w:color="auto" w:fill="auto"/>
            <w:noWrap/>
            <w:vAlign w:val="center"/>
          </w:tcPr>
          <w:p w14:paraId="76CBD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460" w:type="pct"/>
            <w:tcBorders>
              <w:tl2br w:val="nil"/>
              <w:tr2bl w:val="nil"/>
            </w:tcBorders>
            <w:shd w:val="clear" w:color="auto" w:fill="auto"/>
            <w:noWrap/>
            <w:vAlign w:val="center"/>
          </w:tcPr>
          <w:p w14:paraId="1C0E0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21.7</w:t>
            </w:r>
          </w:p>
        </w:tc>
        <w:tc>
          <w:tcPr>
            <w:tcW w:w="399" w:type="pct"/>
            <w:tcBorders>
              <w:tl2br w:val="nil"/>
              <w:tr2bl w:val="nil"/>
            </w:tcBorders>
            <w:shd w:val="clear" w:color="auto" w:fill="auto"/>
            <w:noWrap/>
            <w:vAlign w:val="center"/>
          </w:tcPr>
          <w:p w14:paraId="7AF639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460" w:type="pct"/>
            <w:tcBorders>
              <w:tl2br w:val="nil"/>
              <w:tr2bl w:val="nil"/>
            </w:tcBorders>
            <w:shd w:val="clear" w:color="auto" w:fill="auto"/>
            <w:noWrap/>
            <w:vAlign w:val="center"/>
          </w:tcPr>
          <w:p w14:paraId="11F7E5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23.6</w:t>
            </w:r>
          </w:p>
        </w:tc>
        <w:tc>
          <w:tcPr>
            <w:tcW w:w="399" w:type="pct"/>
            <w:tcBorders>
              <w:tl2br w:val="nil"/>
              <w:tr2bl w:val="nil"/>
            </w:tcBorders>
            <w:shd w:val="clear" w:color="auto" w:fill="auto"/>
            <w:noWrap/>
            <w:vAlign w:val="center"/>
          </w:tcPr>
          <w:p w14:paraId="5AC533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466" w:type="pct"/>
            <w:tcBorders>
              <w:tl2br w:val="nil"/>
              <w:tr2bl w:val="nil"/>
            </w:tcBorders>
            <w:shd w:val="clear" w:color="auto" w:fill="auto"/>
            <w:noWrap/>
            <w:vAlign w:val="center"/>
          </w:tcPr>
          <w:p w14:paraId="49749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31.8</w:t>
            </w:r>
          </w:p>
        </w:tc>
      </w:tr>
      <w:tr w14:paraId="319D6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583" w:type="pct"/>
            <w:tcBorders>
              <w:tl2br w:val="nil"/>
              <w:tr2bl w:val="nil"/>
            </w:tcBorders>
            <w:shd w:val="clear" w:color="auto" w:fill="auto"/>
            <w:vAlign w:val="center"/>
          </w:tcPr>
          <w:p w14:paraId="1BF856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风机</w:t>
            </w:r>
          </w:p>
        </w:tc>
        <w:tc>
          <w:tcPr>
            <w:tcW w:w="269" w:type="pct"/>
            <w:tcBorders>
              <w:tl2br w:val="nil"/>
              <w:tr2bl w:val="nil"/>
            </w:tcBorders>
            <w:shd w:val="clear" w:color="auto" w:fill="auto"/>
            <w:vAlign w:val="center"/>
          </w:tcPr>
          <w:p w14:paraId="646461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701" w:type="pct"/>
            <w:tcBorders>
              <w:tl2br w:val="nil"/>
              <w:tr2bl w:val="nil"/>
            </w:tcBorders>
            <w:shd w:val="clear" w:color="auto" w:fill="auto"/>
            <w:vAlign w:val="center"/>
          </w:tcPr>
          <w:p w14:paraId="7C434C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399" w:type="pct"/>
            <w:tcBorders>
              <w:tl2br w:val="nil"/>
              <w:tr2bl w:val="nil"/>
            </w:tcBorders>
            <w:shd w:val="clear" w:color="auto" w:fill="auto"/>
            <w:noWrap/>
            <w:vAlign w:val="center"/>
          </w:tcPr>
          <w:p w14:paraId="62413E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460" w:type="pct"/>
            <w:tcBorders>
              <w:tl2br w:val="nil"/>
              <w:tr2bl w:val="nil"/>
            </w:tcBorders>
            <w:shd w:val="clear" w:color="auto" w:fill="auto"/>
            <w:noWrap/>
            <w:vAlign w:val="center"/>
          </w:tcPr>
          <w:p w14:paraId="7F2DBF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39.2</w:t>
            </w:r>
          </w:p>
        </w:tc>
        <w:tc>
          <w:tcPr>
            <w:tcW w:w="399" w:type="pct"/>
            <w:tcBorders>
              <w:tl2br w:val="nil"/>
              <w:tr2bl w:val="nil"/>
            </w:tcBorders>
            <w:shd w:val="clear" w:color="auto" w:fill="auto"/>
            <w:noWrap/>
            <w:vAlign w:val="center"/>
          </w:tcPr>
          <w:p w14:paraId="71586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460" w:type="pct"/>
            <w:tcBorders>
              <w:tl2br w:val="nil"/>
              <w:tr2bl w:val="nil"/>
            </w:tcBorders>
            <w:shd w:val="clear" w:color="auto" w:fill="auto"/>
            <w:noWrap/>
            <w:vAlign w:val="center"/>
          </w:tcPr>
          <w:p w14:paraId="5DC3D5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26.1</w:t>
            </w:r>
          </w:p>
        </w:tc>
        <w:tc>
          <w:tcPr>
            <w:tcW w:w="399" w:type="pct"/>
            <w:tcBorders>
              <w:tl2br w:val="nil"/>
              <w:tr2bl w:val="nil"/>
            </w:tcBorders>
            <w:shd w:val="clear" w:color="auto" w:fill="auto"/>
            <w:noWrap/>
            <w:vAlign w:val="center"/>
          </w:tcPr>
          <w:p w14:paraId="66255D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460" w:type="pct"/>
            <w:tcBorders>
              <w:tl2br w:val="nil"/>
              <w:tr2bl w:val="nil"/>
            </w:tcBorders>
            <w:shd w:val="clear" w:color="auto" w:fill="auto"/>
            <w:noWrap/>
            <w:vAlign w:val="center"/>
          </w:tcPr>
          <w:p w14:paraId="0C7E31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399" w:type="pct"/>
            <w:tcBorders>
              <w:tl2br w:val="nil"/>
              <w:tr2bl w:val="nil"/>
            </w:tcBorders>
            <w:shd w:val="clear" w:color="auto" w:fill="auto"/>
            <w:noWrap/>
            <w:vAlign w:val="center"/>
          </w:tcPr>
          <w:p w14:paraId="48A36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466" w:type="pct"/>
            <w:tcBorders>
              <w:tl2br w:val="nil"/>
              <w:tr2bl w:val="nil"/>
            </w:tcBorders>
            <w:shd w:val="clear" w:color="auto" w:fill="auto"/>
            <w:noWrap/>
            <w:vAlign w:val="center"/>
          </w:tcPr>
          <w:p w14:paraId="79B6AD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31.4</w:t>
            </w:r>
          </w:p>
        </w:tc>
      </w:tr>
      <w:tr w14:paraId="7CADC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00" w:hRule="atLeast"/>
        </w:trPr>
        <w:tc>
          <w:tcPr>
            <w:tcW w:w="583" w:type="pct"/>
            <w:tcBorders>
              <w:tl2br w:val="nil"/>
              <w:tr2bl w:val="nil"/>
            </w:tcBorders>
            <w:shd w:val="clear" w:color="auto" w:fill="auto"/>
            <w:vAlign w:val="center"/>
          </w:tcPr>
          <w:p w14:paraId="5F022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空压机</w:t>
            </w:r>
          </w:p>
        </w:tc>
        <w:tc>
          <w:tcPr>
            <w:tcW w:w="269" w:type="pct"/>
            <w:tcBorders>
              <w:tl2br w:val="nil"/>
              <w:tr2bl w:val="nil"/>
            </w:tcBorders>
            <w:shd w:val="clear" w:color="auto" w:fill="auto"/>
            <w:vAlign w:val="center"/>
          </w:tcPr>
          <w:p w14:paraId="0A35D3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701" w:type="pct"/>
            <w:tcBorders>
              <w:tl2br w:val="nil"/>
              <w:tr2bl w:val="nil"/>
            </w:tcBorders>
            <w:shd w:val="clear" w:color="auto" w:fill="auto"/>
            <w:vAlign w:val="center"/>
          </w:tcPr>
          <w:p w14:paraId="1BA977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65</w:t>
            </w:r>
          </w:p>
        </w:tc>
        <w:tc>
          <w:tcPr>
            <w:tcW w:w="399" w:type="pct"/>
            <w:tcBorders>
              <w:tl2br w:val="nil"/>
              <w:tr2bl w:val="nil"/>
            </w:tcBorders>
            <w:shd w:val="clear" w:color="auto" w:fill="auto"/>
            <w:noWrap/>
            <w:vAlign w:val="center"/>
          </w:tcPr>
          <w:p w14:paraId="5904B4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460" w:type="pct"/>
            <w:tcBorders>
              <w:tl2br w:val="nil"/>
              <w:tr2bl w:val="nil"/>
            </w:tcBorders>
            <w:shd w:val="clear" w:color="auto" w:fill="auto"/>
            <w:noWrap/>
            <w:vAlign w:val="center"/>
          </w:tcPr>
          <w:p w14:paraId="1F8C75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37.4</w:t>
            </w:r>
          </w:p>
        </w:tc>
        <w:tc>
          <w:tcPr>
            <w:tcW w:w="399" w:type="pct"/>
            <w:tcBorders>
              <w:tl2br w:val="nil"/>
              <w:tr2bl w:val="nil"/>
            </w:tcBorders>
            <w:shd w:val="clear" w:color="auto" w:fill="auto"/>
            <w:noWrap/>
            <w:vAlign w:val="center"/>
          </w:tcPr>
          <w:p w14:paraId="10E2F3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460" w:type="pct"/>
            <w:tcBorders>
              <w:tl2br w:val="nil"/>
              <w:tr2bl w:val="nil"/>
            </w:tcBorders>
            <w:shd w:val="clear" w:color="auto" w:fill="auto"/>
            <w:noWrap/>
            <w:vAlign w:val="center"/>
          </w:tcPr>
          <w:p w14:paraId="5C0BBF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26.2</w:t>
            </w:r>
          </w:p>
        </w:tc>
        <w:tc>
          <w:tcPr>
            <w:tcW w:w="399" w:type="pct"/>
            <w:tcBorders>
              <w:tl2br w:val="nil"/>
              <w:tr2bl w:val="nil"/>
            </w:tcBorders>
            <w:shd w:val="clear" w:color="auto" w:fill="auto"/>
            <w:noWrap/>
            <w:vAlign w:val="center"/>
          </w:tcPr>
          <w:p w14:paraId="43DFA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460" w:type="pct"/>
            <w:tcBorders>
              <w:tl2br w:val="nil"/>
              <w:tr2bl w:val="nil"/>
            </w:tcBorders>
            <w:shd w:val="clear" w:color="auto" w:fill="auto"/>
            <w:noWrap/>
            <w:vAlign w:val="center"/>
          </w:tcPr>
          <w:p w14:paraId="39CDC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27.1</w:t>
            </w:r>
          </w:p>
        </w:tc>
        <w:tc>
          <w:tcPr>
            <w:tcW w:w="399" w:type="pct"/>
            <w:tcBorders>
              <w:tl2br w:val="nil"/>
              <w:tr2bl w:val="nil"/>
            </w:tcBorders>
            <w:shd w:val="clear" w:color="auto" w:fill="auto"/>
            <w:noWrap/>
            <w:vAlign w:val="center"/>
          </w:tcPr>
          <w:p w14:paraId="4733A1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466" w:type="pct"/>
            <w:tcBorders>
              <w:tl2br w:val="nil"/>
              <w:tr2bl w:val="nil"/>
            </w:tcBorders>
            <w:shd w:val="clear" w:color="auto" w:fill="auto"/>
            <w:noWrap/>
            <w:vAlign w:val="center"/>
          </w:tcPr>
          <w:p w14:paraId="49213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38.7</w:t>
            </w:r>
          </w:p>
        </w:tc>
      </w:tr>
      <w:tr w14:paraId="156F3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300" w:hRule="atLeast"/>
        </w:trPr>
        <w:tc>
          <w:tcPr>
            <w:tcW w:w="1554" w:type="pct"/>
            <w:gridSpan w:val="3"/>
            <w:tcBorders>
              <w:tl2br w:val="nil"/>
              <w:tr2bl w:val="nil"/>
            </w:tcBorders>
            <w:shd w:val="clear" w:color="auto" w:fill="auto"/>
            <w:noWrap/>
            <w:vAlign w:val="center"/>
          </w:tcPr>
          <w:p w14:paraId="298FC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叠加后的声级</w:t>
            </w:r>
          </w:p>
        </w:tc>
        <w:tc>
          <w:tcPr>
            <w:tcW w:w="859" w:type="pct"/>
            <w:gridSpan w:val="2"/>
            <w:tcBorders>
              <w:tl2br w:val="nil"/>
              <w:tr2bl w:val="nil"/>
            </w:tcBorders>
            <w:shd w:val="clear" w:color="auto" w:fill="auto"/>
            <w:noWrap/>
            <w:vAlign w:val="center"/>
          </w:tcPr>
          <w:p w14:paraId="50AB57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41.95</w:t>
            </w:r>
          </w:p>
        </w:tc>
        <w:tc>
          <w:tcPr>
            <w:tcW w:w="859" w:type="pct"/>
            <w:gridSpan w:val="2"/>
            <w:tcBorders>
              <w:tl2br w:val="nil"/>
              <w:tr2bl w:val="nil"/>
            </w:tcBorders>
            <w:shd w:val="clear" w:color="auto" w:fill="auto"/>
            <w:noWrap/>
            <w:vAlign w:val="center"/>
          </w:tcPr>
          <w:p w14:paraId="38F871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35.26</w:t>
            </w:r>
          </w:p>
        </w:tc>
        <w:tc>
          <w:tcPr>
            <w:tcW w:w="859" w:type="pct"/>
            <w:gridSpan w:val="2"/>
            <w:tcBorders>
              <w:tl2br w:val="nil"/>
              <w:tr2bl w:val="nil"/>
            </w:tcBorders>
            <w:shd w:val="clear" w:color="auto" w:fill="auto"/>
            <w:noWrap/>
            <w:vAlign w:val="center"/>
          </w:tcPr>
          <w:p w14:paraId="2342AA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34.35</w:t>
            </w:r>
          </w:p>
        </w:tc>
        <w:tc>
          <w:tcPr>
            <w:tcW w:w="866" w:type="pct"/>
            <w:gridSpan w:val="2"/>
            <w:tcBorders>
              <w:tl2br w:val="nil"/>
              <w:tr2bl w:val="nil"/>
            </w:tcBorders>
            <w:shd w:val="clear" w:color="auto" w:fill="auto"/>
            <w:noWrap/>
            <w:vAlign w:val="center"/>
          </w:tcPr>
          <w:p w14:paraId="0B2902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40.38</w:t>
            </w:r>
          </w:p>
        </w:tc>
      </w:tr>
    </w:tbl>
    <w:p w14:paraId="1C6874CB">
      <w:pPr>
        <w:spacing w:line="212" w:lineRule="auto"/>
        <w:ind w:left="1360"/>
        <w:rPr>
          <w:rFonts w:hint="eastAsia"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pPr>
    </w:p>
    <w:p w14:paraId="6F857DD7">
      <w:pPr>
        <w:spacing w:line="212" w:lineRule="auto"/>
        <w:ind w:left="1360"/>
        <w:rPr>
          <w:rFonts w:hint="eastAsia"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val="0"/>
          <w:snapToGrid w:val="0"/>
          <w:color w:val="000000" w:themeColor="text1"/>
          <w:kern w:val="0"/>
          <w:sz w:val="24"/>
          <w:szCs w:val="24"/>
          <w:highlight w:val="none"/>
          <w:lang w:val="en-US" w:eastAsia="zh-CN" w:bidi="ar-SA"/>
          <w14:textFill>
            <w14:solidFill>
              <w14:schemeClr w14:val="tx1"/>
            </w14:solidFill>
          </w14:textFill>
        </w:rPr>
        <w:t>表 6.5-3  项目厂界的噪声预测值       单位：dB(A)</w:t>
      </w:r>
    </w:p>
    <w:p w14:paraId="1F006EA1">
      <w:pPr>
        <w:spacing w:line="78" w:lineRule="exact"/>
        <w:rPr>
          <w:highlight w:val="none"/>
        </w:rPr>
      </w:pPr>
    </w:p>
    <w:tbl>
      <w:tblPr>
        <w:tblStyle w:val="37"/>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294"/>
        <w:gridCol w:w="1775"/>
        <w:gridCol w:w="2079"/>
        <w:gridCol w:w="1570"/>
        <w:gridCol w:w="1594"/>
      </w:tblGrid>
      <w:tr w14:paraId="3E792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 w:hRule="atLeast"/>
        </w:trPr>
        <w:tc>
          <w:tcPr>
            <w:tcW w:w="778" w:type="pct"/>
            <w:vMerge w:val="restart"/>
            <w:tcBorders>
              <w:tl2br w:val="nil"/>
              <w:tr2bl w:val="nil"/>
            </w:tcBorders>
            <w:vAlign w:val="top"/>
          </w:tcPr>
          <w:p w14:paraId="2FA50D0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0"/>
                <w:szCs w:val="20"/>
                <w:highlight w:val="none"/>
              </w:rPr>
            </w:pPr>
          </w:p>
          <w:p w14:paraId="51E6B53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序号</w:t>
            </w:r>
          </w:p>
        </w:tc>
        <w:tc>
          <w:tcPr>
            <w:tcW w:w="1067" w:type="pct"/>
            <w:vMerge w:val="restart"/>
            <w:tcBorders>
              <w:tl2br w:val="nil"/>
              <w:tr2bl w:val="nil"/>
            </w:tcBorders>
            <w:vAlign w:val="top"/>
          </w:tcPr>
          <w:p w14:paraId="355BC93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0"/>
                <w:szCs w:val="20"/>
                <w:highlight w:val="none"/>
              </w:rPr>
            </w:pPr>
          </w:p>
          <w:p w14:paraId="5A37E6A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3"/>
                <w:sz w:val="20"/>
                <w:szCs w:val="20"/>
                <w:highlight w:val="none"/>
              </w:rPr>
              <w:t>名称</w:t>
            </w:r>
          </w:p>
        </w:tc>
        <w:tc>
          <w:tcPr>
            <w:tcW w:w="1250" w:type="pct"/>
            <w:tcBorders>
              <w:tl2br w:val="nil"/>
              <w:tr2bl w:val="nil"/>
            </w:tcBorders>
            <w:vAlign w:val="top"/>
          </w:tcPr>
          <w:p w14:paraId="5E60344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4"/>
                <w:sz w:val="20"/>
                <w:szCs w:val="20"/>
                <w:highlight w:val="none"/>
              </w:rPr>
              <w:t>噪声标准</w:t>
            </w:r>
          </w:p>
          <w:p w14:paraId="64DC01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7"/>
                <w:sz w:val="20"/>
                <w:szCs w:val="20"/>
                <w:highlight w:val="none"/>
              </w:rPr>
              <w:t>(</w:t>
            </w:r>
            <w:r>
              <w:rPr>
                <w:rFonts w:ascii="Times New Roman" w:hAnsi="Times New Roman" w:eastAsia="Times New Roman" w:cs="Times New Roman"/>
                <w:sz w:val="20"/>
                <w:szCs w:val="20"/>
                <w:highlight w:val="none"/>
              </w:rPr>
              <w:t>dBA</w:t>
            </w:r>
            <w:r>
              <w:rPr>
                <w:rFonts w:ascii="Times New Roman" w:hAnsi="Times New Roman" w:eastAsia="Times New Roman" w:cs="Times New Roman"/>
                <w:spacing w:val="7"/>
                <w:sz w:val="20"/>
                <w:szCs w:val="20"/>
                <w:highlight w:val="none"/>
              </w:rPr>
              <w:t>)</w:t>
            </w:r>
          </w:p>
        </w:tc>
        <w:tc>
          <w:tcPr>
            <w:tcW w:w="944" w:type="pct"/>
            <w:tcBorders>
              <w:tl2br w:val="nil"/>
              <w:tr2bl w:val="nil"/>
            </w:tcBorders>
            <w:vAlign w:val="top"/>
          </w:tcPr>
          <w:p w14:paraId="2B6EDDA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6"/>
                <w:sz w:val="20"/>
                <w:szCs w:val="20"/>
                <w:highlight w:val="none"/>
              </w:rPr>
              <w:t>噪声贡献值</w:t>
            </w:r>
          </w:p>
          <w:p w14:paraId="21C000C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7"/>
                <w:sz w:val="20"/>
                <w:szCs w:val="20"/>
                <w:highlight w:val="none"/>
              </w:rPr>
              <w:t>(</w:t>
            </w:r>
            <w:r>
              <w:rPr>
                <w:rFonts w:ascii="Times New Roman" w:hAnsi="Times New Roman" w:eastAsia="Times New Roman" w:cs="Times New Roman"/>
                <w:sz w:val="20"/>
                <w:szCs w:val="20"/>
                <w:highlight w:val="none"/>
              </w:rPr>
              <w:t>dBA</w:t>
            </w:r>
            <w:r>
              <w:rPr>
                <w:rFonts w:ascii="Times New Roman" w:hAnsi="Times New Roman" w:eastAsia="Times New Roman" w:cs="Times New Roman"/>
                <w:spacing w:val="7"/>
                <w:sz w:val="20"/>
                <w:szCs w:val="20"/>
                <w:highlight w:val="none"/>
              </w:rPr>
              <w:t>)</w:t>
            </w:r>
          </w:p>
        </w:tc>
        <w:tc>
          <w:tcPr>
            <w:tcW w:w="958" w:type="pct"/>
            <w:tcBorders>
              <w:tl2br w:val="nil"/>
              <w:tr2bl w:val="nil"/>
            </w:tcBorders>
            <w:vAlign w:val="top"/>
          </w:tcPr>
          <w:p w14:paraId="3A4B3AF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8"/>
                <w:sz w:val="20"/>
                <w:szCs w:val="20"/>
                <w:highlight w:val="none"/>
              </w:rPr>
              <w:t>超标和达标</w:t>
            </w:r>
          </w:p>
          <w:p w14:paraId="0F3A4D1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4"/>
                <w:sz w:val="20"/>
                <w:szCs w:val="20"/>
                <w:highlight w:val="none"/>
              </w:rPr>
              <w:t>情况</w:t>
            </w:r>
          </w:p>
        </w:tc>
      </w:tr>
      <w:tr w14:paraId="6906B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78" w:type="pct"/>
            <w:vMerge w:val="continue"/>
            <w:tcBorders>
              <w:tl2br w:val="nil"/>
              <w:tr2bl w:val="nil"/>
            </w:tcBorders>
            <w:vAlign w:val="top"/>
          </w:tcPr>
          <w:p w14:paraId="3A51DA7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0"/>
                <w:szCs w:val="20"/>
                <w:highlight w:val="none"/>
              </w:rPr>
            </w:pPr>
          </w:p>
        </w:tc>
        <w:tc>
          <w:tcPr>
            <w:tcW w:w="1067" w:type="pct"/>
            <w:vMerge w:val="continue"/>
            <w:tcBorders>
              <w:tl2br w:val="nil"/>
              <w:tr2bl w:val="nil"/>
            </w:tcBorders>
            <w:vAlign w:val="top"/>
          </w:tcPr>
          <w:p w14:paraId="782F48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Arial"/>
                <w:sz w:val="20"/>
                <w:szCs w:val="20"/>
                <w:highlight w:val="none"/>
              </w:rPr>
            </w:pPr>
          </w:p>
        </w:tc>
        <w:tc>
          <w:tcPr>
            <w:tcW w:w="1250" w:type="pct"/>
            <w:tcBorders>
              <w:tl2br w:val="nil"/>
              <w:tr2bl w:val="nil"/>
            </w:tcBorders>
            <w:vAlign w:val="top"/>
          </w:tcPr>
          <w:p w14:paraId="02B6A30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昼间</w:t>
            </w:r>
          </w:p>
        </w:tc>
        <w:tc>
          <w:tcPr>
            <w:tcW w:w="944" w:type="pct"/>
            <w:tcBorders>
              <w:tl2br w:val="nil"/>
              <w:tr2bl w:val="nil"/>
            </w:tcBorders>
            <w:vAlign w:val="top"/>
          </w:tcPr>
          <w:p w14:paraId="0A20528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昼间</w:t>
            </w:r>
          </w:p>
        </w:tc>
        <w:tc>
          <w:tcPr>
            <w:tcW w:w="958" w:type="pct"/>
            <w:tcBorders>
              <w:tl2br w:val="nil"/>
              <w:tr2bl w:val="nil"/>
            </w:tcBorders>
            <w:vAlign w:val="top"/>
          </w:tcPr>
          <w:p w14:paraId="0143FB9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昼间</w:t>
            </w:r>
          </w:p>
        </w:tc>
      </w:tr>
      <w:tr w14:paraId="31948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78" w:type="pct"/>
            <w:tcBorders>
              <w:tl2br w:val="nil"/>
              <w:tr2bl w:val="nil"/>
            </w:tcBorders>
            <w:vAlign w:val="top"/>
          </w:tcPr>
          <w:p w14:paraId="1334388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1</w:t>
            </w:r>
          </w:p>
        </w:tc>
        <w:tc>
          <w:tcPr>
            <w:tcW w:w="1067" w:type="pct"/>
            <w:tcBorders>
              <w:tl2br w:val="nil"/>
              <w:tr2bl w:val="nil"/>
            </w:tcBorders>
            <w:vAlign w:val="top"/>
          </w:tcPr>
          <w:p w14:paraId="2B45AE3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4"/>
                <w:sz w:val="20"/>
                <w:szCs w:val="20"/>
                <w:highlight w:val="none"/>
              </w:rPr>
              <w:t>东厂界</w:t>
            </w:r>
          </w:p>
        </w:tc>
        <w:tc>
          <w:tcPr>
            <w:tcW w:w="1250" w:type="pct"/>
            <w:tcBorders>
              <w:tl2br w:val="nil"/>
              <w:tr2bl w:val="nil"/>
            </w:tcBorders>
            <w:vAlign w:val="top"/>
          </w:tcPr>
          <w:p w14:paraId="321692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65</w:t>
            </w:r>
          </w:p>
        </w:tc>
        <w:tc>
          <w:tcPr>
            <w:tcW w:w="944" w:type="pct"/>
            <w:tcBorders>
              <w:tl2br w:val="nil"/>
              <w:tr2bl w:val="nil"/>
            </w:tcBorders>
            <w:vAlign w:val="top"/>
          </w:tcPr>
          <w:p w14:paraId="6CDCF1B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41.95</w:t>
            </w:r>
          </w:p>
        </w:tc>
        <w:tc>
          <w:tcPr>
            <w:tcW w:w="958" w:type="pct"/>
            <w:tcBorders>
              <w:tl2br w:val="nil"/>
              <w:tr2bl w:val="nil"/>
            </w:tcBorders>
            <w:vAlign w:val="top"/>
          </w:tcPr>
          <w:p w14:paraId="13A22D8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达标</w:t>
            </w:r>
          </w:p>
        </w:tc>
      </w:tr>
      <w:tr w14:paraId="1D1BB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78" w:type="pct"/>
            <w:tcBorders>
              <w:tl2br w:val="nil"/>
              <w:tr2bl w:val="nil"/>
            </w:tcBorders>
            <w:vAlign w:val="top"/>
          </w:tcPr>
          <w:p w14:paraId="1FAD2E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2</w:t>
            </w:r>
          </w:p>
        </w:tc>
        <w:tc>
          <w:tcPr>
            <w:tcW w:w="1067" w:type="pct"/>
            <w:tcBorders>
              <w:tl2br w:val="nil"/>
              <w:tr2bl w:val="nil"/>
            </w:tcBorders>
            <w:vAlign w:val="top"/>
          </w:tcPr>
          <w:p w14:paraId="5269FB6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6"/>
                <w:sz w:val="20"/>
                <w:szCs w:val="20"/>
                <w:highlight w:val="none"/>
              </w:rPr>
              <w:t>南厂界</w:t>
            </w:r>
          </w:p>
        </w:tc>
        <w:tc>
          <w:tcPr>
            <w:tcW w:w="1250" w:type="pct"/>
            <w:tcBorders>
              <w:tl2br w:val="nil"/>
              <w:tr2bl w:val="nil"/>
            </w:tcBorders>
            <w:vAlign w:val="top"/>
          </w:tcPr>
          <w:p w14:paraId="53D42B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65</w:t>
            </w:r>
          </w:p>
        </w:tc>
        <w:tc>
          <w:tcPr>
            <w:tcW w:w="944" w:type="pct"/>
            <w:tcBorders>
              <w:tl2br w:val="nil"/>
              <w:tr2bl w:val="nil"/>
            </w:tcBorders>
            <w:vAlign w:val="top"/>
          </w:tcPr>
          <w:p w14:paraId="76B90F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35.26</w:t>
            </w:r>
          </w:p>
        </w:tc>
        <w:tc>
          <w:tcPr>
            <w:tcW w:w="958" w:type="pct"/>
            <w:tcBorders>
              <w:tl2br w:val="nil"/>
              <w:tr2bl w:val="nil"/>
            </w:tcBorders>
            <w:vAlign w:val="top"/>
          </w:tcPr>
          <w:p w14:paraId="7D359DD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达标</w:t>
            </w:r>
          </w:p>
        </w:tc>
      </w:tr>
      <w:tr w14:paraId="7827A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7" w:hRule="atLeast"/>
        </w:trPr>
        <w:tc>
          <w:tcPr>
            <w:tcW w:w="778" w:type="pct"/>
            <w:tcBorders>
              <w:tl2br w:val="nil"/>
              <w:tr2bl w:val="nil"/>
            </w:tcBorders>
            <w:vAlign w:val="top"/>
          </w:tcPr>
          <w:p w14:paraId="195033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3</w:t>
            </w:r>
          </w:p>
        </w:tc>
        <w:tc>
          <w:tcPr>
            <w:tcW w:w="1067" w:type="pct"/>
            <w:tcBorders>
              <w:tl2br w:val="nil"/>
              <w:tr2bl w:val="nil"/>
            </w:tcBorders>
            <w:vAlign w:val="top"/>
          </w:tcPr>
          <w:p w14:paraId="23A9D14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西厂界</w:t>
            </w:r>
          </w:p>
        </w:tc>
        <w:tc>
          <w:tcPr>
            <w:tcW w:w="1250" w:type="pct"/>
            <w:tcBorders>
              <w:tl2br w:val="nil"/>
              <w:tr2bl w:val="nil"/>
            </w:tcBorders>
            <w:vAlign w:val="top"/>
          </w:tcPr>
          <w:p w14:paraId="19AE94B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70</w:t>
            </w:r>
          </w:p>
        </w:tc>
        <w:tc>
          <w:tcPr>
            <w:tcW w:w="944" w:type="pct"/>
            <w:tcBorders>
              <w:tl2br w:val="nil"/>
              <w:tr2bl w:val="nil"/>
            </w:tcBorders>
            <w:vAlign w:val="top"/>
          </w:tcPr>
          <w:p w14:paraId="36EE5A5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34.35</w:t>
            </w:r>
          </w:p>
        </w:tc>
        <w:tc>
          <w:tcPr>
            <w:tcW w:w="958" w:type="pct"/>
            <w:tcBorders>
              <w:tl2br w:val="nil"/>
              <w:tr2bl w:val="nil"/>
            </w:tcBorders>
            <w:vAlign w:val="top"/>
          </w:tcPr>
          <w:p w14:paraId="15B968B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达标</w:t>
            </w:r>
          </w:p>
        </w:tc>
      </w:tr>
      <w:tr w14:paraId="5DEDC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778" w:type="pct"/>
            <w:tcBorders>
              <w:tl2br w:val="nil"/>
              <w:tr2bl w:val="nil"/>
            </w:tcBorders>
            <w:vAlign w:val="top"/>
          </w:tcPr>
          <w:p w14:paraId="7704B1E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1"/>
                <w:sz w:val="20"/>
                <w:szCs w:val="20"/>
                <w:highlight w:val="none"/>
              </w:rPr>
              <w:t>4</w:t>
            </w:r>
          </w:p>
        </w:tc>
        <w:tc>
          <w:tcPr>
            <w:tcW w:w="1067" w:type="pct"/>
            <w:tcBorders>
              <w:tl2br w:val="nil"/>
              <w:tr2bl w:val="nil"/>
            </w:tcBorders>
            <w:vAlign w:val="top"/>
          </w:tcPr>
          <w:p w14:paraId="79E4505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北厂界</w:t>
            </w:r>
          </w:p>
        </w:tc>
        <w:tc>
          <w:tcPr>
            <w:tcW w:w="1250" w:type="pct"/>
            <w:tcBorders>
              <w:tl2br w:val="nil"/>
              <w:tr2bl w:val="nil"/>
            </w:tcBorders>
            <w:vAlign w:val="top"/>
          </w:tcPr>
          <w:p w14:paraId="3C5CB04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65</w:t>
            </w:r>
          </w:p>
        </w:tc>
        <w:tc>
          <w:tcPr>
            <w:tcW w:w="944" w:type="pct"/>
            <w:tcBorders>
              <w:tl2br w:val="nil"/>
              <w:tr2bl w:val="nil"/>
            </w:tcBorders>
            <w:shd w:val="clear" w:color="auto" w:fill="auto"/>
            <w:vAlign w:val="center"/>
          </w:tcPr>
          <w:p w14:paraId="684484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40.38</w:t>
            </w:r>
          </w:p>
        </w:tc>
        <w:tc>
          <w:tcPr>
            <w:tcW w:w="958" w:type="pct"/>
            <w:tcBorders>
              <w:tl2br w:val="nil"/>
              <w:tr2bl w:val="nil"/>
            </w:tcBorders>
            <w:vAlign w:val="top"/>
          </w:tcPr>
          <w:p w14:paraId="230FCFC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sz w:val="20"/>
                <w:szCs w:val="20"/>
                <w:highlight w:val="none"/>
              </w:rPr>
            </w:pPr>
            <w:r>
              <w:rPr>
                <w:spacing w:val="5"/>
                <w:sz w:val="20"/>
                <w:szCs w:val="20"/>
                <w:highlight w:val="none"/>
              </w:rPr>
              <w:t>达标</w:t>
            </w:r>
          </w:p>
        </w:tc>
      </w:tr>
    </w:tbl>
    <w:p w14:paraId="32263809">
      <w:pPr>
        <w:spacing w:before="124" w:line="220" w:lineRule="auto"/>
        <w:jc w:val="right"/>
        <w:rPr>
          <w:highlight w:val="none"/>
        </w:rPr>
      </w:pPr>
      <w:r>
        <w:rPr>
          <w:rFonts w:ascii="宋体" w:hAnsi="宋体" w:eastAsia="宋体" w:cs="宋体"/>
          <w:b/>
          <w:bCs/>
          <w:spacing w:val="3"/>
          <w:sz w:val="24"/>
          <w:szCs w:val="24"/>
          <w:highlight w:val="none"/>
        </w:rPr>
        <w:t>表</w:t>
      </w:r>
      <w:r>
        <w:rPr>
          <w:rFonts w:ascii="宋体" w:hAnsi="宋体" w:eastAsia="宋体" w:cs="宋体"/>
          <w:spacing w:val="-37"/>
          <w:sz w:val="24"/>
          <w:szCs w:val="24"/>
          <w:highlight w:val="none"/>
        </w:rPr>
        <w:t xml:space="preserve"> </w:t>
      </w:r>
      <w:r>
        <w:rPr>
          <w:rFonts w:ascii="Times New Roman" w:hAnsi="Times New Roman" w:eastAsia="Times New Roman" w:cs="Times New Roman"/>
          <w:b/>
          <w:bCs/>
          <w:spacing w:val="3"/>
          <w:sz w:val="24"/>
          <w:szCs w:val="24"/>
          <w:highlight w:val="none"/>
        </w:rPr>
        <w:t>6.5-5</w:t>
      </w:r>
      <w:r>
        <w:rPr>
          <w:rFonts w:ascii="Times New Roman" w:hAnsi="Times New Roman" w:eastAsia="Times New Roman" w:cs="Times New Roman"/>
          <w:b/>
          <w:bCs/>
          <w:spacing w:val="22"/>
          <w:sz w:val="24"/>
          <w:szCs w:val="24"/>
          <w:highlight w:val="none"/>
        </w:rPr>
        <w:t xml:space="preserve"> </w:t>
      </w:r>
      <w:r>
        <w:rPr>
          <w:rFonts w:ascii="宋体" w:hAnsi="宋体" w:eastAsia="宋体" w:cs="宋体"/>
          <w:b/>
          <w:bCs/>
          <w:spacing w:val="3"/>
          <w:sz w:val="24"/>
          <w:szCs w:val="24"/>
          <w:highlight w:val="none"/>
        </w:rPr>
        <w:t>工业企业声环境保护目标噪声预测结果与达标分</w:t>
      </w:r>
      <w:r>
        <w:rPr>
          <w:rFonts w:ascii="宋体" w:hAnsi="宋体" w:eastAsia="宋体" w:cs="宋体"/>
          <w:b/>
          <w:bCs/>
          <w:spacing w:val="2"/>
          <w:sz w:val="24"/>
          <w:szCs w:val="24"/>
          <w:highlight w:val="none"/>
        </w:rPr>
        <w:t>析表</w:t>
      </w:r>
      <w:r>
        <w:rPr>
          <w:rFonts w:ascii="宋体" w:hAnsi="宋体" w:eastAsia="宋体" w:cs="宋体"/>
          <w:spacing w:val="2"/>
          <w:sz w:val="24"/>
          <w:szCs w:val="24"/>
          <w:highlight w:val="none"/>
        </w:rPr>
        <w:t xml:space="preserve"> </w:t>
      </w:r>
      <w:r>
        <w:rPr>
          <w:rFonts w:ascii="宋体" w:hAnsi="宋体" w:eastAsia="宋体" w:cs="宋体"/>
          <w:b/>
          <w:bCs/>
          <w:spacing w:val="2"/>
          <w:sz w:val="18"/>
          <w:szCs w:val="18"/>
          <w:highlight w:val="none"/>
        </w:rPr>
        <w:t>单位：</w:t>
      </w:r>
      <w:r>
        <w:rPr>
          <w:rFonts w:ascii="Times New Roman" w:hAnsi="Times New Roman" w:eastAsia="Times New Roman" w:cs="Times New Roman"/>
          <w:b/>
          <w:bCs/>
          <w:sz w:val="18"/>
          <w:szCs w:val="18"/>
          <w:highlight w:val="none"/>
        </w:rPr>
        <w:t>dB</w:t>
      </w:r>
      <w:r>
        <w:rPr>
          <w:rFonts w:ascii="宋体" w:hAnsi="宋体" w:eastAsia="宋体" w:cs="宋体"/>
          <w:b/>
          <w:bCs/>
          <w:spacing w:val="2"/>
          <w:sz w:val="18"/>
          <w:szCs w:val="18"/>
          <w:highlight w:val="none"/>
        </w:rPr>
        <w:t>（</w:t>
      </w:r>
      <w:r>
        <w:rPr>
          <w:rFonts w:ascii="Times New Roman" w:hAnsi="Times New Roman" w:eastAsia="Times New Roman" w:cs="Times New Roman"/>
          <w:b/>
          <w:bCs/>
          <w:spacing w:val="2"/>
          <w:sz w:val="18"/>
          <w:szCs w:val="18"/>
          <w:highlight w:val="none"/>
        </w:rPr>
        <w:t>A</w:t>
      </w:r>
      <w:r>
        <w:rPr>
          <w:rFonts w:ascii="宋体" w:hAnsi="宋体" w:eastAsia="宋体" w:cs="宋体"/>
          <w:b/>
          <w:bCs/>
          <w:spacing w:val="2"/>
          <w:sz w:val="18"/>
          <w:szCs w:val="18"/>
          <w:highlight w:val="none"/>
        </w:rPr>
        <w:t>）</w:t>
      </w:r>
    </w:p>
    <w:tbl>
      <w:tblPr>
        <w:tblStyle w:val="37"/>
        <w:tblW w:w="501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26"/>
        <w:gridCol w:w="1445"/>
        <w:gridCol w:w="1188"/>
        <w:gridCol w:w="946"/>
        <w:gridCol w:w="1098"/>
        <w:gridCol w:w="1060"/>
        <w:gridCol w:w="1168"/>
        <w:gridCol w:w="804"/>
      </w:tblGrid>
      <w:tr w14:paraId="39508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1" w:hRule="atLeast"/>
        </w:trPr>
        <w:tc>
          <w:tcPr>
            <w:tcW w:w="375" w:type="pct"/>
            <w:vMerge w:val="restart"/>
            <w:tcBorders>
              <w:tl2br w:val="nil"/>
              <w:tr2bl w:val="nil"/>
            </w:tcBorders>
            <w:vAlign w:val="center"/>
          </w:tcPr>
          <w:p w14:paraId="177AB9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p w14:paraId="6774B8D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序号</w:t>
            </w:r>
          </w:p>
        </w:tc>
        <w:tc>
          <w:tcPr>
            <w:tcW w:w="866" w:type="pct"/>
            <w:vMerge w:val="restart"/>
            <w:tcBorders>
              <w:tl2br w:val="nil"/>
              <w:tr2bl w:val="nil"/>
            </w:tcBorders>
            <w:vAlign w:val="center"/>
          </w:tcPr>
          <w:p w14:paraId="245223C1">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20"/>
                <w:highlight w:val="none"/>
              </w:rPr>
              <w:t>声环境保护</w:t>
            </w:r>
            <w:r>
              <w:rPr>
                <w:highlight w:val="none"/>
              </w:rPr>
              <w:t xml:space="preserve"> 目标名称</w:t>
            </w:r>
          </w:p>
        </w:tc>
        <w:tc>
          <w:tcPr>
            <w:tcW w:w="712" w:type="pct"/>
            <w:tcBorders>
              <w:tl2br w:val="nil"/>
              <w:tr2bl w:val="nil"/>
            </w:tcBorders>
            <w:vAlign w:val="center"/>
          </w:tcPr>
          <w:p w14:paraId="21DDD7B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3"/>
                <w:highlight w:val="none"/>
              </w:rPr>
              <w:t>噪声背景</w:t>
            </w:r>
          </w:p>
          <w:p w14:paraId="2FC7F77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值</w:t>
            </w:r>
          </w:p>
        </w:tc>
        <w:tc>
          <w:tcPr>
            <w:tcW w:w="567" w:type="pct"/>
            <w:tcBorders>
              <w:tl2br w:val="nil"/>
              <w:tr2bl w:val="nil"/>
            </w:tcBorders>
            <w:vAlign w:val="center"/>
          </w:tcPr>
          <w:p w14:paraId="1B158475">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9"/>
                <w:highlight w:val="none"/>
              </w:rPr>
              <w:t>噪声标</w:t>
            </w:r>
          </w:p>
          <w:p w14:paraId="266388A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准</w:t>
            </w:r>
          </w:p>
        </w:tc>
        <w:tc>
          <w:tcPr>
            <w:tcW w:w="658" w:type="pct"/>
            <w:tcBorders>
              <w:tl2br w:val="nil"/>
              <w:tr2bl w:val="nil"/>
            </w:tcBorders>
            <w:vAlign w:val="center"/>
          </w:tcPr>
          <w:p w14:paraId="174F501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3"/>
                <w:highlight w:val="none"/>
              </w:rPr>
              <w:t>噪声贡献</w:t>
            </w:r>
          </w:p>
          <w:p w14:paraId="70B885E2">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值</w:t>
            </w:r>
          </w:p>
        </w:tc>
        <w:tc>
          <w:tcPr>
            <w:tcW w:w="635" w:type="pct"/>
            <w:tcBorders>
              <w:tl2br w:val="nil"/>
              <w:tr2bl w:val="nil"/>
            </w:tcBorders>
            <w:vAlign w:val="center"/>
          </w:tcPr>
          <w:p w14:paraId="27BBD34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3"/>
                <w:highlight w:val="none"/>
              </w:rPr>
              <w:t>噪声预测</w:t>
            </w:r>
          </w:p>
          <w:p w14:paraId="5A082AD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值</w:t>
            </w:r>
          </w:p>
        </w:tc>
        <w:tc>
          <w:tcPr>
            <w:tcW w:w="700" w:type="pct"/>
            <w:tcBorders>
              <w:tl2br w:val="nil"/>
              <w:tr2bl w:val="nil"/>
            </w:tcBorders>
            <w:vAlign w:val="center"/>
          </w:tcPr>
          <w:p w14:paraId="02E60260">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9"/>
                <w:highlight w:val="none"/>
              </w:rPr>
              <w:t>较现状增</w:t>
            </w:r>
          </w:p>
          <w:p w14:paraId="59681CB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量</w:t>
            </w:r>
          </w:p>
        </w:tc>
        <w:tc>
          <w:tcPr>
            <w:tcW w:w="482" w:type="pct"/>
            <w:tcBorders>
              <w:tl2br w:val="nil"/>
              <w:tr2bl w:val="nil"/>
            </w:tcBorders>
            <w:vAlign w:val="center"/>
          </w:tcPr>
          <w:p w14:paraId="44530FA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6"/>
                <w:highlight w:val="none"/>
              </w:rPr>
              <w:t>达标情</w:t>
            </w:r>
          </w:p>
          <w:p w14:paraId="02E3CE7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highlight w:val="none"/>
              </w:rPr>
              <w:t>况</w:t>
            </w:r>
          </w:p>
        </w:tc>
      </w:tr>
      <w:tr w14:paraId="5D1FB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375" w:type="pct"/>
            <w:vMerge w:val="continue"/>
            <w:tcBorders>
              <w:tl2br w:val="nil"/>
              <w:tr2bl w:val="nil"/>
            </w:tcBorders>
            <w:vAlign w:val="center"/>
          </w:tcPr>
          <w:p w14:paraId="429760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866" w:type="pct"/>
            <w:vMerge w:val="continue"/>
            <w:tcBorders>
              <w:tl2br w:val="nil"/>
              <w:tr2bl w:val="nil"/>
            </w:tcBorders>
            <w:vAlign w:val="center"/>
          </w:tcPr>
          <w:p w14:paraId="413464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Arial"/>
                <w:sz w:val="21"/>
                <w:highlight w:val="none"/>
              </w:rPr>
            </w:pPr>
          </w:p>
        </w:tc>
        <w:tc>
          <w:tcPr>
            <w:tcW w:w="712" w:type="pct"/>
            <w:tcBorders>
              <w:tl2br w:val="nil"/>
              <w:tr2bl w:val="nil"/>
            </w:tcBorders>
            <w:vAlign w:val="center"/>
          </w:tcPr>
          <w:p w14:paraId="3A9ABCE3">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昼间</w:t>
            </w:r>
          </w:p>
        </w:tc>
        <w:tc>
          <w:tcPr>
            <w:tcW w:w="567" w:type="pct"/>
            <w:tcBorders>
              <w:tl2br w:val="nil"/>
              <w:tr2bl w:val="nil"/>
            </w:tcBorders>
            <w:vAlign w:val="center"/>
          </w:tcPr>
          <w:p w14:paraId="5F948E4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昼间</w:t>
            </w:r>
          </w:p>
        </w:tc>
        <w:tc>
          <w:tcPr>
            <w:tcW w:w="658" w:type="pct"/>
            <w:tcBorders>
              <w:tl2br w:val="nil"/>
              <w:tr2bl w:val="nil"/>
            </w:tcBorders>
            <w:vAlign w:val="center"/>
          </w:tcPr>
          <w:p w14:paraId="3D18CCD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昼间</w:t>
            </w:r>
          </w:p>
        </w:tc>
        <w:tc>
          <w:tcPr>
            <w:tcW w:w="635" w:type="pct"/>
            <w:tcBorders>
              <w:tl2br w:val="nil"/>
              <w:tr2bl w:val="nil"/>
            </w:tcBorders>
            <w:vAlign w:val="center"/>
          </w:tcPr>
          <w:p w14:paraId="30FF9ADB">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昼间</w:t>
            </w:r>
          </w:p>
        </w:tc>
        <w:tc>
          <w:tcPr>
            <w:tcW w:w="700" w:type="pct"/>
            <w:tcBorders>
              <w:tl2br w:val="nil"/>
              <w:tr2bl w:val="nil"/>
            </w:tcBorders>
            <w:vAlign w:val="center"/>
          </w:tcPr>
          <w:p w14:paraId="58C3AB8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昼间</w:t>
            </w:r>
          </w:p>
        </w:tc>
        <w:tc>
          <w:tcPr>
            <w:tcW w:w="482" w:type="pct"/>
            <w:tcBorders>
              <w:tl2br w:val="nil"/>
              <w:tr2bl w:val="nil"/>
            </w:tcBorders>
            <w:vAlign w:val="center"/>
          </w:tcPr>
          <w:p w14:paraId="079D40E6">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昼间</w:t>
            </w:r>
          </w:p>
        </w:tc>
      </w:tr>
      <w:tr w14:paraId="4F561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375" w:type="pct"/>
            <w:tcBorders>
              <w:tl2br w:val="nil"/>
              <w:tr2bl w:val="nil"/>
            </w:tcBorders>
            <w:vAlign w:val="center"/>
          </w:tcPr>
          <w:p w14:paraId="015961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1</w:t>
            </w:r>
          </w:p>
        </w:tc>
        <w:tc>
          <w:tcPr>
            <w:tcW w:w="866" w:type="pct"/>
            <w:tcBorders>
              <w:tl2br w:val="nil"/>
              <w:tr2bl w:val="nil"/>
            </w:tcBorders>
            <w:vAlign w:val="center"/>
          </w:tcPr>
          <w:p w14:paraId="1B9C77FF">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pacing w:val="13"/>
                <w:highlight w:val="none"/>
              </w:rPr>
            </w:pPr>
            <w:r>
              <w:rPr>
                <w:rFonts w:hint="default" w:ascii="Times New Roman" w:hAnsi="Times New Roman" w:cs="Times New Roman"/>
                <w:spacing w:val="13"/>
                <w:highlight w:val="none"/>
                <w:lang w:val="en-US" w:eastAsia="zh-CN"/>
              </w:rPr>
              <w:t>雷家屋居民点（最近距离厂区东北侧165米处）</w:t>
            </w:r>
          </w:p>
        </w:tc>
        <w:tc>
          <w:tcPr>
            <w:tcW w:w="712" w:type="pct"/>
            <w:tcBorders>
              <w:tl2br w:val="nil"/>
              <w:tr2bl w:val="nil"/>
            </w:tcBorders>
            <w:vAlign w:val="center"/>
          </w:tcPr>
          <w:p w14:paraId="0A8AD7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hint="eastAsia"/>
                <w:sz w:val="21"/>
                <w:szCs w:val="21"/>
                <w:highlight w:val="none"/>
                <w:lang w:val="en-US" w:eastAsia="zh-CN"/>
              </w:rPr>
              <w:t>52</w:t>
            </w:r>
          </w:p>
        </w:tc>
        <w:tc>
          <w:tcPr>
            <w:tcW w:w="567" w:type="pct"/>
            <w:tcBorders>
              <w:tl2br w:val="nil"/>
              <w:tr2bl w:val="nil"/>
            </w:tcBorders>
            <w:vAlign w:val="center"/>
          </w:tcPr>
          <w:p w14:paraId="55776D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60</w:t>
            </w:r>
          </w:p>
        </w:tc>
        <w:tc>
          <w:tcPr>
            <w:tcW w:w="658" w:type="pct"/>
            <w:tcBorders>
              <w:tl2br w:val="nil"/>
              <w:tr2bl w:val="nil"/>
            </w:tcBorders>
            <w:vAlign w:val="center"/>
          </w:tcPr>
          <w:p w14:paraId="4B7FE4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15.95</w:t>
            </w:r>
          </w:p>
        </w:tc>
        <w:tc>
          <w:tcPr>
            <w:tcW w:w="635" w:type="pct"/>
            <w:tcBorders>
              <w:tl2br w:val="nil"/>
              <w:tr2bl w:val="nil"/>
            </w:tcBorders>
            <w:vAlign w:val="center"/>
          </w:tcPr>
          <w:p w14:paraId="2346D7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52</w:t>
            </w:r>
          </w:p>
        </w:tc>
        <w:tc>
          <w:tcPr>
            <w:tcW w:w="700" w:type="pct"/>
            <w:tcBorders>
              <w:tl2br w:val="nil"/>
              <w:tr2bl w:val="nil"/>
            </w:tcBorders>
            <w:vAlign w:val="center"/>
          </w:tcPr>
          <w:p w14:paraId="3498D0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0</w:t>
            </w:r>
          </w:p>
        </w:tc>
        <w:tc>
          <w:tcPr>
            <w:tcW w:w="482" w:type="pct"/>
            <w:tcBorders>
              <w:tl2br w:val="nil"/>
              <w:tr2bl w:val="nil"/>
            </w:tcBorders>
            <w:vAlign w:val="center"/>
          </w:tcPr>
          <w:p w14:paraId="3286CDD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highlight w:val="none"/>
              </w:rPr>
            </w:pPr>
            <w:r>
              <w:rPr>
                <w:spacing w:val="11"/>
                <w:highlight w:val="none"/>
              </w:rPr>
              <w:t>达标</w:t>
            </w:r>
          </w:p>
        </w:tc>
      </w:tr>
      <w:tr w14:paraId="17C0A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375" w:type="pct"/>
            <w:tcBorders>
              <w:tl2br w:val="nil"/>
              <w:tr2bl w:val="nil"/>
            </w:tcBorders>
            <w:vAlign w:val="center"/>
          </w:tcPr>
          <w:p w14:paraId="4B28E0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2</w:t>
            </w:r>
          </w:p>
        </w:tc>
        <w:tc>
          <w:tcPr>
            <w:tcW w:w="866" w:type="pct"/>
            <w:tcBorders>
              <w:tl2br w:val="nil"/>
              <w:tr2bl w:val="nil"/>
            </w:tcBorders>
            <w:vAlign w:val="center"/>
          </w:tcPr>
          <w:p w14:paraId="708A189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spacing w:val="13"/>
                <w:highlight w:val="none"/>
              </w:rPr>
            </w:pPr>
            <w:r>
              <w:rPr>
                <w:rFonts w:hint="default" w:ascii="Times New Roman" w:hAnsi="Times New Roman" w:cs="Times New Roman"/>
                <w:spacing w:val="13"/>
                <w:highlight w:val="none"/>
                <w:lang w:val="en-US" w:eastAsia="zh-CN"/>
              </w:rPr>
              <w:t>兰塘八组居民点（最近距离厂区东侧186米处）</w:t>
            </w:r>
          </w:p>
        </w:tc>
        <w:tc>
          <w:tcPr>
            <w:tcW w:w="712" w:type="pct"/>
            <w:tcBorders>
              <w:tl2br w:val="nil"/>
              <w:tr2bl w:val="nil"/>
            </w:tcBorders>
            <w:vAlign w:val="center"/>
          </w:tcPr>
          <w:p w14:paraId="36CD61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ascii="Times New Roman" w:hAnsi="Times New Roman" w:eastAsia="Times New Roman" w:cs="Times New Roman"/>
                <w:sz w:val="20"/>
                <w:szCs w:val="20"/>
                <w:highlight w:val="none"/>
              </w:rPr>
            </w:pPr>
            <w:r>
              <w:rPr>
                <w:rFonts w:hint="eastAsia"/>
                <w:sz w:val="21"/>
                <w:szCs w:val="21"/>
                <w:highlight w:val="none"/>
                <w:lang w:val="en-US" w:eastAsia="zh-CN"/>
              </w:rPr>
              <w:t>53</w:t>
            </w:r>
          </w:p>
        </w:tc>
        <w:tc>
          <w:tcPr>
            <w:tcW w:w="567" w:type="pct"/>
            <w:tcBorders>
              <w:tl2br w:val="nil"/>
              <w:tr2bl w:val="nil"/>
            </w:tcBorders>
            <w:vAlign w:val="center"/>
          </w:tcPr>
          <w:p w14:paraId="01262B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60</w:t>
            </w:r>
          </w:p>
        </w:tc>
        <w:tc>
          <w:tcPr>
            <w:tcW w:w="658" w:type="pct"/>
            <w:tcBorders>
              <w:tl2br w:val="nil"/>
              <w:tr2bl w:val="nil"/>
            </w:tcBorders>
            <w:vAlign w:val="center"/>
          </w:tcPr>
          <w:p w14:paraId="4C1AFD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17.43</w:t>
            </w:r>
          </w:p>
        </w:tc>
        <w:tc>
          <w:tcPr>
            <w:tcW w:w="635" w:type="pct"/>
            <w:tcBorders>
              <w:tl2br w:val="nil"/>
              <w:tr2bl w:val="nil"/>
            </w:tcBorders>
            <w:vAlign w:val="center"/>
          </w:tcPr>
          <w:p w14:paraId="1CC994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53</w:t>
            </w:r>
          </w:p>
        </w:tc>
        <w:tc>
          <w:tcPr>
            <w:tcW w:w="700" w:type="pct"/>
            <w:tcBorders>
              <w:tl2br w:val="nil"/>
              <w:tr2bl w:val="nil"/>
            </w:tcBorders>
            <w:vAlign w:val="center"/>
          </w:tcPr>
          <w:p w14:paraId="28D0CB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sz w:val="20"/>
                <w:szCs w:val="20"/>
                <w:highlight w:val="none"/>
                <w:lang w:val="en-US" w:eastAsia="zh-CN"/>
              </w:rPr>
            </w:pPr>
            <w:r>
              <w:rPr>
                <w:rFonts w:hint="eastAsia" w:eastAsia="宋体" w:cs="Times New Roman"/>
                <w:sz w:val="20"/>
                <w:szCs w:val="20"/>
                <w:highlight w:val="none"/>
                <w:lang w:val="en-US" w:eastAsia="zh-CN"/>
              </w:rPr>
              <w:t>0</w:t>
            </w:r>
          </w:p>
        </w:tc>
        <w:tc>
          <w:tcPr>
            <w:tcW w:w="482" w:type="pct"/>
            <w:tcBorders>
              <w:tl2br w:val="nil"/>
              <w:tr2bl w:val="nil"/>
            </w:tcBorders>
            <w:vAlign w:val="center"/>
          </w:tcPr>
          <w:p w14:paraId="5DB085E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spacing w:val="11"/>
                <w:highlight w:val="none"/>
              </w:rPr>
            </w:pPr>
            <w:r>
              <w:rPr>
                <w:spacing w:val="11"/>
                <w:highlight w:val="none"/>
              </w:rPr>
              <w:t>达标</w:t>
            </w:r>
          </w:p>
        </w:tc>
      </w:tr>
    </w:tbl>
    <w:p w14:paraId="68BB22EE">
      <w:pPr>
        <w:keepNext w:val="0"/>
        <w:keepLines w:val="0"/>
        <w:widowControl/>
        <w:suppressLineNumbers w:val="0"/>
        <w:jc w:val="left"/>
        <w:rPr>
          <w:rFonts w:hint="default"/>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本项目建成投产后，夜间不生产。营运期东厂界、北厂界、南厂界执行《工业企业厂界环境噪声排放标准》（GB12348-2008）中的3 类区标准，西厂界靠近二级公路和武广高铁铁路干线，因此西厂界执行《工业企业厂界环境噪声排放标准》（GB12348-2008）中的4 类区标准；声环境敏感目标噪声预测值能满足《声环境质量标准》（GB3096-2008）2 类标准。</w:t>
      </w:r>
    </w:p>
    <w:p w14:paraId="1170225A">
      <w:pPr>
        <w:pStyle w:val="6"/>
        <w:bidi w:val="0"/>
        <w:rPr>
          <w:highlight w:val="none"/>
        </w:rPr>
      </w:pPr>
      <w:bookmarkStart w:id="190" w:name="_Toc20483"/>
      <w:r>
        <w:rPr>
          <w:rFonts w:hint="eastAsia"/>
          <w:highlight w:val="none"/>
          <w:lang w:val="en-US" w:eastAsia="zh-CN"/>
        </w:rPr>
        <w:t>6</w:t>
      </w:r>
      <w:r>
        <w:rPr>
          <w:highlight w:val="none"/>
        </w:rPr>
        <w:t>.</w:t>
      </w:r>
      <w:r>
        <w:rPr>
          <w:rFonts w:hint="eastAsia"/>
          <w:highlight w:val="none"/>
          <w:lang w:val="en-US" w:eastAsia="zh-CN"/>
        </w:rPr>
        <w:t xml:space="preserve">6 </w:t>
      </w:r>
      <w:r>
        <w:rPr>
          <w:highlight w:val="none"/>
        </w:rPr>
        <w:t>营运期固体废弃物影响分析</w:t>
      </w:r>
      <w:bookmarkEnd w:id="190"/>
    </w:p>
    <w:p w14:paraId="44C473FB">
      <w:pPr>
        <w:keepNext/>
        <w:suppressLineNumbers/>
        <w:ind w:firstLine="42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拟建项目产生的固废包括一般工业固废、危险废物、生活垃圾</w:t>
      </w:r>
      <w:r>
        <w:rPr>
          <w:rFonts w:hint="eastAsia" w:eastAsia="宋体" w:cs="Times New Roman"/>
          <w:color w:val="000000" w:themeColor="text1"/>
          <w:sz w:val="24"/>
          <w:szCs w:val="24"/>
          <w:highlight w:val="none"/>
          <w:lang w:eastAsia="zh-CN"/>
          <w14:textFill>
            <w14:solidFill>
              <w14:schemeClr w14:val="tx1"/>
            </w14:solidFill>
          </w14:textFill>
        </w:rPr>
        <w:t>，</w:t>
      </w:r>
      <w:r>
        <w:rPr>
          <w:rFonts w:ascii="宋体" w:hAnsi="宋体" w:eastAsia="宋体" w:cs="宋体"/>
          <w:spacing w:val="-2"/>
          <w:sz w:val="24"/>
          <w:szCs w:val="24"/>
          <w:highlight w:val="none"/>
        </w:rPr>
        <w:t>本项目固废应按照要求进行分类处置</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DD147F9">
      <w:pPr>
        <w:keepNext/>
        <w:suppressLineNumbers/>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生活垃圾</w:t>
      </w:r>
    </w:p>
    <w:p w14:paraId="6E6F4BDA">
      <w:pPr>
        <w:keepNext/>
        <w:suppressLineNumbers/>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项目生活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垃圾收集箱集中收集后交由环卫部门处置。</w:t>
      </w:r>
    </w:p>
    <w:p w14:paraId="11159563">
      <w:pPr>
        <w:keepNext/>
        <w:suppressLineNumbers/>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一般工业固废</w:t>
      </w:r>
    </w:p>
    <w:p w14:paraId="759DF419">
      <w:pPr>
        <w:keepNext/>
        <w:suppressLineNumbers/>
        <w:ind w:firstLine="42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项目营运期产生的一般工业固体废物主要包括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布袋除尘器收集粉尘、地面收集粉尘收集后返回生产线做原料；废RO膜由厂家上门更换并对其进行回收处置；废包装材料拟将其收集后交由厂家回收；实验室检验成品固废不合格的回用于工艺。本项目新建1间一般固废暂存间（29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），位于厂房西南角。企业的一般固废应严格按照国家《一般工业固体废物贮存和填埋污染控制标准》（GB18599-2020）的要求进行处理处置。</w:t>
      </w:r>
    </w:p>
    <w:p w14:paraId="20878909">
      <w:pPr>
        <w:keepNext/>
        <w:suppressLineNumbers/>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3、危险废物</w:t>
      </w:r>
    </w:p>
    <w:p w14:paraId="2961EC48">
      <w:pPr>
        <w:keepNext/>
        <w:keepLines w:val="0"/>
        <w:pageBreakBefore w:val="0"/>
        <w:suppressLineNumbers/>
        <w:kinsoku/>
        <w:wordWrap/>
        <w:overflowPunct/>
        <w:topLinePunct w:val="0"/>
        <w:autoSpaceDE/>
        <w:autoSpaceDN/>
        <w:bidi w:val="0"/>
        <w:adjustRightInd/>
        <w:snapToGrid/>
        <w:spacing w:line="360" w:lineRule="auto"/>
        <w:ind w:left="0" w:firstLine="420"/>
        <w:textAlignment w:val="auto"/>
        <w:rPr>
          <w:rFonts w:ascii="宋体" w:hAnsi="宋体" w:eastAsia="宋体" w:cs="宋体"/>
          <w:sz w:val="24"/>
          <w:szCs w:val="24"/>
          <w:highlight w:val="none"/>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包括废活性炭、废导热油、实验室废液，收集后暂存于危险废物暂存间，定期交由有资质单位处理。项目新建1间危险废物暂存间（10m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），位于一般固废间的南侧。项目危险废物暂存间应严格执行《危险废物贮存污染控制标准》（GB18597-2023）的有关规定</w:t>
      </w:r>
      <w:r>
        <w:rPr>
          <w:rFonts w:hint="eastAsia" w:eastAsia="宋体" w:cs="Times New Roman"/>
          <w:color w:val="000000" w:themeColor="text1"/>
          <w:sz w:val="24"/>
          <w:szCs w:val="24"/>
          <w:highlight w:val="none"/>
          <w:lang w:val="en-US" w:eastAsia="zh-CN"/>
          <w14:textFill>
            <w14:solidFill>
              <w14:schemeClr w14:val="tx1"/>
            </w14:solidFill>
          </w14:textFill>
        </w:rPr>
        <w:t>。</w:t>
      </w:r>
    </w:p>
    <w:p w14:paraId="33EFC036">
      <w:pPr>
        <w:keepLines w:val="0"/>
        <w:pageBreakBefore w:val="0"/>
        <w:kinsoku/>
        <w:wordWrap/>
        <w:overflowPunct/>
        <w:topLinePunct w:val="0"/>
        <w:autoSpaceDE/>
        <w:autoSpaceDN/>
        <w:bidi w:val="0"/>
        <w:adjustRightInd/>
        <w:snapToGrid/>
        <w:spacing w:line="360" w:lineRule="auto"/>
        <w:ind w:left="0"/>
        <w:textAlignment w:val="auto"/>
        <w:outlineLvl w:val="2"/>
        <w:rPr>
          <w:rFonts w:ascii="Times New Roman" w:hAnsi="Times New Roman" w:eastAsia="仿宋" w:cs="Times New Roman"/>
          <w:kern w:val="2"/>
          <w:sz w:val="28"/>
          <w:szCs w:val="36"/>
          <w:highlight w:val="none"/>
          <w:lang w:val="en-US" w:eastAsia="zh-CN" w:bidi="ar-SA"/>
        </w:rPr>
      </w:pPr>
      <w:bookmarkStart w:id="191" w:name="_Toc20338"/>
      <w:r>
        <w:rPr>
          <w:rFonts w:ascii="Times New Roman" w:hAnsi="Times New Roman" w:eastAsia="Times New Roman" w:cs="Times New Roman"/>
          <w:b/>
          <w:bCs/>
          <w:spacing w:val="-2"/>
          <w:sz w:val="28"/>
          <w:szCs w:val="28"/>
          <w:highlight w:val="none"/>
        </w:rPr>
        <w:t xml:space="preserve">6.6.1 </w:t>
      </w:r>
      <w:r>
        <w:rPr>
          <w:rFonts w:ascii="宋体" w:hAnsi="宋体" w:eastAsia="宋体" w:cs="宋体"/>
          <w:b/>
          <w:bCs/>
          <w:spacing w:val="-2"/>
          <w:sz w:val="28"/>
          <w:szCs w:val="28"/>
          <w:highlight w:val="none"/>
        </w:rPr>
        <w:t>危险废物贮存场所（设施）环境影响分析</w:t>
      </w:r>
      <w:bookmarkEnd w:id="191"/>
    </w:p>
    <w:p w14:paraId="3D91909F">
      <w:pPr>
        <w:keepNext/>
        <w:keepLines w:val="0"/>
        <w:pageBreakBefore w:val="0"/>
        <w:widowControl w:val="0"/>
        <w:suppressLineNumbers/>
        <w:kinsoku/>
        <w:wordWrap/>
        <w:overflowPunct/>
        <w:topLinePunct w:val="0"/>
        <w:autoSpaceDE/>
        <w:autoSpaceDN/>
        <w:bidi w:val="0"/>
        <w:adjustRightInd/>
        <w:snapToGrid/>
        <w:spacing w:line="360" w:lineRule="auto"/>
        <w:ind w:left="0" w:firstLine="42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的危险废物按《危险废物识别标志设置技术规范》（HJ1276-2022）的规定设置警示标志。危险废物的收集、贮存、运输全过程应严格执行《危险废物收集贮存运输技术规范》（HJ2025-2012）的有关规定；危险废物暂存间内部按危险废物类型分区存放。</w:t>
      </w:r>
    </w:p>
    <w:p w14:paraId="4F9FAA9D">
      <w:pPr>
        <w:keepNext/>
        <w:keepLines w:val="0"/>
        <w:pageBreakBefore w:val="0"/>
        <w:widowControl w:val="0"/>
        <w:suppressLineNumbers/>
        <w:kinsoku/>
        <w:wordWrap/>
        <w:overflowPunct/>
        <w:topLinePunct w:val="0"/>
        <w:autoSpaceDE/>
        <w:autoSpaceDN/>
        <w:bidi w:val="0"/>
        <w:adjustRightInd/>
        <w:snapToGrid/>
        <w:spacing w:line="360" w:lineRule="auto"/>
        <w:ind w:left="0" w:firstLine="42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危废暂存间选址可行性分析</w:t>
      </w:r>
    </w:p>
    <w:p w14:paraId="48A81B84">
      <w:pPr>
        <w:keepNext/>
        <w:keepLines w:val="0"/>
        <w:pageBreakBefore w:val="0"/>
        <w:widowControl w:val="0"/>
        <w:suppressLineNumbers/>
        <w:kinsoku/>
        <w:wordWrap/>
        <w:overflowPunct/>
        <w:topLinePunct w:val="0"/>
        <w:autoSpaceDE/>
        <w:autoSpaceDN/>
        <w:bidi w:val="0"/>
        <w:adjustRightInd/>
        <w:snapToGrid/>
        <w:spacing w:line="360" w:lineRule="auto"/>
        <w:ind w:left="0" w:firstLine="42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项目位于</w:t>
      </w:r>
      <w:r>
        <w:rPr>
          <w:rFonts w:hint="eastAsia" w:ascii="Times New Roman" w:hAnsi="Times New Roman" w:eastAsia="宋体" w:cs="Times New Roman"/>
          <w:color w:val="000000" w:themeColor="text1"/>
          <w:sz w:val="24"/>
          <w:szCs w:val="24"/>
          <w:highlight w:val="none"/>
          <w:lang w:val="en-US" w:eastAsia="en-US"/>
          <w14:textFill>
            <w14:solidFill>
              <w14:schemeClr w14:val="tx1"/>
            </w14:solidFill>
          </w14:textFill>
        </w:rPr>
        <w:t>岳阳县荣家湾镇岳阳高新技术产业园武广路3号创新创业基地C栋</w:t>
      </w:r>
      <w:r>
        <w:rPr>
          <w:rFonts w:hint="eastAsia" w:eastAsia="宋体" w:cs="Times New Roman"/>
          <w:color w:val="000000" w:themeColor="text1"/>
          <w:sz w:val="24"/>
          <w:szCs w:val="24"/>
          <w:highlight w:val="none"/>
          <w:lang w:val="en-US" w:eastAsia="zh-CN"/>
          <w14:textFill>
            <w14:solidFill>
              <w14:schemeClr w14:val="tx1"/>
            </w14:solidFill>
          </w14:textFill>
        </w:rPr>
        <w:t>（2F）</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，本项目新建1间危险废物暂存间（10m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），位于一般固废间的南侧。对照《危险废物贮存污染控制标准》（GB18597-2023）有关要求，结合本区域环境条件，项目危险废物贮存场选址可行。</w:t>
      </w:r>
    </w:p>
    <w:p w14:paraId="6C389D47">
      <w:pPr>
        <w:keepNext/>
        <w:keepLines w:val="0"/>
        <w:pageBreakBefore w:val="0"/>
        <w:widowControl w:val="0"/>
        <w:suppressLineNumbers/>
        <w:kinsoku/>
        <w:wordWrap/>
        <w:overflowPunct/>
        <w:topLinePunct w:val="0"/>
        <w:autoSpaceDE/>
        <w:autoSpaceDN/>
        <w:bidi w:val="0"/>
        <w:adjustRightInd/>
        <w:snapToGrid/>
        <w:spacing w:line="360" w:lineRule="auto"/>
        <w:ind w:left="0" w:firstLine="42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另外，本项目所在区域地质结构稳定，地势平坦，周边无山体，不会受滑坡、 泥石流、洪水的影响；项目周边无敏感建筑，危险废物从产生点运输至危险废物</w:t>
      </w:r>
    </w:p>
    <w:p w14:paraId="49646F54">
      <w:pPr>
        <w:keepNext/>
        <w:keepLines w:val="0"/>
        <w:pageBreakBefore w:val="0"/>
        <w:widowControl w:val="0"/>
        <w:suppressLineNumbers/>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暂存间均在厂内进行。</w:t>
      </w:r>
    </w:p>
    <w:p w14:paraId="56A5B35F">
      <w:pPr>
        <w:keepNext/>
        <w:keepLines w:val="0"/>
        <w:pageBreakBefore w:val="0"/>
        <w:widowControl w:val="0"/>
        <w:suppressLineNumbers/>
        <w:kinsoku/>
        <w:wordWrap/>
        <w:overflowPunct/>
        <w:topLinePunct w:val="0"/>
        <w:autoSpaceDE/>
        <w:autoSpaceDN/>
        <w:bidi w:val="0"/>
        <w:adjustRightInd/>
        <w:snapToGrid/>
        <w:spacing w:line="360" w:lineRule="auto"/>
        <w:ind w:left="0" w:firstLine="42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因此综合来看，本项目危险废物暂存库的选址较为合理。</w:t>
      </w:r>
    </w:p>
    <w:p w14:paraId="29D4DBE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eastAsia="宋体" w:cs="宋体"/>
          <w:sz w:val="24"/>
          <w:szCs w:val="24"/>
          <w:highlight w:val="none"/>
        </w:rPr>
      </w:pPr>
      <w:r>
        <w:rPr>
          <w:rFonts w:ascii="宋体" w:hAnsi="宋体" w:eastAsia="宋体" w:cs="宋体"/>
          <w:b/>
          <w:bCs/>
          <w:spacing w:val="6"/>
          <w:sz w:val="24"/>
          <w:szCs w:val="24"/>
          <w:highlight w:val="none"/>
        </w:rPr>
        <w:t>表</w:t>
      </w:r>
      <w:r>
        <w:rPr>
          <w:rFonts w:ascii="Times New Roman" w:hAnsi="Times New Roman" w:eastAsia="Times New Roman" w:cs="Times New Roman"/>
          <w:b/>
          <w:bCs/>
          <w:spacing w:val="6"/>
          <w:sz w:val="24"/>
          <w:szCs w:val="24"/>
          <w:highlight w:val="none"/>
        </w:rPr>
        <w:t>6.6-1</w:t>
      </w:r>
      <w:r>
        <w:rPr>
          <w:rFonts w:ascii="Times New Roman" w:hAnsi="Times New Roman" w:eastAsia="Times New Roman" w:cs="Times New Roman"/>
          <w:b/>
          <w:bCs/>
          <w:spacing w:val="10"/>
          <w:sz w:val="24"/>
          <w:szCs w:val="24"/>
          <w:highlight w:val="none"/>
        </w:rPr>
        <w:t xml:space="preserve">  </w:t>
      </w:r>
      <w:r>
        <w:rPr>
          <w:rFonts w:ascii="宋体" w:hAnsi="宋体" w:eastAsia="宋体" w:cs="宋体"/>
          <w:b/>
          <w:bCs/>
          <w:spacing w:val="6"/>
          <w:sz w:val="24"/>
          <w:szCs w:val="24"/>
          <w:highlight w:val="none"/>
        </w:rPr>
        <w:t>项目危险废物暂存库选址符合性一</w:t>
      </w:r>
      <w:r>
        <w:rPr>
          <w:rFonts w:ascii="宋体" w:hAnsi="宋体" w:eastAsia="宋体" w:cs="宋体"/>
          <w:b/>
          <w:bCs/>
          <w:spacing w:val="5"/>
          <w:sz w:val="24"/>
          <w:szCs w:val="24"/>
          <w:highlight w:val="none"/>
        </w:rPr>
        <w:t>览表</w:t>
      </w:r>
    </w:p>
    <w:tbl>
      <w:tblPr>
        <w:tblStyle w:val="37"/>
        <w:tblW w:w="85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4"/>
        <w:gridCol w:w="5935"/>
        <w:gridCol w:w="1723"/>
      </w:tblGrid>
      <w:tr w14:paraId="4D8C4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864" w:type="dxa"/>
            <w:tcBorders>
              <w:tl2br w:val="nil"/>
              <w:tr2bl w:val="nil"/>
            </w:tcBorders>
            <w:vAlign w:val="center"/>
          </w:tcPr>
          <w:p w14:paraId="56176CE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5"/>
                <w:sz w:val="21"/>
                <w:szCs w:val="21"/>
                <w:highlight w:val="none"/>
              </w:rPr>
              <w:t>序号</w:t>
            </w:r>
          </w:p>
        </w:tc>
        <w:tc>
          <w:tcPr>
            <w:tcW w:w="5935" w:type="dxa"/>
            <w:tcBorders>
              <w:tl2br w:val="nil"/>
              <w:tr2bl w:val="nil"/>
            </w:tcBorders>
            <w:vAlign w:val="center"/>
          </w:tcPr>
          <w:p w14:paraId="3C3A3EB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相关要求</w:t>
            </w:r>
          </w:p>
        </w:tc>
        <w:tc>
          <w:tcPr>
            <w:tcW w:w="1723" w:type="dxa"/>
            <w:tcBorders>
              <w:tl2br w:val="nil"/>
              <w:tr2bl w:val="nil"/>
            </w:tcBorders>
            <w:vAlign w:val="center"/>
          </w:tcPr>
          <w:p w14:paraId="52DE777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6"/>
                <w:sz w:val="21"/>
                <w:szCs w:val="21"/>
                <w:highlight w:val="none"/>
              </w:rPr>
              <w:t>相符性</w:t>
            </w:r>
          </w:p>
        </w:tc>
      </w:tr>
      <w:tr w14:paraId="00BD4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864" w:type="dxa"/>
            <w:vMerge w:val="restart"/>
            <w:tcBorders>
              <w:tl2br w:val="nil"/>
              <w:tr2bl w:val="nil"/>
            </w:tcBorders>
            <w:vAlign w:val="center"/>
          </w:tcPr>
          <w:p w14:paraId="4D7DD1F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0F7FE3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57B016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3578A1C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07F17D3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76D1276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484563F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7"/>
                <w:sz w:val="21"/>
                <w:szCs w:val="21"/>
                <w:highlight w:val="none"/>
              </w:rPr>
              <w:t>选址要</w:t>
            </w:r>
          </w:p>
          <w:p w14:paraId="1DC3CAE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求</w:t>
            </w:r>
          </w:p>
        </w:tc>
        <w:tc>
          <w:tcPr>
            <w:tcW w:w="5935" w:type="dxa"/>
            <w:tcBorders>
              <w:tl2br w:val="nil"/>
              <w:tr2bl w:val="nil"/>
            </w:tcBorders>
            <w:vAlign w:val="center"/>
          </w:tcPr>
          <w:p w14:paraId="3E6D7F2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贮存设施选址应满足生态环境保护法律法规、规划和“三线一</w:t>
            </w:r>
          </w:p>
          <w:p w14:paraId="17E6802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8"/>
                <w:sz w:val="21"/>
                <w:szCs w:val="21"/>
                <w:highlight w:val="none"/>
              </w:rPr>
              <w:t>单”生态环境分区管控的要求，建设项目应依法进行环境影响评</w:t>
            </w:r>
            <w:r>
              <w:rPr>
                <w:rFonts w:hint="default" w:ascii="Times New Roman" w:hAnsi="Times New Roman" w:eastAsia="宋体" w:cs="Times New Roman"/>
                <w:sz w:val="21"/>
                <w:szCs w:val="21"/>
                <w:highlight w:val="none"/>
              </w:rPr>
              <w:t>价。</w:t>
            </w:r>
          </w:p>
        </w:tc>
        <w:tc>
          <w:tcPr>
            <w:tcW w:w="1723" w:type="dxa"/>
            <w:tcBorders>
              <w:tl2br w:val="nil"/>
              <w:tr2bl w:val="nil"/>
            </w:tcBorders>
            <w:vAlign w:val="center"/>
          </w:tcPr>
          <w:p w14:paraId="67AAACD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42DC644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符合</w:t>
            </w:r>
          </w:p>
        </w:tc>
      </w:tr>
      <w:tr w14:paraId="27C45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864" w:type="dxa"/>
            <w:vMerge w:val="continue"/>
            <w:tcBorders>
              <w:tl2br w:val="nil"/>
              <w:tr2bl w:val="nil"/>
            </w:tcBorders>
            <w:vAlign w:val="center"/>
          </w:tcPr>
          <w:p w14:paraId="6859D54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35" w:type="dxa"/>
            <w:tcBorders>
              <w:tl2br w:val="nil"/>
              <w:tr2bl w:val="nil"/>
            </w:tcBorders>
            <w:vAlign w:val="center"/>
          </w:tcPr>
          <w:p w14:paraId="53D2229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集中贮存设施不应选在生态保护红线区域、永久基本农田和其</w:t>
            </w:r>
            <w:r>
              <w:rPr>
                <w:rFonts w:hint="default" w:ascii="Times New Roman" w:hAnsi="Times New Roman" w:eastAsia="宋体" w:cs="Times New Roman"/>
                <w:spacing w:val="8"/>
                <w:sz w:val="21"/>
                <w:szCs w:val="21"/>
                <w:highlight w:val="none"/>
              </w:rPr>
              <w:t>他需要特别保护的区域内，不应建 在溶洞区或易遭受洪水、滑</w:t>
            </w:r>
            <w:r>
              <w:rPr>
                <w:rFonts w:hint="default" w:ascii="Times New Roman" w:hAnsi="Times New Roman" w:eastAsia="宋体" w:cs="Times New Roman"/>
                <w:spacing w:val="9"/>
                <w:sz w:val="21"/>
                <w:szCs w:val="21"/>
                <w:highlight w:val="none"/>
              </w:rPr>
              <w:t>坡、泥石流、潮汐等严重自然灾害影响的地区。</w:t>
            </w:r>
          </w:p>
        </w:tc>
        <w:tc>
          <w:tcPr>
            <w:tcW w:w="1723" w:type="dxa"/>
            <w:tcBorders>
              <w:tl2br w:val="nil"/>
              <w:tr2bl w:val="nil"/>
            </w:tcBorders>
            <w:vAlign w:val="center"/>
          </w:tcPr>
          <w:p w14:paraId="412F88E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675C867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符合</w:t>
            </w:r>
          </w:p>
        </w:tc>
      </w:tr>
      <w:tr w14:paraId="3D582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864" w:type="dxa"/>
            <w:vMerge w:val="continue"/>
            <w:tcBorders>
              <w:tl2br w:val="nil"/>
              <w:tr2bl w:val="nil"/>
            </w:tcBorders>
            <w:vAlign w:val="center"/>
          </w:tcPr>
          <w:p w14:paraId="3578D01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35" w:type="dxa"/>
            <w:tcBorders>
              <w:tl2br w:val="nil"/>
              <w:tr2bl w:val="nil"/>
            </w:tcBorders>
            <w:vAlign w:val="center"/>
          </w:tcPr>
          <w:p w14:paraId="06C7DEE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贮存设施不应选在江河、湖泊、运河、渠道、水库及其最高水</w:t>
            </w:r>
            <w:r>
              <w:rPr>
                <w:rFonts w:hint="default" w:ascii="Times New Roman" w:hAnsi="Times New Roman" w:eastAsia="宋体" w:cs="Times New Roman"/>
                <w:spacing w:val="8"/>
                <w:sz w:val="21"/>
                <w:szCs w:val="21"/>
                <w:highlight w:val="none"/>
              </w:rPr>
              <w:t>位线以下的滩地和岸坡，以及法律 法规规定禁止贮存危险废物</w:t>
            </w:r>
            <w:r>
              <w:rPr>
                <w:rFonts w:hint="default" w:ascii="Times New Roman" w:hAnsi="Times New Roman" w:eastAsia="宋体" w:cs="Times New Roman"/>
                <w:spacing w:val="3"/>
                <w:sz w:val="21"/>
                <w:szCs w:val="21"/>
                <w:highlight w:val="none"/>
              </w:rPr>
              <w:t>的其他地点。</w:t>
            </w:r>
          </w:p>
        </w:tc>
        <w:tc>
          <w:tcPr>
            <w:tcW w:w="1723" w:type="dxa"/>
            <w:tcBorders>
              <w:tl2br w:val="nil"/>
              <w:tr2bl w:val="nil"/>
            </w:tcBorders>
            <w:vAlign w:val="center"/>
          </w:tcPr>
          <w:p w14:paraId="734223A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p w14:paraId="6BA2C0A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符合</w:t>
            </w:r>
          </w:p>
        </w:tc>
      </w:tr>
      <w:tr w14:paraId="5EE37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864" w:type="dxa"/>
            <w:vMerge w:val="continue"/>
            <w:tcBorders>
              <w:tl2br w:val="nil"/>
              <w:tr2bl w:val="nil"/>
            </w:tcBorders>
            <w:vAlign w:val="center"/>
          </w:tcPr>
          <w:p w14:paraId="72299E2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p>
        </w:tc>
        <w:tc>
          <w:tcPr>
            <w:tcW w:w="5935" w:type="dxa"/>
            <w:tcBorders>
              <w:tl2br w:val="nil"/>
              <w:tr2bl w:val="nil"/>
            </w:tcBorders>
            <w:vAlign w:val="center"/>
          </w:tcPr>
          <w:p w14:paraId="1D8AFD7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9"/>
                <w:sz w:val="21"/>
                <w:szCs w:val="21"/>
                <w:highlight w:val="none"/>
              </w:rPr>
              <w:t>贮存设施场址的位置以及其与周围环境敏感目标的距离应依据</w:t>
            </w:r>
            <w:r>
              <w:rPr>
                <w:rFonts w:hint="default" w:ascii="Times New Roman" w:hAnsi="Times New Roman" w:eastAsia="宋体" w:cs="Times New Roman"/>
                <w:spacing w:val="8"/>
                <w:sz w:val="21"/>
                <w:szCs w:val="21"/>
                <w:highlight w:val="none"/>
              </w:rPr>
              <w:t>环境影响评价文件确定。</w:t>
            </w:r>
          </w:p>
        </w:tc>
        <w:tc>
          <w:tcPr>
            <w:tcW w:w="1723" w:type="dxa"/>
            <w:tcBorders>
              <w:tl2br w:val="nil"/>
              <w:tr2bl w:val="nil"/>
            </w:tcBorders>
            <w:vAlign w:val="center"/>
          </w:tcPr>
          <w:p w14:paraId="0AD7A4E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pacing w:val="3"/>
                <w:sz w:val="21"/>
                <w:szCs w:val="21"/>
                <w:highlight w:val="none"/>
              </w:rPr>
              <w:t>符合</w:t>
            </w:r>
          </w:p>
        </w:tc>
      </w:tr>
    </w:tbl>
    <w:p w14:paraId="01200C59">
      <w:pPr>
        <w:keepNext/>
        <w:keepLines w:val="0"/>
        <w:pageBreakBefore w:val="0"/>
        <w:widowControl w:val="0"/>
        <w:suppressLineNumbers/>
        <w:kinsoku/>
        <w:wordWrap/>
        <w:overflowPunct/>
        <w:topLinePunct w:val="0"/>
        <w:autoSpaceDE/>
        <w:autoSpaceDN/>
        <w:bidi w:val="0"/>
        <w:adjustRightInd/>
        <w:snapToGrid/>
        <w:spacing w:line="360" w:lineRule="auto"/>
        <w:ind w:left="0" w:firstLine="42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危废暂存间暂存能力可行性分析</w:t>
      </w:r>
    </w:p>
    <w:p w14:paraId="2C2205F8">
      <w:pPr>
        <w:keepLines w:val="0"/>
        <w:pageBreakBefore w:val="0"/>
        <w:tabs>
          <w:tab w:val="left" w:pos="3404"/>
        </w:tabs>
        <w:kinsoku/>
        <w:wordWrap/>
        <w:overflowPunct/>
        <w:topLinePunct w:val="0"/>
        <w:autoSpaceDE/>
        <w:autoSpaceDN/>
        <w:bidi w:val="0"/>
        <w:adjustRightInd/>
        <w:snapToGrid/>
        <w:spacing w:line="360" w:lineRule="auto"/>
        <w:ind w:left="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项目产生的危险废物在厂区内的贮存时间不得超过一年。对于危险废物的转运和运输，需严格按照《危险废物转移联单管理方 法》（国家环保总局，总局令第 5 号）执行，做好记录，避免危险废物在贮存和 转运过程中产生二次污染。</w:t>
      </w:r>
    </w:p>
    <w:p w14:paraId="424D9C15">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b/>
          <w:bCs/>
          <w:color w:val="0C0C0C"/>
          <w:kern w:val="0"/>
          <w:sz w:val="24"/>
          <w:szCs w:val="24"/>
          <w:highlight w:val="none"/>
          <w:lang w:val="en-US" w:eastAsia="zh-CN" w:bidi="ar"/>
        </w:rPr>
      </w:pPr>
    </w:p>
    <w:p w14:paraId="56620624">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b/>
          <w:bCs/>
          <w:color w:val="0C0C0C"/>
          <w:kern w:val="0"/>
          <w:sz w:val="24"/>
          <w:szCs w:val="24"/>
          <w:highlight w:val="none"/>
          <w:lang w:val="en-US" w:eastAsia="zh-CN" w:bidi="ar"/>
        </w:rPr>
      </w:pPr>
    </w:p>
    <w:p w14:paraId="0EDD6EF3">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firstLineChars="0"/>
        <w:jc w:val="center"/>
        <w:textAlignment w:val="auto"/>
        <w:rPr>
          <w:rFonts w:hint="eastAsia" w:ascii="Times New Roman" w:hAnsi="Times New Roman" w:eastAsia="宋体" w:cs="Times New Roman"/>
          <w:b/>
          <w:bCs/>
          <w:color w:val="0C0C0C"/>
          <w:kern w:val="0"/>
          <w:sz w:val="24"/>
          <w:szCs w:val="24"/>
          <w:highlight w:val="none"/>
          <w:lang w:val="en-US" w:eastAsia="zh-CN" w:bidi="ar"/>
        </w:rPr>
      </w:pPr>
    </w:p>
    <w:p w14:paraId="0FBE4C40">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firstLineChars="0"/>
        <w:jc w:val="center"/>
        <w:textAlignment w:val="auto"/>
        <w:rPr>
          <w:highlight w:val="none"/>
        </w:rPr>
      </w:pPr>
      <w:r>
        <w:rPr>
          <w:rFonts w:hint="eastAsia" w:ascii="Times New Roman" w:hAnsi="Times New Roman" w:eastAsia="宋体" w:cs="Times New Roman"/>
          <w:b/>
          <w:bCs/>
          <w:color w:val="0C0C0C"/>
          <w:kern w:val="0"/>
          <w:sz w:val="24"/>
          <w:szCs w:val="24"/>
          <w:highlight w:val="none"/>
          <w:lang w:val="en-US" w:eastAsia="zh-CN" w:bidi="ar"/>
        </w:rPr>
        <w:t>表</w:t>
      </w:r>
      <w:r>
        <w:rPr>
          <w:rFonts w:hint="eastAsia" w:eastAsia="宋体" w:cs="Times New Roman"/>
          <w:b/>
          <w:bCs/>
          <w:color w:val="0C0C0C"/>
          <w:kern w:val="0"/>
          <w:sz w:val="24"/>
          <w:szCs w:val="24"/>
          <w:highlight w:val="none"/>
          <w:lang w:val="en-US" w:eastAsia="zh-CN" w:bidi="ar"/>
        </w:rPr>
        <w:t xml:space="preserve">6.6-2 </w:t>
      </w:r>
      <w:r>
        <w:rPr>
          <w:rFonts w:hint="eastAsia" w:ascii="Times New Roman" w:hAnsi="Times New Roman" w:eastAsia="宋体" w:cs="Times New Roman"/>
          <w:b/>
          <w:bCs/>
          <w:color w:val="0C0C0C"/>
          <w:kern w:val="0"/>
          <w:sz w:val="24"/>
          <w:szCs w:val="24"/>
          <w:highlight w:val="none"/>
          <w:lang w:val="en-US" w:eastAsia="zh-CN" w:bidi="ar"/>
        </w:rPr>
        <w:t xml:space="preserve"> </w:t>
      </w:r>
      <w:r>
        <w:rPr>
          <w:rFonts w:hint="eastAsia" w:ascii="宋体" w:hAnsi="宋体" w:eastAsia="宋体" w:cs="宋体"/>
          <w:b/>
          <w:bCs/>
          <w:color w:val="0C0C0C"/>
          <w:kern w:val="0"/>
          <w:sz w:val="24"/>
          <w:szCs w:val="24"/>
          <w:highlight w:val="none"/>
          <w:lang w:val="en-US" w:eastAsia="zh-CN" w:bidi="ar"/>
        </w:rPr>
        <w:t>本项目危险废物汇总表</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594"/>
        <w:gridCol w:w="538"/>
        <w:gridCol w:w="1755"/>
        <w:gridCol w:w="870"/>
        <w:gridCol w:w="495"/>
        <w:gridCol w:w="859"/>
        <w:gridCol w:w="582"/>
        <w:gridCol w:w="565"/>
        <w:gridCol w:w="858"/>
        <w:gridCol w:w="943"/>
      </w:tblGrid>
      <w:tr w14:paraId="1A7C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79382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序号</w:t>
            </w:r>
          </w:p>
        </w:tc>
        <w:tc>
          <w:tcPr>
            <w:tcW w:w="349" w:type="pct"/>
            <w:vAlign w:val="center"/>
          </w:tcPr>
          <w:p w14:paraId="5CE77D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产生环节</w:t>
            </w:r>
          </w:p>
        </w:tc>
        <w:tc>
          <w:tcPr>
            <w:tcW w:w="316" w:type="pct"/>
            <w:vAlign w:val="center"/>
          </w:tcPr>
          <w:p w14:paraId="3C5931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名称</w:t>
            </w:r>
          </w:p>
        </w:tc>
        <w:tc>
          <w:tcPr>
            <w:tcW w:w="1031" w:type="pct"/>
            <w:vAlign w:val="center"/>
          </w:tcPr>
          <w:p w14:paraId="53A48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危险废物类别及代码</w:t>
            </w:r>
          </w:p>
        </w:tc>
        <w:tc>
          <w:tcPr>
            <w:tcW w:w="511" w:type="pct"/>
            <w:vAlign w:val="center"/>
          </w:tcPr>
          <w:p w14:paraId="3137B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主要有毒有害物质名称</w:t>
            </w:r>
          </w:p>
        </w:tc>
        <w:tc>
          <w:tcPr>
            <w:tcW w:w="290" w:type="pct"/>
            <w:vAlign w:val="center"/>
          </w:tcPr>
          <w:p w14:paraId="719F6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物理性状</w:t>
            </w:r>
          </w:p>
        </w:tc>
        <w:tc>
          <w:tcPr>
            <w:tcW w:w="504" w:type="pct"/>
            <w:vAlign w:val="center"/>
          </w:tcPr>
          <w:p w14:paraId="546580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产生量t/a</w:t>
            </w:r>
          </w:p>
        </w:tc>
        <w:tc>
          <w:tcPr>
            <w:tcW w:w="342" w:type="pct"/>
            <w:vAlign w:val="center"/>
          </w:tcPr>
          <w:p w14:paraId="35BDD6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危险特性</w:t>
            </w:r>
          </w:p>
        </w:tc>
        <w:tc>
          <w:tcPr>
            <w:tcW w:w="332" w:type="pct"/>
            <w:vAlign w:val="center"/>
          </w:tcPr>
          <w:p w14:paraId="78F13B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贮存方式</w:t>
            </w:r>
          </w:p>
        </w:tc>
        <w:tc>
          <w:tcPr>
            <w:tcW w:w="504" w:type="pct"/>
            <w:vAlign w:val="center"/>
          </w:tcPr>
          <w:p w14:paraId="2D69E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利用处置方式和去向</w:t>
            </w:r>
          </w:p>
        </w:tc>
        <w:tc>
          <w:tcPr>
            <w:tcW w:w="554" w:type="pct"/>
            <w:vAlign w:val="center"/>
          </w:tcPr>
          <w:p w14:paraId="4CF7C9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利用或处置量t/a</w:t>
            </w:r>
          </w:p>
        </w:tc>
      </w:tr>
      <w:tr w14:paraId="3004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47D0B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1</w:t>
            </w:r>
          </w:p>
        </w:tc>
        <w:tc>
          <w:tcPr>
            <w:tcW w:w="349" w:type="pct"/>
            <w:vAlign w:val="center"/>
          </w:tcPr>
          <w:p w14:paraId="59EE1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废气处理</w:t>
            </w:r>
          </w:p>
        </w:tc>
        <w:tc>
          <w:tcPr>
            <w:tcW w:w="316" w:type="pct"/>
            <w:vAlign w:val="center"/>
          </w:tcPr>
          <w:p w14:paraId="1216E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废活性炭</w:t>
            </w:r>
          </w:p>
        </w:tc>
        <w:tc>
          <w:tcPr>
            <w:tcW w:w="1031" w:type="pct"/>
            <w:vAlign w:val="center"/>
          </w:tcPr>
          <w:p w14:paraId="5CEB2A1B">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HW49</w:t>
            </w:r>
            <w:r>
              <w:rPr>
                <w:rFonts w:hint="default" w:ascii="Times New Roman" w:hAnsi="Times New Roman" w:eastAsia="宋体" w:cs="Times New Roman"/>
                <w:color w:val="0C0C0C"/>
                <w:kern w:val="0"/>
                <w:sz w:val="21"/>
                <w:szCs w:val="21"/>
                <w:highlight w:val="none"/>
                <w:u w:val="none"/>
                <w:lang w:val="en-US" w:eastAsia="zh-CN" w:bidi="ar"/>
              </w:rPr>
              <w:t>其他废物</w:t>
            </w: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（900-039-49）</w:t>
            </w:r>
          </w:p>
        </w:tc>
        <w:tc>
          <w:tcPr>
            <w:tcW w:w="511" w:type="pct"/>
            <w:vAlign w:val="center"/>
          </w:tcPr>
          <w:p w14:paraId="45F6FF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有机物</w:t>
            </w:r>
          </w:p>
        </w:tc>
        <w:tc>
          <w:tcPr>
            <w:tcW w:w="290" w:type="pct"/>
            <w:vAlign w:val="center"/>
          </w:tcPr>
          <w:p w14:paraId="164BDE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固态</w:t>
            </w:r>
          </w:p>
        </w:tc>
        <w:tc>
          <w:tcPr>
            <w:tcW w:w="504" w:type="pct"/>
            <w:vAlign w:val="center"/>
          </w:tcPr>
          <w:p w14:paraId="355BE2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eastAsia" w:ascii="Times New Roman" w:cstheme="minorBidi"/>
                <w:color w:val="000000" w:themeColor="text1"/>
                <w:kern w:val="2"/>
                <w:sz w:val="21"/>
                <w:szCs w:val="21"/>
                <w:highlight w:val="none"/>
                <w:u w:val="none"/>
                <w:lang w:val="en-US" w:eastAsia="zh-CN"/>
                <w14:textFill>
                  <w14:solidFill>
                    <w14:schemeClr w14:val="tx1"/>
                  </w14:solidFill>
                </w14:textFill>
              </w:rPr>
              <w:t>3.654</w:t>
            </w:r>
          </w:p>
        </w:tc>
        <w:tc>
          <w:tcPr>
            <w:tcW w:w="342" w:type="pct"/>
            <w:vAlign w:val="center"/>
          </w:tcPr>
          <w:p w14:paraId="65550F81">
            <w:pPr>
              <w:pStyle w:val="2"/>
              <w:keepNext w:val="0"/>
              <w:keepLines w:val="0"/>
              <w:pageBreakBefore w:val="0"/>
              <w:kinsoku/>
              <w:wordWrap/>
              <w:overflowPunct/>
              <w:topLinePunct w:val="0"/>
              <w:autoSpaceDE/>
              <w:autoSpaceDN/>
              <w:bidi w:val="0"/>
              <w:spacing w:before="0" w:after="0" w:line="240" w:lineRule="auto"/>
              <w:ind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T</w:t>
            </w:r>
          </w:p>
        </w:tc>
        <w:tc>
          <w:tcPr>
            <w:tcW w:w="332" w:type="pct"/>
            <w:vAlign w:val="center"/>
          </w:tcPr>
          <w:p w14:paraId="672D40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桶装</w:t>
            </w:r>
          </w:p>
        </w:tc>
        <w:tc>
          <w:tcPr>
            <w:tcW w:w="504" w:type="pct"/>
            <w:vMerge w:val="restart"/>
            <w:vAlign w:val="center"/>
          </w:tcPr>
          <w:p w14:paraId="13CAC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auto"/>
                <w:sz w:val="21"/>
                <w:szCs w:val="21"/>
                <w:highlight w:val="none"/>
                <w:u w:val="none"/>
                <w:lang w:val="en-US" w:eastAsia="zh-CN"/>
              </w:rPr>
              <w:t>暂存于危废间，</w:t>
            </w:r>
            <w:r>
              <w:rPr>
                <w:rFonts w:hint="default" w:ascii="Times New Roman" w:hAnsi="Times New Roman" w:eastAsia="宋体" w:cs="Times New Roman"/>
                <w:b w:val="0"/>
                <w:bCs/>
                <w:color w:val="auto"/>
                <w:sz w:val="21"/>
                <w:szCs w:val="21"/>
                <w:highlight w:val="none"/>
                <w:u w:val="none"/>
              </w:rPr>
              <w:t>交由有资质单位处</w:t>
            </w:r>
            <w:r>
              <w:rPr>
                <w:rFonts w:hint="default" w:ascii="Times New Roman" w:hAnsi="Times New Roman" w:eastAsia="宋体" w:cs="Times New Roman"/>
                <w:b w:val="0"/>
                <w:bCs/>
                <w:color w:val="auto"/>
                <w:sz w:val="21"/>
                <w:szCs w:val="21"/>
                <w:highlight w:val="none"/>
                <w:u w:val="none"/>
                <w:lang w:val="en-US" w:eastAsia="zh-CN"/>
              </w:rPr>
              <w:t>置</w:t>
            </w:r>
          </w:p>
        </w:tc>
        <w:tc>
          <w:tcPr>
            <w:tcW w:w="554" w:type="pct"/>
            <w:vAlign w:val="center"/>
          </w:tcPr>
          <w:p w14:paraId="5B6A10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eastAsia" w:ascii="Times New Roman" w:cstheme="minorBidi"/>
                <w:color w:val="000000" w:themeColor="text1"/>
                <w:kern w:val="2"/>
                <w:sz w:val="21"/>
                <w:szCs w:val="21"/>
                <w:highlight w:val="none"/>
                <w:u w:val="none"/>
                <w:lang w:val="en-US" w:eastAsia="zh-CN"/>
                <w14:textFill>
                  <w14:solidFill>
                    <w14:schemeClr w14:val="tx1"/>
                  </w14:solidFill>
                </w14:textFill>
              </w:rPr>
              <w:t>3.654</w:t>
            </w:r>
          </w:p>
        </w:tc>
      </w:tr>
      <w:tr w14:paraId="1EE0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53AFB2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2</w:t>
            </w:r>
          </w:p>
        </w:tc>
        <w:tc>
          <w:tcPr>
            <w:tcW w:w="349" w:type="pct"/>
            <w:vAlign w:val="center"/>
          </w:tcPr>
          <w:p w14:paraId="5F400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设备运行</w:t>
            </w:r>
          </w:p>
        </w:tc>
        <w:tc>
          <w:tcPr>
            <w:tcW w:w="316" w:type="pct"/>
            <w:vAlign w:val="center"/>
          </w:tcPr>
          <w:p w14:paraId="3BF4A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废导热油</w:t>
            </w:r>
          </w:p>
        </w:tc>
        <w:tc>
          <w:tcPr>
            <w:tcW w:w="1031" w:type="pct"/>
            <w:vAlign w:val="center"/>
          </w:tcPr>
          <w:p w14:paraId="0659814F">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sz w:val="21"/>
                <w:szCs w:val="21"/>
                <w:highlight w:val="none"/>
              </w:rPr>
            </w:pPr>
            <w:r>
              <w:rPr>
                <w:rFonts w:hint="default" w:ascii="Times New Roman" w:hAnsi="Times New Roman" w:eastAsia="宋体" w:cs="Times New Roman"/>
                <w:color w:val="000000"/>
                <w:kern w:val="0"/>
                <w:sz w:val="21"/>
                <w:szCs w:val="21"/>
                <w:highlight w:val="none"/>
                <w:lang w:val="en-US" w:eastAsia="zh-CN" w:bidi="ar"/>
              </w:rPr>
              <w:t>HW08</w:t>
            </w:r>
            <w:r>
              <w:rPr>
                <w:rFonts w:ascii="宋体" w:hAnsi="宋体" w:eastAsia="宋体" w:cs="宋体"/>
                <w:sz w:val="21"/>
                <w:szCs w:val="21"/>
                <w:highlight w:val="none"/>
              </w:rPr>
              <w:t>废矿物油与含矿物油废物</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900-249-08</w:t>
            </w:r>
            <w:r>
              <w:rPr>
                <w:rFonts w:hint="eastAsia" w:ascii="宋体" w:hAnsi="宋体" w:eastAsia="宋体" w:cs="宋体"/>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w:t>
            </w:r>
          </w:p>
          <w:p w14:paraId="71C74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p>
        </w:tc>
        <w:tc>
          <w:tcPr>
            <w:tcW w:w="511" w:type="pct"/>
            <w:vAlign w:val="center"/>
          </w:tcPr>
          <w:p w14:paraId="660637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有机物</w:t>
            </w:r>
          </w:p>
        </w:tc>
        <w:tc>
          <w:tcPr>
            <w:tcW w:w="290" w:type="pct"/>
            <w:vAlign w:val="center"/>
          </w:tcPr>
          <w:p w14:paraId="4036B9C7">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液态</w:t>
            </w:r>
          </w:p>
        </w:tc>
        <w:tc>
          <w:tcPr>
            <w:tcW w:w="504" w:type="pct"/>
            <w:vAlign w:val="center"/>
          </w:tcPr>
          <w:p w14:paraId="239DEE31">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0.3</w:t>
            </w:r>
          </w:p>
        </w:tc>
        <w:tc>
          <w:tcPr>
            <w:tcW w:w="342" w:type="pct"/>
            <w:vAlign w:val="center"/>
          </w:tcPr>
          <w:p w14:paraId="4F4C0052">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default" w:ascii="Times New Roman" w:hAnsi="Times New Roman" w:eastAsia="宋体" w:cs="Times New Roman"/>
                <w:color w:val="0C0C0C"/>
                <w:kern w:val="0"/>
                <w:sz w:val="21"/>
                <w:szCs w:val="21"/>
                <w:highlight w:val="none"/>
                <w:u w:val="none"/>
                <w:lang w:val="en-US" w:eastAsia="zh-CN" w:bidi="ar"/>
              </w:rPr>
              <w:t>T</w:t>
            </w:r>
            <w:r>
              <w:rPr>
                <w:rFonts w:hint="eastAsia" w:ascii="Times New Roman" w:hAnsi="Times New Roman" w:eastAsia="宋体" w:cs="Times New Roman"/>
                <w:color w:val="0C0C0C"/>
                <w:kern w:val="0"/>
                <w:sz w:val="21"/>
                <w:szCs w:val="21"/>
                <w:highlight w:val="none"/>
                <w:u w:val="none"/>
                <w:lang w:val="en-US" w:eastAsia="zh-CN" w:bidi="ar"/>
              </w:rPr>
              <w:t>，</w:t>
            </w:r>
            <w:r>
              <w:rPr>
                <w:rFonts w:hint="default" w:ascii="Times New Roman" w:hAnsi="Times New Roman" w:eastAsia="宋体" w:cs="Times New Roman"/>
                <w:color w:val="0C0C0C"/>
                <w:kern w:val="0"/>
                <w:sz w:val="21"/>
                <w:szCs w:val="21"/>
                <w:highlight w:val="none"/>
                <w:u w:val="none"/>
                <w:lang w:val="en-US" w:eastAsia="zh-CN" w:bidi="ar"/>
              </w:rPr>
              <w:t>I</w:t>
            </w:r>
          </w:p>
          <w:p w14:paraId="70B93029">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p>
        </w:tc>
        <w:tc>
          <w:tcPr>
            <w:tcW w:w="332" w:type="pct"/>
            <w:vAlign w:val="center"/>
          </w:tcPr>
          <w:p w14:paraId="033D87E1">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桶装</w:t>
            </w:r>
          </w:p>
        </w:tc>
        <w:tc>
          <w:tcPr>
            <w:tcW w:w="504" w:type="pct"/>
            <w:vMerge w:val="continue"/>
            <w:vAlign w:val="center"/>
          </w:tcPr>
          <w:p w14:paraId="4AD1E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p>
        </w:tc>
        <w:tc>
          <w:tcPr>
            <w:tcW w:w="554" w:type="pct"/>
            <w:vAlign w:val="center"/>
          </w:tcPr>
          <w:p w14:paraId="6AFBE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lang w:val="en-US"/>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0.3</w:t>
            </w:r>
          </w:p>
        </w:tc>
      </w:tr>
      <w:tr w14:paraId="5229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262" w:type="pct"/>
            <w:vAlign w:val="center"/>
          </w:tcPr>
          <w:p w14:paraId="5F49EB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3</w:t>
            </w:r>
          </w:p>
        </w:tc>
        <w:tc>
          <w:tcPr>
            <w:tcW w:w="349" w:type="pct"/>
            <w:vAlign w:val="center"/>
          </w:tcPr>
          <w:p w14:paraId="0BAB9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u w:val="none"/>
                <w:lang w:val="en-US" w:eastAsia="zh-CN"/>
                <w14:textFill>
                  <w14:solidFill>
                    <w14:schemeClr w14:val="tx1"/>
                  </w14:solidFill>
                </w14:textFill>
              </w:rPr>
              <w:t>产品检验</w:t>
            </w:r>
          </w:p>
        </w:tc>
        <w:tc>
          <w:tcPr>
            <w:tcW w:w="316" w:type="pct"/>
            <w:vAlign w:val="center"/>
          </w:tcPr>
          <w:p w14:paraId="62FE7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bCs/>
                <w:color w:val="000000" w:themeColor="text1"/>
                <w:kern w:val="2"/>
                <w:sz w:val="21"/>
                <w:szCs w:val="21"/>
                <w:highlight w:val="none"/>
                <w:u w:val="none"/>
                <w:lang w:val="en-US" w:eastAsia="zh-CN" w:bidi="ar-SA"/>
                <w14:textFill>
                  <w14:solidFill>
                    <w14:schemeClr w14:val="tx1"/>
                  </w14:solidFill>
                </w14:textFill>
              </w:rPr>
              <w:t>实验室废液</w:t>
            </w:r>
          </w:p>
        </w:tc>
        <w:tc>
          <w:tcPr>
            <w:tcW w:w="1031" w:type="pct"/>
            <w:vAlign w:val="center"/>
          </w:tcPr>
          <w:p w14:paraId="06EB0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auto"/>
                <w:kern w:val="10"/>
                <w:sz w:val="21"/>
                <w:szCs w:val="21"/>
                <w:highlight w:val="none"/>
                <w:u w:val="none" w:color="auto"/>
                <w:vertAlign w:val="baseline"/>
                <w:lang w:val="en-US" w:eastAsia="zh-CN" w:bidi="ar-SA"/>
              </w:rPr>
              <w:t>HW49</w:t>
            </w:r>
            <w:r>
              <w:rPr>
                <w:rFonts w:hint="default" w:ascii="Times New Roman" w:hAnsi="Times New Roman" w:eastAsia="宋体" w:cs="Times New Roman"/>
                <w:color w:val="0C0C0C"/>
                <w:kern w:val="0"/>
                <w:sz w:val="21"/>
                <w:szCs w:val="21"/>
                <w:highlight w:val="none"/>
                <w:u w:val="none"/>
                <w:lang w:val="en-US" w:eastAsia="zh-CN" w:bidi="ar"/>
              </w:rPr>
              <w:t>其他废物</w:t>
            </w:r>
            <w:r>
              <w:rPr>
                <w:rFonts w:hint="eastAsia" w:ascii="Times New Roman" w:hAnsi="Times New Roman" w:eastAsia="宋体" w:cs="Times New Roman"/>
                <w:color w:val="auto"/>
                <w:kern w:val="10"/>
                <w:sz w:val="21"/>
                <w:szCs w:val="21"/>
                <w:highlight w:val="none"/>
                <w:u w:val="none" w:color="auto"/>
                <w:vertAlign w:val="baseline"/>
                <w:lang w:val="en-US" w:eastAsia="zh-CN" w:bidi="ar-SA"/>
              </w:rPr>
              <w:t>（</w:t>
            </w:r>
            <w:r>
              <w:rPr>
                <w:rFonts w:hint="default" w:ascii="Times New Roman" w:hAnsi="Times New Roman" w:eastAsia="宋体" w:cs="Times New Roman"/>
                <w:color w:val="auto"/>
                <w:sz w:val="21"/>
                <w:szCs w:val="21"/>
                <w:highlight w:val="none"/>
                <w:u w:val="none" w:color="auto"/>
                <w:lang w:val="en-US" w:eastAsia="zh-CN"/>
              </w:rPr>
              <w:t>900-047-49</w:t>
            </w:r>
            <w:r>
              <w:rPr>
                <w:rFonts w:hint="eastAsia" w:ascii="Times New Roman" w:hAnsi="Times New Roman" w:eastAsia="宋体" w:cs="Times New Roman"/>
                <w:color w:val="auto"/>
                <w:kern w:val="10"/>
                <w:sz w:val="21"/>
                <w:szCs w:val="21"/>
                <w:highlight w:val="none"/>
                <w:u w:val="none" w:color="auto"/>
                <w:vertAlign w:val="baseline"/>
                <w:lang w:val="en-US" w:eastAsia="zh-CN" w:bidi="ar-SA"/>
              </w:rPr>
              <w:t>）</w:t>
            </w:r>
          </w:p>
        </w:tc>
        <w:tc>
          <w:tcPr>
            <w:tcW w:w="511" w:type="pct"/>
            <w:vAlign w:val="center"/>
          </w:tcPr>
          <w:p w14:paraId="0F7CEF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有机物</w:t>
            </w:r>
          </w:p>
        </w:tc>
        <w:tc>
          <w:tcPr>
            <w:tcW w:w="290" w:type="pct"/>
            <w:vAlign w:val="center"/>
          </w:tcPr>
          <w:p w14:paraId="73687AA9">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液态</w:t>
            </w:r>
          </w:p>
        </w:tc>
        <w:tc>
          <w:tcPr>
            <w:tcW w:w="504" w:type="pct"/>
            <w:vAlign w:val="center"/>
          </w:tcPr>
          <w:p w14:paraId="0D363346">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0.06</w:t>
            </w:r>
          </w:p>
        </w:tc>
        <w:tc>
          <w:tcPr>
            <w:tcW w:w="342" w:type="pct"/>
            <w:vAlign w:val="center"/>
          </w:tcPr>
          <w:p w14:paraId="7A30D580">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default" w:ascii="Times New Roman" w:hAnsi="Times New Roman" w:eastAsia="宋体" w:cs="Times New Roman"/>
                <w:color w:val="0C0C0C"/>
                <w:kern w:val="0"/>
                <w:sz w:val="21"/>
                <w:szCs w:val="21"/>
                <w:highlight w:val="none"/>
                <w:u w:val="none"/>
                <w:lang w:val="en-US" w:eastAsia="zh-CN" w:bidi="ar"/>
              </w:rPr>
              <w:t>T/C/I/R</w:t>
            </w:r>
          </w:p>
        </w:tc>
        <w:tc>
          <w:tcPr>
            <w:tcW w:w="332" w:type="pct"/>
            <w:vAlign w:val="center"/>
          </w:tcPr>
          <w:p w14:paraId="17CB4A1C">
            <w:pPr>
              <w:keepNext w:val="0"/>
              <w:keepLines w:val="0"/>
              <w:pageBreakBefore w:val="0"/>
              <w:widowControl/>
              <w:suppressLineNumbers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C0C0C"/>
                <w:kern w:val="0"/>
                <w:sz w:val="21"/>
                <w:szCs w:val="21"/>
                <w:highlight w:val="none"/>
                <w:u w:val="none"/>
                <w:lang w:val="en-US" w:eastAsia="zh-CN" w:bidi="ar"/>
              </w:rPr>
            </w:pPr>
            <w:r>
              <w:rPr>
                <w:rFonts w:hint="eastAsia" w:ascii="Times New Roman" w:hAnsi="Times New Roman" w:eastAsia="宋体" w:cs="Times New Roman"/>
                <w:color w:val="0C0C0C"/>
                <w:kern w:val="0"/>
                <w:sz w:val="21"/>
                <w:szCs w:val="21"/>
                <w:highlight w:val="none"/>
                <w:u w:val="none"/>
                <w:lang w:val="en-US" w:eastAsia="zh-CN" w:bidi="ar"/>
              </w:rPr>
              <w:t>桶装</w:t>
            </w:r>
          </w:p>
        </w:tc>
        <w:tc>
          <w:tcPr>
            <w:tcW w:w="504" w:type="pct"/>
            <w:vMerge w:val="continue"/>
            <w:vAlign w:val="center"/>
          </w:tcPr>
          <w:p w14:paraId="2C3FF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p>
        </w:tc>
        <w:tc>
          <w:tcPr>
            <w:tcW w:w="554" w:type="pct"/>
            <w:vAlign w:val="center"/>
          </w:tcPr>
          <w:p w14:paraId="4B6C43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2"/>
                <w:sz w:val="21"/>
                <w:szCs w:val="21"/>
                <w:highlight w:val="none"/>
                <w:u w:val="none"/>
                <w:lang w:val="en-US" w:eastAsia="zh-CN"/>
                <w14:textFill>
                  <w14:solidFill>
                    <w14:schemeClr w14:val="tx1"/>
                  </w14:solidFill>
                </w14:textFill>
              </w:rPr>
              <w:t>0.06</w:t>
            </w:r>
          </w:p>
        </w:tc>
      </w:tr>
    </w:tbl>
    <w:p w14:paraId="2B5FDAE9">
      <w:pPr>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rFonts w:ascii="宋体" w:hAnsi="宋体" w:eastAsia="宋体" w:cs="宋体"/>
          <w:spacing w:val="-2"/>
          <w:sz w:val="24"/>
          <w:szCs w:val="24"/>
          <w:highlight w:val="none"/>
        </w:rPr>
      </w:pPr>
      <w:r>
        <w:rPr>
          <w:rFonts w:hint="eastAsia" w:eastAsia="宋体" w:cs="Times New Roman"/>
          <w:color w:val="000000" w:themeColor="text1"/>
          <w:sz w:val="24"/>
          <w:szCs w:val="24"/>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项目新建1间危险废物暂存间（10m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w:t>
      </w:r>
      <w:r>
        <w:rPr>
          <w:rFonts w:ascii="宋体" w:hAnsi="宋体" w:eastAsia="宋体" w:cs="宋体"/>
          <w:spacing w:val="-3"/>
          <w:sz w:val="24"/>
          <w:szCs w:val="24"/>
          <w:highlight w:val="none"/>
        </w:rPr>
        <w:t>在严格落实本次评价提出的要求基础上，拟新建危废</w:t>
      </w:r>
      <w:r>
        <w:rPr>
          <w:rFonts w:ascii="宋体" w:hAnsi="宋体" w:eastAsia="宋体" w:cs="宋体"/>
          <w:spacing w:val="-4"/>
          <w:sz w:val="24"/>
          <w:szCs w:val="24"/>
          <w:highlight w:val="none"/>
        </w:rPr>
        <w:t>暂存间贮存</w:t>
      </w:r>
      <w:r>
        <w:rPr>
          <w:rFonts w:ascii="宋体" w:hAnsi="宋体" w:eastAsia="宋体" w:cs="宋体"/>
          <w:spacing w:val="-2"/>
          <w:sz w:val="24"/>
          <w:szCs w:val="24"/>
          <w:highlight w:val="none"/>
        </w:rPr>
        <w:t>能力是可行的。</w:t>
      </w:r>
    </w:p>
    <w:p w14:paraId="1EB6BC66">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outlineLvl w:val="2"/>
        <w:rPr>
          <w:rFonts w:ascii="宋体" w:hAnsi="宋体" w:eastAsia="宋体" w:cs="宋体"/>
          <w:sz w:val="28"/>
          <w:szCs w:val="28"/>
          <w:highlight w:val="none"/>
        </w:rPr>
      </w:pPr>
      <w:bookmarkStart w:id="192" w:name="_Toc2317"/>
      <w:r>
        <w:rPr>
          <w:rFonts w:ascii="Times New Roman" w:hAnsi="Times New Roman" w:eastAsia="Times New Roman" w:cs="Times New Roman"/>
          <w:b/>
          <w:bCs/>
          <w:spacing w:val="-2"/>
          <w:sz w:val="28"/>
          <w:szCs w:val="28"/>
          <w:highlight w:val="none"/>
        </w:rPr>
        <w:t xml:space="preserve">6.6.2 </w:t>
      </w:r>
      <w:r>
        <w:rPr>
          <w:rFonts w:ascii="宋体" w:hAnsi="宋体" w:eastAsia="宋体" w:cs="宋体"/>
          <w:b/>
          <w:bCs/>
          <w:spacing w:val="-2"/>
          <w:sz w:val="28"/>
          <w:szCs w:val="28"/>
          <w:highlight w:val="none"/>
        </w:rPr>
        <w:t>危险废物收集、运输过程环境影响分析</w:t>
      </w:r>
      <w:bookmarkEnd w:id="192"/>
    </w:p>
    <w:p w14:paraId="367E3258">
      <w:pPr>
        <w:keepNext w:val="0"/>
        <w:keepLines w:val="0"/>
        <w:pageBreakBefore w:val="0"/>
        <w:widowControl w:val="0"/>
        <w:kinsoku/>
        <w:wordWrap/>
        <w:overflowPunct/>
        <w:topLinePunct w:val="0"/>
        <w:autoSpaceDE/>
        <w:autoSpaceDN/>
        <w:bidi w:val="0"/>
        <w:adjustRightInd/>
        <w:snapToGrid/>
        <w:spacing w:line="360" w:lineRule="auto"/>
        <w:ind w:left="0" w:right="0" w:firstLine="485"/>
        <w:jc w:val="both"/>
        <w:textAlignment w:val="auto"/>
        <w:rPr>
          <w:rFonts w:ascii="宋体" w:hAnsi="宋体" w:eastAsia="宋体" w:cs="宋体"/>
          <w:sz w:val="24"/>
          <w:szCs w:val="24"/>
          <w:highlight w:val="none"/>
        </w:rPr>
      </w:pPr>
      <w:r>
        <w:rPr>
          <w:rFonts w:ascii="宋体" w:hAnsi="宋体" w:eastAsia="宋体" w:cs="宋体"/>
          <w:spacing w:val="-4"/>
          <w:sz w:val="24"/>
          <w:szCs w:val="24"/>
          <w:highlight w:val="none"/>
        </w:rPr>
        <w:t>厂内</w:t>
      </w:r>
      <w:r>
        <w:rPr>
          <w:rFonts w:ascii="宋体" w:hAnsi="宋体" w:eastAsia="宋体" w:cs="宋体"/>
          <w:spacing w:val="-3"/>
          <w:sz w:val="24"/>
          <w:szCs w:val="24"/>
          <w:highlight w:val="none"/>
        </w:rPr>
        <w:t>各生产区危险废物在产生点用容器收集后，主要通过人工、手推车、叉车等</w:t>
      </w:r>
      <w:r>
        <w:rPr>
          <w:rFonts w:ascii="宋体" w:hAnsi="宋体" w:eastAsia="宋体" w:cs="宋体"/>
          <w:spacing w:val="-4"/>
          <w:sz w:val="24"/>
          <w:szCs w:val="24"/>
          <w:highlight w:val="none"/>
        </w:rPr>
        <w:t>方式</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进行运输。危险废物在运输过程中主要的环境污染为危险废物洒落。在做好</w:t>
      </w:r>
      <w:r>
        <w:rPr>
          <w:rFonts w:ascii="宋体" w:hAnsi="宋体" w:eastAsia="宋体" w:cs="宋体"/>
          <w:spacing w:val="-4"/>
          <w:sz w:val="24"/>
          <w:szCs w:val="24"/>
          <w:highlight w:val="none"/>
        </w:rPr>
        <w:t>以下</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几点的基础上，危险废物在运输过程中对环境的影响较小。</w:t>
      </w:r>
    </w:p>
    <w:p w14:paraId="7FABAE8F">
      <w:pPr>
        <w:keepNext w:val="0"/>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1</w:t>
      </w:r>
      <w:r>
        <w:rPr>
          <w:rFonts w:ascii="宋体" w:hAnsi="宋体" w:eastAsia="宋体" w:cs="宋体"/>
          <w:spacing w:val="-1"/>
          <w:sz w:val="24"/>
          <w:szCs w:val="24"/>
          <w:highlight w:val="none"/>
        </w:rPr>
        <w:t>）危险废物内部转运应综合考虑厂区的实际情况确定转运路线，尽量避</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开办公区和生活区。</w:t>
      </w:r>
    </w:p>
    <w:p w14:paraId="1EBB581B">
      <w:pPr>
        <w:keepNext w:val="0"/>
        <w:keepLines w:val="0"/>
        <w:pageBreakBefore w:val="0"/>
        <w:widowControl w:val="0"/>
        <w:kinsoku/>
        <w:wordWrap/>
        <w:overflowPunct/>
        <w:topLinePunct w:val="0"/>
        <w:autoSpaceDE/>
        <w:autoSpaceDN/>
        <w:bidi w:val="0"/>
        <w:adjustRightInd/>
        <w:snapToGrid/>
        <w:spacing w:line="360" w:lineRule="auto"/>
        <w:ind w:left="0" w:right="0" w:firstLine="485"/>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2</w:t>
      </w:r>
      <w:r>
        <w:rPr>
          <w:rFonts w:ascii="宋体" w:hAnsi="宋体" w:eastAsia="宋体" w:cs="宋体"/>
          <w:spacing w:val="-1"/>
          <w:sz w:val="24"/>
          <w:szCs w:val="24"/>
          <w:highlight w:val="none"/>
        </w:rPr>
        <w:t>）危险废物内部转运作业应采用专用的工具，危险废物内部转运应填写</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《危险废物厂内转运记录表》。</w:t>
      </w:r>
    </w:p>
    <w:p w14:paraId="79CE5B4A">
      <w:pPr>
        <w:keepNext w:val="0"/>
        <w:keepLines w:val="0"/>
        <w:pageBreakBefore w:val="0"/>
        <w:widowControl w:val="0"/>
        <w:kinsoku/>
        <w:wordWrap/>
        <w:overflowPunct/>
        <w:topLinePunct w:val="0"/>
        <w:autoSpaceDE/>
        <w:autoSpaceDN/>
        <w:bidi w:val="0"/>
        <w:adjustRightInd/>
        <w:snapToGrid/>
        <w:spacing w:line="360" w:lineRule="auto"/>
        <w:ind w:left="0" w:right="0" w:firstLine="478"/>
        <w:jc w:val="both"/>
        <w:textAlignment w:val="auto"/>
        <w:rPr>
          <w:rFonts w:ascii="宋体" w:hAnsi="宋体" w:eastAsia="宋体" w:cs="宋体"/>
          <w:sz w:val="24"/>
          <w:szCs w:val="24"/>
          <w:highlight w:val="none"/>
        </w:rPr>
      </w:pPr>
      <w:r>
        <w:rPr>
          <w:rFonts w:ascii="宋体" w:hAnsi="宋体" w:eastAsia="宋体" w:cs="宋体"/>
          <w:spacing w:val="-1"/>
          <w:sz w:val="24"/>
          <w:szCs w:val="24"/>
          <w:highlight w:val="none"/>
        </w:rPr>
        <w:t>（</w:t>
      </w:r>
      <w:r>
        <w:rPr>
          <w:rFonts w:ascii="Times New Roman" w:hAnsi="Times New Roman" w:eastAsia="Times New Roman" w:cs="Times New Roman"/>
          <w:spacing w:val="-1"/>
          <w:sz w:val="24"/>
          <w:szCs w:val="24"/>
          <w:highlight w:val="none"/>
        </w:rPr>
        <w:t>3</w:t>
      </w:r>
      <w:r>
        <w:rPr>
          <w:rFonts w:ascii="宋体" w:hAnsi="宋体" w:eastAsia="宋体" w:cs="宋体"/>
          <w:spacing w:val="-1"/>
          <w:sz w:val="24"/>
          <w:szCs w:val="24"/>
          <w:highlight w:val="none"/>
        </w:rPr>
        <w:t>）危险废物内部转运结束后，应对转运路线进行检查和清理，确保无危</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险废物遗失在转运路线上。</w:t>
      </w:r>
    </w:p>
    <w:p w14:paraId="5207722A">
      <w:pPr>
        <w:keepNext w:val="0"/>
        <w:keepLines w:val="0"/>
        <w:pageBreakBefore w:val="0"/>
        <w:widowControl w:val="0"/>
        <w:kinsoku/>
        <w:wordWrap/>
        <w:overflowPunct/>
        <w:topLinePunct w:val="0"/>
        <w:autoSpaceDE/>
        <w:autoSpaceDN/>
        <w:bidi w:val="0"/>
        <w:adjustRightInd/>
        <w:snapToGrid/>
        <w:spacing w:line="360" w:lineRule="auto"/>
        <w:ind w:left="0" w:right="0" w:firstLine="491"/>
        <w:jc w:val="both"/>
        <w:textAlignment w:val="auto"/>
        <w:rPr>
          <w:rFonts w:ascii="宋体" w:hAnsi="宋体" w:eastAsia="宋体" w:cs="宋体"/>
          <w:sz w:val="24"/>
          <w:szCs w:val="24"/>
          <w:highlight w:val="none"/>
        </w:rPr>
      </w:pPr>
      <w:r>
        <w:rPr>
          <w:rFonts w:ascii="宋体" w:hAnsi="宋体" w:eastAsia="宋体" w:cs="宋体"/>
          <w:spacing w:val="-2"/>
          <w:sz w:val="24"/>
          <w:szCs w:val="24"/>
          <w:highlight w:val="none"/>
        </w:rPr>
        <w:t>（</w:t>
      </w:r>
      <w:r>
        <w:rPr>
          <w:rFonts w:ascii="Times New Roman" w:hAnsi="Times New Roman" w:eastAsia="Times New Roman" w:cs="Times New Roman"/>
          <w:spacing w:val="-2"/>
          <w:sz w:val="24"/>
          <w:szCs w:val="24"/>
          <w:highlight w:val="none"/>
        </w:rPr>
        <w:t>4</w:t>
      </w:r>
      <w:r>
        <w:rPr>
          <w:rFonts w:ascii="宋体" w:hAnsi="宋体" w:eastAsia="宋体" w:cs="宋体"/>
          <w:spacing w:val="-2"/>
          <w:sz w:val="24"/>
          <w:szCs w:val="24"/>
          <w:highlight w:val="none"/>
        </w:rPr>
        <w:t>）运输前危险废物需进行分类，按种类、数量、危险特性、物理形态、</w:t>
      </w:r>
      <w:r>
        <w:rPr>
          <w:rFonts w:ascii="宋体" w:hAnsi="宋体" w:eastAsia="宋体" w:cs="宋体"/>
          <w:spacing w:val="4"/>
          <w:sz w:val="24"/>
          <w:szCs w:val="24"/>
          <w:highlight w:val="none"/>
        </w:rPr>
        <w:t xml:space="preserve"> </w:t>
      </w:r>
      <w:r>
        <w:rPr>
          <w:rFonts w:ascii="宋体" w:hAnsi="宋体" w:eastAsia="宋体" w:cs="宋体"/>
          <w:sz w:val="24"/>
          <w:szCs w:val="24"/>
          <w:highlight w:val="none"/>
        </w:rPr>
        <w:t>运输要求等因素确定包装形式；包装应与危险废</w:t>
      </w:r>
      <w:r>
        <w:rPr>
          <w:rFonts w:ascii="宋体" w:hAnsi="宋体" w:eastAsia="宋体" w:cs="宋体"/>
          <w:spacing w:val="-1"/>
          <w:sz w:val="24"/>
          <w:szCs w:val="24"/>
          <w:highlight w:val="none"/>
        </w:rPr>
        <w:t>物相容，且防渗、防漏。</w:t>
      </w:r>
    </w:p>
    <w:p w14:paraId="29D5227A">
      <w:pPr>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rFonts w:ascii="宋体" w:hAnsi="宋体" w:eastAsia="宋体" w:cs="宋体"/>
          <w:spacing w:val="-1"/>
          <w:sz w:val="24"/>
          <w:szCs w:val="24"/>
          <w:highlight w:val="none"/>
        </w:rPr>
      </w:pPr>
      <w:r>
        <w:rPr>
          <w:rFonts w:ascii="宋体" w:hAnsi="宋体" w:eastAsia="宋体" w:cs="宋体"/>
          <w:spacing w:val="-3"/>
          <w:sz w:val="24"/>
          <w:szCs w:val="24"/>
          <w:highlight w:val="none"/>
        </w:rPr>
        <w:t>本项目危废处置由专业人员操作，单独收集和贮运</w:t>
      </w:r>
      <w:r>
        <w:rPr>
          <w:rFonts w:ascii="宋体" w:hAnsi="宋体" w:eastAsia="宋体" w:cs="宋体"/>
          <w:spacing w:val="-4"/>
          <w:sz w:val="24"/>
          <w:szCs w:val="24"/>
          <w:highlight w:val="none"/>
        </w:rPr>
        <w:t>，严格执行转移联单管理</w:t>
      </w:r>
      <w:r>
        <w:rPr>
          <w:rFonts w:ascii="宋体" w:hAnsi="宋体" w:eastAsia="宋体" w:cs="宋体"/>
          <w:sz w:val="24"/>
          <w:szCs w:val="24"/>
          <w:highlight w:val="none"/>
        </w:rPr>
        <w:t xml:space="preserve"> 制度及国家和 省有关转移管理的相关规定、处置过程安</w:t>
      </w:r>
      <w:r>
        <w:rPr>
          <w:rFonts w:ascii="宋体" w:hAnsi="宋体" w:eastAsia="宋体" w:cs="宋体"/>
          <w:spacing w:val="-1"/>
          <w:sz w:val="24"/>
          <w:szCs w:val="24"/>
          <w:highlight w:val="none"/>
        </w:rPr>
        <w:t>全操作规程、人员培训</w:t>
      </w:r>
      <w:r>
        <w:rPr>
          <w:rFonts w:ascii="宋体" w:hAnsi="宋体" w:eastAsia="宋体" w:cs="宋体"/>
          <w:sz w:val="24"/>
          <w:szCs w:val="24"/>
          <w:highlight w:val="none"/>
        </w:rPr>
        <w:t xml:space="preserve"> 考核制度、档案管理制度、处 置全过程管理制度等，并</w:t>
      </w:r>
      <w:r>
        <w:rPr>
          <w:rFonts w:ascii="宋体" w:hAnsi="宋体" w:eastAsia="宋体" w:cs="宋体"/>
          <w:spacing w:val="-1"/>
          <w:sz w:val="24"/>
          <w:szCs w:val="24"/>
          <w:highlight w:val="none"/>
        </w:rPr>
        <w:t>制定好危险废物转移运</w:t>
      </w:r>
      <w:r>
        <w:rPr>
          <w:rFonts w:ascii="宋体" w:hAnsi="宋体" w:eastAsia="宋体" w:cs="宋体"/>
          <w:sz w:val="24"/>
          <w:szCs w:val="24"/>
          <w:highlight w:val="none"/>
        </w:rPr>
        <w:t xml:space="preserve"> 输途中的污染防范及事故应急措施，严格按</w:t>
      </w:r>
      <w:r>
        <w:rPr>
          <w:rFonts w:ascii="宋体" w:hAnsi="宋体" w:eastAsia="宋体" w:cs="宋体"/>
          <w:spacing w:val="-1"/>
          <w:sz w:val="24"/>
          <w:szCs w:val="24"/>
          <w:highlight w:val="none"/>
        </w:rPr>
        <w:t>照要求办理有关手续。</w:t>
      </w:r>
    </w:p>
    <w:p w14:paraId="430C698A">
      <w:pPr>
        <w:pStyle w:val="7"/>
        <w:bidi w:val="0"/>
        <w:rPr>
          <w:highlight w:val="none"/>
        </w:rPr>
      </w:pPr>
      <w:bookmarkStart w:id="193" w:name="_Toc886"/>
      <w:r>
        <w:rPr>
          <w:rFonts w:hint="eastAsia"/>
          <w:highlight w:val="none"/>
          <w:lang w:val="en-US" w:eastAsia="zh-CN"/>
        </w:rPr>
        <w:t>6.6.3 固体废物环境影响评价结论</w:t>
      </w:r>
      <w:bookmarkEnd w:id="193"/>
    </w:p>
    <w:p w14:paraId="204BB3EF">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根据国家对工业固体废弃物，尤其是废物处置减量化、资源化和无害化的技 </w:t>
      </w:r>
    </w:p>
    <w:p w14:paraId="50578E3E">
      <w:pPr>
        <w:keepNext w:val="0"/>
        <w:keepLines w:val="0"/>
        <w:widowControl/>
        <w:suppressLineNumbers w:val="0"/>
        <w:ind w:left="0" w:leftChars="0" w:firstLine="0" w:firstLineChars="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术政策，建设单位应优先对各类可回收的一般工业固废进行回收利用，</w:t>
      </w:r>
      <w:r>
        <w:rPr>
          <w:rFonts w:hint="default" w:ascii="Times New Roman" w:hAnsi="Times New Roman" w:eastAsia="宋体" w:cs="Times New Roman"/>
          <w:color w:val="000000" w:themeColor="text1"/>
          <w:sz w:val="24"/>
          <w:szCs w:val="24"/>
          <w:highlight w:val="none"/>
          <w14:textFill>
            <w14:solidFill>
              <w14:schemeClr w14:val="tx1"/>
            </w14:solidFill>
          </w14:textFill>
        </w:rPr>
        <w:t>生活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垃圾收集后交由环卫部门处置</w:t>
      </w:r>
      <w:r>
        <w:rPr>
          <w:rFonts w:hint="eastAsia" w:eastAsia="宋体" w:cs="Times New Roman"/>
          <w:color w:val="000000" w:themeColor="text1"/>
          <w:sz w:val="24"/>
          <w:szCs w:val="24"/>
          <w:highlight w:val="none"/>
          <w:lang w:val="en-US" w:eastAsia="zh-CN"/>
          <w14:textFill>
            <w14:solidFill>
              <w14:schemeClr w14:val="tx1"/>
            </w14:solidFill>
          </w14:textFill>
        </w:rPr>
        <w:t>，危险废物</w:t>
      </w:r>
      <w:r>
        <w:rPr>
          <w:rFonts w:hint="eastAsia" w:ascii="宋体" w:hAnsi="宋体" w:eastAsia="宋体" w:cs="宋体"/>
          <w:color w:val="000000"/>
          <w:kern w:val="0"/>
          <w:sz w:val="24"/>
          <w:szCs w:val="24"/>
          <w:highlight w:val="none"/>
          <w:lang w:val="en-US" w:eastAsia="zh-CN" w:bidi="ar"/>
        </w:rPr>
        <w:t xml:space="preserve">委托有危废处理资质的单位进行安全处置。项目产生的固废均能得到妥善处理或综合利用，但建设单位必须做好固废厂内暂存的准备，专设危险废物的暂存区，并按要求分别做好暂存区的防渗处理，危废间需防风、防雨，场地周围设置有围堰，防止渗滤水造成对周围环境污染，或有条件情况下尽可能做到废物桶装或袋装的密闭堆放，设置警示标识。 </w:t>
      </w:r>
    </w:p>
    <w:p w14:paraId="3F65E595">
      <w:pPr>
        <w:keepNext w:val="0"/>
        <w:keepLines w:val="0"/>
        <w:widowControl/>
        <w:suppressLineNumbers w:val="0"/>
        <w:ind w:left="0" w:leftChars="0"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综上所述，本项目固体废物处置符合国家技术政策，处置要求符合国家标准。 </w:t>
      </w:r>
    </w:p>
    <w:p w14:paraId="1DE861EB">
      <w:pPr>
        <w:keepNext w:val="0"/>
        <w:keepLines w:val="0"/>
        <w:widowControl/>
        <w:suppressLineNumbers w:val="0"/>
        <w:ind w:left="0" w:leftChars="0" w:firstLine="0" w:firstLineChars="0"/>
        <w:jc w:val="left"/>
        <w:rPr>
          <w:highlight w:val="none"/>
        </w:rPr>
      </w:pPr>
      <w:r>
        <w:rPr>
          <w:rFonts w:hint="eastAsia" w:ascii="宋体" w:hAnsi="宋体" w:eastAsia="宋体" w:cs="宋体"/>
          <w:color w:val="000000"/>
          <w:kern w:val="0"/>
          <w:sz w:val="24"/>
          <w:szCs w:val="24"/>
          <w:highlight w:val="none"/>
          <w:lang w:val="en-US" w:eastAsia="zh-CN" w:bidi="ar"/>
        </w:rPr>
        <w:t xml:space="preserve">因此，企业只要对固废加强管理，及时回收或清运，项目产生的固体废弃物基本 </w:t>
      </w:r>
    </w:p>
    <w:p w14:paraId="336680B3">
      <w:pPr>
        <w:keepNext w:val="0"/>
        <w:keepLines w:val="0"/>
        <w:widowControl/>
        <w:suppressLineNumbers w:val="0"/>
        <w:ind w:left="0" w:leftChars="0" w:firstLine="0" w:firstLineChars="0"/>
        <w:jc w:val="left"/>
        <w:rPr>
          <w:rFonts w:ascii="宋体" w:hAnsi="宋体" w:eastAsia="宋体" w:cs="宋体"/>
          <w:spacing w:val="-1"/>
          <w:sz w:val="24"/>
          <w:szCs w:val="24"/>
          <w:highlight w:val="none"/>
        </w:rPr>
      </w:pPr>
      <w:r>
        <w:rPr>
          <w:rFonts w:hint="eastAsia" w:ascii="宋体" w:hAnsi="宋体" w:eastAsia="宋体" w:cs="宋体"/>
          <w:color w:val="000000"/>
          <w:kern w:val="0"/>
          <w:sz w:val="24"/>
          <w:szCs w:val="24"/>
          <w:highlight w:val="none"/>
          <w:lang w:val="en-US" w:eastAsia="zh-CN" w:bidi="ar"/>
        </w:rPr>
        <w:t>上不会对周围环境造成不利影响。</w:t>
      </w:r>
    </w:p>
    <w:p w14:paraId="3BC2AD8A">
      <w:pPr>
        <w:pStyle w:val="6"/>
        <w:bidi w:val="0"/>
        <w:rPr>
          <w:highlight w:val="none"/>
        </w:rPr>
      </w:pPr>
      <w:bookmarkStart w:id="194" w:name="_Toc29116"/>
      <w:r>
        <w:rPr>
          <w:rFonts w:hint="eastAsia"/>
          <w:highlight w:val="none"/>
          <w:lang w:val="en-US" w:eastAsia="zh-CN"/>
        </w:rPr>
        <w:t>6</w:t>
      </w:r>
      <w:r>
        <w:rPr>
          <w:highlight w:val="none"/>
        </w:rPr>
        <w:t>.</w:t>
      </w:r>
      <w:r>
        <w:rPr>
          <w:rFonts w:hint="eastAsia"/>
          <w:highlight w:val="none"/>
          <w:lang w:val="en-US" w:eastAsia="zh-CN"/>
        </w:rPr>
        <w:t xml:space="preserve">7 </w:t>
      </w:r>
      <w:r>
        <w:rPr>
          <w:highlight w:val="none"/>
        </w:rPr>
        <w:t>营运期土壤环境影响分析</w:t>
      </w:r>
      <w:bookmarkEnd w:id="194"/>
    </w:p>
    <w:p w14:paraId="5BE2D7A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eastAsia="宋体" w:cs="Times New Roman"/>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根据《环境影响评价技术导则土壤环境（试行）》（</w:t>
      </w:r>
      <w:r>
        <w:rPr>
          <w:rFonts w:hint="default" w:ascii="Times New Roman" w:hAnsi="Times New Roman" w:eastAsia="宋体" w:cs="Times New Roman"/>
          <w:color w:val="auto"/>
          <w:kern w:val="0"/>
          <w:sz w:val="24"/>
          <w:szCs w:val="24"/>
          <w:highlight w:val="none"/>
          <w:lang w:val="en-US" w:eastAsia="zh-CN" w:bidi="ar"/>
        </w:rPr>
        <w:t>HJ964-2018</w:t>
      </w:r>
      <w:r>
        <w:rPr>
          <w:rFonts w:hint="eastAsia" w:ascii="宋体" w:hAnsi="宋体" w:eastAsia="宋体" w:cs="宋体"/>
          <w:color w:val="auto"/>
          <w:kern w:val="0"/>
          <w:sz w:val="24"/>
          <w:szCs w:val="24"/>
          <w:highlight w:val="none"/>
          <w:lang w:val="en-US" w:eastAsia="zh-CN" w:bidi="ar"/>
        </w:rPr>
        <w:t>）污染影响 型评价工作等级划分表，</w:t>
      </w:r>
      <w:r>
        <w:rPr>
          <w:rFonts w:hint="eastAsia" w:ascii="宋体" w:hAnsi="宋体" w:eastAsia="宋体" w:cs="宋体"/>
          <w:color w:val="000000"/>
          <w:kern w:val="0"/>
          <w:sz w:val="24"/>
          <w:szCs w:val="24"/>
          <w:highlight w:val="none"/>
          <w:lang w:val="en-US" w:eastAsia="zh-CN" w:bidi="ar"/>
        </w:rPr>
        <w:t>本项目属于石油、化工的化学原料和化学品制造属于</w:t>
      </w:r>
      <w:r>
        <w:rPr>
          <w:rFonts w:hint="eastAsia" w:ascii="Times New Roman" w:hAnsi="Times New Roman" w:eastAsia="Times New Roman" w:cs="Times New Roman"/>
          <w:color w:val="auto"/>
          <w:spacing w:val="-3"/>
          <w:highlight w:val="none"/>
          <w:lang w:val="en-US" w:eastAsia="zh-CN"/>
        </w:rPr>
        <w:t>Ⅰ</w:t>
      </w:r>
      <w:r>
        <w:rPr>
          <w:rFonts w:hint="eastAsia" w:ascii="宋体" w:hAnsi="宋体" w:eastAsia="宋体" w:cs="宋体"/>
          <w:color w:val="auto"/>
          <w:kern w:val="0"/>
          <w:sz w:val="24"/>
          <w:szCs w:val="24"/>
          <w:highlight w:val="none"/>
          <w:lang w:val="en-US" w:eastAsia="zh-CN" w:bidi="ar"/>
        </w:rPr>
        <w:t>类项目、占地规模小型、不敏感，土壤</w:t>
      </w:r>
      <w:r>
        <w:rPr>
          <w:rFonts w:hint="default" w:ascii="Times New Roman" w:hAnsi="Times New Roman" w:eastAsia="宋体" w:cs="Times New Roman"/>
          <w:color w:val="auto"/>
          <w:sz w:val="24"/>
          <w:szCs w:val="24"/>
          <w:highlight w:val="none"/>
        </w:rPr>
        <w:t>环境影响评价等级为</w:t>
      </w:r>
      <w:r>
        <w:rPr>
          <w:rFonts w:hint="eastAsia" w:eastAsia="宋体" w:cs="Times New Roman"/>
          <w:color w:val="auto"/>
          <w:sz w:val="24"/>
          <w:szCs w:val="24"/>
          <w:highlight w:val="none"/>
          <w:lang w:val="en-US" w:eastAsia="zh-CN"/>
        </w:rPr>
        <w:t>二级。工业园区内的建设项目，应重点在建设项目占地范围内开展现状调查工作，并兼顾其可能影响的园区外围土壤环境敏感目标。土壤评价范围为</w:t>
      </w:r>
      <w:r>
        <w:rPr>
          <w:rFonts w:hint="default" w:eastAsia="宋体" w:cs="Times New Roman"/>
          <w:color w:val="auto"/>
          <w:sz w:val="24"/>
          <w:szCs w:val="24"/>
          <w:highlight w:val="none"/>
          <w:lang w:val="en-US" w:eastAsia="zh-CN"/>
        </w:rPr>
        <w:t>项目地</w:t>
      </w:r>
      <w:r>
        <w:rPr>
          <w:rFonts w:hint="eastAsia" w:eastAsia="宋体" w:cs="Times New Roman"/>
          <w:color w:val="auto"/>
          <w:sz w:val="24"/>
          <w:szCs w:val="24"/>
          <w:highlight w:val="none"/>
          <w:lang w:val="en-US" w:eastAsia="zh-CN"/>
        </w:rPr>
        <w:t>200米范围内。</w:t>
      </w:r>
    </w:p>
    <w:p w14:paraId="16047A68">
      <w:pPr>
        <w:pStyle w:val="7"/>
        <w:bidi w:val="0"/>
        <w:rPr>
          <w:rFonts w:hint="eastAsia" w:ascii="宋体" w:hAnsi="宋体" w:eastAsia="宋体" w:cs="宋体"/>
          <w:color w:val="0C0C0C"/>
          <w:kern w:val="0"/>
          <w:sz w:val="24"/>
          <w:szCs w:val="24"/>
          <w:highlight w:val="none"/>
          <w:lang w:val="en-US" w:eastAsia="zh-CN" w:bidi="ar"/>
        </w:rPr>
      </w:pPr>
      <w:bookmarkStart w:id="195" w:name="_Toc21725"/>
      <w:r>
        <w:rPr>
          <w:rFonts w:hint="eastAsia"/>
          <w:highlight w:val="none"/>
          <w:lang w:val="en-US" w:eastAsia="zh-CN"/>
        </w:rPr>
        <w:t>6</w:t>
      </w:r>
      <w:r>
        <w:rPr>
          <w:rFonts w:hint="default"/>
          <w:highlight w:val="none"/>
          <w:lang w:val="en-US" w:eastAsia="zh-CN"/>
        </w:rPr>
        <w:t xml:space="preserve">.7.1 </w:t>
      </w:r>
      <w:r>
        <w:rPr>
          <w:rFonts w:hint="eastAsia"/>
          <w:highlight w:val="none"/>
          <w:lang w:val="en-US" w:eastAsia="zh-CN"/>
        </w:rPr>
        <w:t>项目土壤环境影响类型与影响途径识别</w:t>
      </w:r>
      <w:bookmarkEnd w:id="195"/>
    </w:p>
    <w:p w14:paraId="3B89002B">
      <w:pPr>
        <w:keepNext w:val="0"/>
        <w:keepLines w:val="0"/>
        <w:widowControl/>
        <w:suppressLineNumbers w:val="0"/>
        <w:jc w:val="left"/>
        <w:rPr>
          <w:rFonts w:hint="default"/>
          <w:highlight w:val="none"/>
          <w:lang w:val="en-US"/>
        </w:rPr>
      </w:pPr>
      <w:r>
        <w:rPr>
          <w:rFonts w:hint="eastAsia" w:ascii="宋体" w:hAnsi="宋体" w:eastAsia="宋体" w:cs="宋体"/>
          <w:color w:val="0C0C0C"/>
          <w:kern w:val="0"/>
          <w:sz w:val="24"/>
          <w:szCs w:val="24"/>
          <w:highlight w:val="none"/>
          <w:lang w:val="en-US" w:eastAsia="zh-CN" w:bidi="ar"/>
        </w:rPr>
        <w:t>结合本项目特点，本项目施工期较为短暂，施工规模较小，因此对土壤环境的影响主要发生在运营期，主要是运营期大气沉降，以及运营期生产车间、仓库等液态物质泄漏造成的地面漫流和垂直入渗影响。建设项目土壤环境影响类型与影响途径表见下表：</w:t>
      </w:r>
    </w:p>
    <w:p w14:paraId="613DDF6B">
      <w:pPr>
        <w:keepNext w:val="0"/>
        <w:keepLines w:val="0"/>
        <w:widowControl/>
        <w:suppressLineNumbers w:val="0"/>
        <w:jc w:val="center"/>
        <w:rPr>
          <w:highlight w:val="none"/>
        </w:rPr>
      </w:pPr>
      <w:r>
        <w:rPr>
          <w:rFonts w:hint="eastAsia" w:ascii="宋体" w:hAnsi="宋体" w:eastAsia="宋体" w:cs="宋体"/>
          <w:b/>
          <w:bCs/>
          <w:color w:val="0C0C0C"/>
          <w:kern w:val="0"/>
          <w:sz w:val="24"/>
          <w:szCs w:val="24"/>
          <w:highlight w:val="none"/>
          <w:lang w:val="en-US" w:eastAsia="zh-CN" w:bidi="ar"/>
        </w:rPr>
        <w:t xml:space="preserve">表 </w:t>
      </w:r>
      <w:r>
        <w:rPr>
          <w:rFonts w:hint="eastAsia" w:ascii="Times New Roman" w:hAnsi="Times New Roman" w:eastAsia="宋体" w:cs="Times New Roman"/>
          <w:b/>
          <w:bCs/>
          <w:color w:val="0C0C0C"/>
          <w:kern w:val="0"/>
          <w:sz w:val="24"/>
          <w:szCs w:val="24"/>
          <w:highlight w:val="none"/>
          <w:lang w:val="en-US" w:eastAsia="zh-CN" w:bidi="ar"/>
        </w:rPr>
        <w:t>6</w:t>
      </w:r>
      <w:r>
        <w:rPr>
          <w:rFonts w:hint="default" w:ascii="Times New Roman" w:hAnsi="Times New Roman" w:eastAsia="宋体" w:cs="Times New Roman"/>
          <w:b/>
          <w:bCs/>
          <w:color w:val="0C0C0C"/>
          <w:kern w:val="0"/>
          <w:sz w:val="24"/>
          <w:szCs w:val="24"/>
          <w:highlight w:val="none"/>
          <w:lang w:val="en-US" w:eastAsia="zh-CN" w:bidi="ar"/>
        </w:rPr>
        <w:t xml:space="preserve">.7-1 </w:t>
      </w:r>
      <w:r>
        <w:rPr>
          <w:rFonts w:hint="eastAsia" w:ascii="宋体" w:hAnsi="宋体" w:eastAsia="宋体" w:cs="宋体"/>
          <w:b/>
          <w:bCs/>
          <w:color w:val="0C0C0C"/>
          <w:kern w:val="0"/>
          <w:sz w:val="24"/>
          <w:szCs w:val="24"/>
          <w:highlight w:val="none"/>
          <w:lang w:val="en-US" w:eastAsia="zh-CN" w:bidi="ar"/>
        </w:rPr>
        <w:t>建设项目土壤环境影响类型与影响途径表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56"/>
        <w:gridCol w:w="1056"/>
        <w:gridCol w:w="1056"/>
        <w:gridCol w:w="1056"/>
        <w:gridCol w:w="726"/>
        <w:gridCol w:w="726"/>
        <w:gridCol w:w="727"/>
      </w:tblGrid>
      <w:tr w14:paraId="3FFB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Merge w:val="restart"/>
            <w:vAlign w:val="center"/>
          </w:tcPr>
          <w:p w14:paraId="76909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不同时段</w:t>
            </w:r>
          </w:p>
        </w:tc>
        <w:tc>
          <w:tcPr>
            <w:tcW w:w="4224" w:type="dxa"/>
            <w:gridSpan w:val="4"/>
            <w:vAlign w:val="center"/>
          </w:tcPr>
          <w:p w14:paraId="3B948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污染影响型</w:t>
            </w:r>
          </w:p>
        </w:tc>
        <w:tc>
          <w:tcPr>
            <w:tcW w:w="3235" w:type="dxa"/>
            <w:gridSpan w:val="4"/>
            <w:vAlign w:val="center"/>
          </w:tcPr>
          <w:p w14:paraId="7830C7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lang w:val="en-US" w:eastAsia="zh-CN"/>
              </w:rPr>
              <w:t>生态影响型</w:t>
            </w:r>
          </w:p>
        </w:tc>
      </w:tr>
      <w:tr w14:paraId="5974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Merge w:val="continue"/>
            <w:vAlign w:val="center"/>
          </w:tcPr>
          <w:p w14:paraId="41F6B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1056" w:type="dxa"/>
            <w:vAlign w:val="center"/>
          </w:tcPr>
          <w:p w14:paraId="2A1F8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大气沉降</w:t>
            </w:r>
          </w:p>
        </w:tc>
        <w:tc>
          <w:tcPr>
            <w:tcW w:w="1056" w:type="dxa"/>
            <w:vAlign w:val="center"/>
          </w:tcPr>
          <w:p w14:paraId="2EA13C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地面漫流</w:t>
            </w:r>
          </w:p>
        </w:tc>
        <w:tc>
          <w:tcPr>
            <w:tcW w:w="1056" w:type="dxa"/>
            <w:vAlign w:val="center"/>
          </w:tcPr>
          <w:p w14:paraId="73A97C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垂直入渗</w:t>
            </w:r>
          </w:p>
        </w:tc>
        <w:tc>
          <w:tcPr>
            <w:tcW w:w="1056" w:type="dxa"/>
            <w:vAlign w:val="center"/>
          </w:tcPr>
          <w:p w14:paraId="0EB13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其他</w:t>
            </w:r>
          </w:p>
        </w:tc>
        <w:tc>
          <w:tcPr>
            <w:tcW w:w="1056" w:type="dxa"/>
            <w:vAlign w:val="center"/>
          </w:tcPr>
          <w:p w14:paraId="734822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盐化</w:t>
            </w:r>
          </w:p>
        </w:tc>
        <w:tc>
          <w:tcPr>
            <w:tcW w:w="726" w:type="dxa"/>
            <w:vAlign w:val="center"/>
          </w:tcPr>
          <w:p w14:paraId="5F9C4A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碱化</w:t>
            </w:r>
          </w:p>
        </w:tc>
        <w:tc>
          <w:tcPr>
            <w:tcW w:w="726" w:type="dxa"/>
            <w:vAlign w:val="center"/>
          </w:tcPr>
          <w:p w14:paraId="3DCCA7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酸化</w:t>
            </w:r>
          </w:p>
        </w:tc>
        <w:tc>
          <w:tcPr>
            <w:tcW w:w="727" w:type="dxa"/>
            <w:vAlign w:val="center"/>
          </w:tcPr>
          <w:p w14:paraId="13419F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其他</w:t>
            </w:r>
          </w:p>
        </w:tc>
      </w:tr>
      <w:tr w14:paraId="21C3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14:paraId="21516B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建设期</w:t>
            </w:r>
          </w:p>
        </w:tc>
        <w:tc>
          <w:tcPr>
            <w:tcW w:w="1056" w:type="dxa"/>
            <w:vAlign w:val="center"/>
          </w:tcPr>
          <w:p w14:paraId="4C776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631E3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7E3CF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424B60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43DFD8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726" w:type="dxa"/>
            <w:vAlign w:val="center"/>
          </w:tcPr>
          <w:p w14:paraId="585B97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726" w:type="dxa"/>
            <w:vAlign w:val="center"/>
          </w:tcPr>
          <w:p w14:paraId="3A042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c>
          <w:tcPr>
            <w:tcW w:w="727" w:type="dxa"/>
            <w:vAlign w:val="center"/>
          </w:tcPr>
          <w:p w14:paraId="46B73B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w:t>
            </w:r>
          </w:p>
        </w:tc>
      </w:tr>
      <w:tr w14:paraId="4680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14:paraId="2E52EE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运营期</w:t>
            </w:r>
          </w:p>
        </w:tc>
        <w:tc>
          <w:tcPr>
            <w:tcW w:w="1056" w:type="dxa"/>
            <w:vAlign w:val="center"/>
          </w:tcPr>
          <w:p w14:paraId="712C63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w:t>
            </w:r>
          </w:p>
        </w:tc>
        <w:tc>
          <w:tcPr>
            <w:tcW w:w="1056" w:type="dxa"/>
            <w:vAlign w:val="center"/>
          </w:tcPr>
          <w:p w14:paraId="5728500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w:t>
            </w:r>
          </w:p>
        </w:tc>
        <w:tc>
          <w:tcPr>
            <w:tcW w:w="1056" w:type="dxa"/>
            <w:vAlign w:val="center"/>
          </w:tcPr>
          <w:p w14:paraId="7BDC617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w:t>
            </w:r>
          </w:p>
        </w:tc>
        <w:tc>
          <w:tcPr>
            <w:tcW w:w="1056" w:type="dxa"/>
            <w:vAlign w:val="center"/>
          </w:tcPr>
          <w:p w14:paraId="44F7A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47E385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726" w:type="dxa"/>
            <w:vAlign w:val="center"/>
          </w:tcPr>
          <w:p w14:paraId="24AC3B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726" w:type="dxa"/>
            <w:vAlign w:val="center"/>
          </w:tcPr>
          <w:p w14:paraId="25B12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727" w:type="dxa"/>
            <w:vAlign w:val="center"/>
          </w:tcPr>
          <w:p w14:paraId="242B3D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r>
      <w:tr w14:paraId="29F0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vAlign w:val="center"/>
          </w:tcPr>
          <w:p w14:paraId="0C4569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服务期满后</w:t>
            </w:r>
          </w:p>
        </w:tc>
        <w:tc>
          <w:tcPr>
            <w:tcW w:w="1056" w:type="dxa"/>
            <w:vAlign w:val="center"/>
          </w:tcPr>
          <w:p w14:paraId="493A3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02CB6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470DE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09DE6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1056" w:type="dxa"/>
            <w:vAlign w:val="center"/>
          </w:tcPr>
          <w:p w14:paraId="01023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726" w:type="dxa"/>
            <w:vAlign w:val="center"/>
          </w:tcPr>
          <w:p w14:paraId="24085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726" w:type="dxa"/>
            <w:vAlign w:val="center"/>
          </w:tcPr>
          <w:p w14:paraId="6C5308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c>
          <w:tcPr>
            <w:tcW w:w="727" w:type="dxa"/>
            <w:vAlign w:val="center"/>
          </w:tcPr>
          <w:p w14:paraId="068A1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eastAsia" w:ascii="Times New Roman" w:hAnsi="Times New Roman" w:eastAsia="宋体" w:cs="Times New Roman"/>
                <w:sz w:val="21"/>
                <w:szCs w:val="21"/>
                <w:highlight w:val="none"/>
                <w:vertAlign w:val="baseline"/>
                <w:lang w:val="en-US" w:eastAsia="zh-CN"/>
              </w:rPr>
              <w:t>-</w:t>
            </w:r>
          </w:p>
        </w:tc>
      </w:tr>
    </w:tbl>
    <w:p w14:paraId="4A35C01A">
      <w:pPr>
        <w:keepNext w:val="0"/>
        <w:keepLines w:val="0"/>
        <w:widowControl/>
        <w:suppressLineNumbers w:val="0"/>
        <w:jc w:val="left"/>
        <w:rPr>
          <w:highlight w:val="none"/>
        </w:rPr>
      </w:pPr>
      <w:r>
        <w:rPr>
          <w:rFonts w:hint="eastAsia" w:ascii="宋体" w:hAnsi="宋体" w:eastAsia="宋体" w:cs="宋体"/>
          <w:color w:val="0C0C0C"/>
          <w:kern w:val="0"/>
          <w:sz w:val="24"/>
          <w:szCs w:val="24"/>
          <w:highlight w:val="none"/>
          <w:lang w:val="en-US" w:eastAsia="zh-CN" w:bidi="ar"/>
        </w:rPr>
        <w:t>根据土壤环境影响类型与影响途径的识别结果，本项目土壤环境影响源主要为生产车间、仓库、废气处理设施等。事故情形下，各地面破损，液体化学品物料泄漏，导致垂直入渗。本项目土壤环境影响源及影响因子识别情况见下表：</w:t>
      </w:r>
    </w:p>
    <w:p w14:paraId="176A56F3">
      <w:pPr>
        <w:keepNext w:val="0"/>
        <w:keepLines w:val="0"/>
        <w:widowControl/>
        <w:suppressLineNumbers w:val="0"/>
        <w:jc w:val="left"/>
        <w:rPr>
          <w:highlight w:val="none"/>
        </w:rPr>
      </w:pPr>
      <w:r>
        <w:rPr>
          <w:rFonts w:hint="eastAsia" w:ascii="宋体" w:hAnsi="宋体" w:eastAsia="宋体" w:cs="宋体"/>
          <w:b/>
          <w:bCs/>
          <w:color w:val="0C0C0C"/>
          <w:kern w:val="0"/>
          <w:sz w:val="24"/>
          <w:szCs w:val="24"/>
          <w:highlight w:val="none"/>
          <w:lang w:val="en-US" w:eastAsia="zh-CN" w:bidi="ar"/>
        </w:rPr>
        <w:t xml:space="preserve">表 </w:t>
      </w:r>
      <w:r>
        <w:rPr>
          <w:rFonts w:hint="eastAsia" w:ascii="Times New Roman" w:hAnsi="Times New Roman" w:eastAsia="宋体" w:cs="Times New Roman"/>
          <w:b/>
          <w:bCs/>
          <w:color w:val="0C0C0C"/>
          <w:kern w:val="0"/>
          <w:sz w:val="24"/>
          <w:szCs w:val="24"/>
          <w:highlight w:val="none"/>
          <w:lang w:val="en-US" w:eastAsia="zh-CN" w:bidi="ar"/>
        </w:rPr>
        <w:t>6</w:t>
      </w:r>
      <w:r>
        <w:rPr>
          <w:rFonts w:hint="default" w:ascii="Times New Roman" w:hAnsi="Times New Roman" w:eastAsia="宋体" w:cs="Times New Roman"/>
          <w:b/>
          <w:bCs/>
          <w:color w:val="0C0C0C"/>
          <w:kern w:val="0"/>
          <w:sz w:val="24"/>
          <w:szCs w:val="24"/>
          <w:highlight w:val="none"/>
          <w:lang w:val="en-US" w:eastAsia="zh-CN" w:bidi="ar"/>
        </w:rPr>
        <w:t xml:space="preserve">.7-2 </w:t>
      </w:r>
      <w:r>
        <w:rPr>
          <w:rFonts w:hint="eastAsia" w:ascii="宋体" w:hAnsi="宋体" w:eastAsia="宋体" w:cs="宋体"/>
          <w:b/>
          <w:bCs/>
          <w:color w:val="0C0C0C"/>
          <w:kern w:val="0"/>
          <w:sz w:val="24"/>
          <w:szCs w:val="24"/>
          <w:highlight w:val="none"/>
          <w:lang w:val="en-US" w:eastAsia="zh-CN" w:bidi="ar"/>
        </w:rPr>
        <w:t>污染影响型建设项目土壤环境影响源及影响因子识别表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997"/>
        <w:gridCol w:w="1215"/>
        <w:gridCol w:w="744"/>
        <w:gridCol w:w="1292"/>
        <w:gridCol w:w="657"/>
        <w:gridCol w:w="2918"/>
      </w:tblGrid>
      <w:tr w14:paraId="57F6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Align w:val="center"/>
          </w:tcPr>
          <w:p w14:paraId="76EC7A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时段</w:t>
            </w:r>
          </w:p>
        </w:tc>
        <w:tc>
          <w:tcPr>
            <w:tcW w:w="997" w:type="dxa"/>
            <w:vAlign w:val="center"/>
          </w:tcPr>
          <w:p w14:paraId="6F90D6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污染源</w:t>
            </w:r>
          </w:p>
        </w:tc>
        <w:tc>
          <w:tcPr>
            <w:tcW w:w="1215" w:type="dxa"/>
            <w:vAlign w:val="center"/>
          </w:tcPr>
          <w:p w14:paraId="4121C5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工艺流程/节点</w:t>
            </w:r>
          </w:p>
        </w:tc>
        <w:tc>
          <w:tcPr>
            <w:tcW w:w="744" w:type="dxa"/>
            <w:vAlign w:val="center"/>
          </w:tcPr>
          <w:p w14:paraId="5E0DFB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污染途径</w:t>
            </w:r>
          </w:p>
        </w:tc>
        <w:tc>
          <w:tcPr>
            <w:tcW w:w="1292" w:type="dxa"/>
            <w:vAlign w:val="center"/>
          </w:tcPr>
          <w:p w14:paraId="6AEB9C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全部污染因子</w:t>
            </w:r>
          </w:p>
        </w:tc>
        <w:tc>
          <w:tcPr>
            <w:tcW w:w="657" w:type="dxa"/>
            <w:vAlign w:val="center"/>
          </w:tcPr>
          <w:p w14:paraId="161B5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特征因子</w:t>
            </w:r>
          </w:p>
        </w:tc>
        <w:tc>
          <w:tcPr>
            <w:tcW w:w="2918" w:type="dxa"/>
            <w:vAlign w:val="center"/>
          </w:tcPr>
          <w:p w14:paraId="2D7129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备注</w:t>
            </w:r>
          </w:p>
        </w:tc>
      </w:tr>
      <w:tr w14:paraId="486E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restart"/>
            <w:vAlign w:val="center"/>
          </w:tcPr>
          <w:p w14:paraId="513B4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营运期</w:t>
            </w:r>
          </w:p>
        </w:tc>
        <w:tc>
          <w:tcPr>
            <w:tcW w:w="997" w:type="dxa"/>
            <w:vAlign w:val="center"/>
          </w:tcPr>
          <w:p w14:paraId="7817A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生车间</w:t>
            </w:r>
          </w:p>
        </w:tc>
        <w:tc>
          <w:tcPr>
            <w:tcW w:w="1215" w:type="dxa"/>
            <w:vAlign w:val="center"/>
          </w:tcPr>
          <w:p w14:paraId="725451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反应工序</w:t>
            </w:r>
          </w:p>
        </w:tc>
        <w:tc>
          <w:tcPr>
            <w:tcW w:w="744" w:type="dxa"/>
            <w:vAlign w:val="center"/>
          </w:tcPr>
          <w:p w14:paraId="037ABD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大气沉降</w:t>
            </w:r>
          </w:p>
        </w:tc>
        <w:tc>
          <w:tcPr>
            <w:tcW w:w="1292" w:type="dxa"/>
            <w:vAlign w:val="center"/>
          </w:tcPr>
          <w:p w14:paraId="7BC4A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VOCs、颗粒物</w:t>
            </w:r>
          </w:p>
        </w:tc>
        <w:tc>
          <w:tcPr>
            <w:tcW w:w="657" w:type="dxa"/>
            <w:vAlign w:val="center"/>
          </w:tcPr>
          <w:p w14:paraId="6963D3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lang w:val="en-US" w:eastAsia="zh-CN"/>
              </w:rPr>
              <w:t>/</w:t>
            </w:r>
          </w:p>
        </w:tc>
        <w:tc>
          <w:tcPr>
            <w:tcW w:w="2918" w:type="dxa"/>
            <w:vAlign w:val="center"/>
          </w:tcPr>
          <w:p w14:paraId="1C66A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sz w:val="21"/>
                <w:szCs w:val="21"/>
                <w:highlight w:val="none"/>
                <w:vertAlign w:val="baseline"/>
              </w:rPr>
              <w:t>连续:项目排气筒或无组织排放污染物最大落地浓度范围内无土壤敏感目标</w:t>
            </w:r>
          </w:p>
        </w:tc>
      </w:tr>
      <w:tr w14:paraId="6AEB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2" w:type="dxa"/>
            <w:vMerge w:val="continue"/>
            <w:vAlign w:val="center"/>
          </w:tcPr>
          <w:p w14:paraId="1412C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p>
        </w:tc>
        <w:tc>
          <w:tcPr>
            <w:tcW w:w="997" w:type="dxa"/>
            <w:vAlign w:val="center"/>
          </w:tcPr>
          <w:p w14:paraId="36A036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仓库</w:t>
            </w:r>
          </w:p>
        </w:tc>
        <w:tc>
          <w:tcPr>
            <w:tcW w:w="1215" w:type="dxa"/>
            <w:vAlign w:val="center"/>
          </w:tcPr>
          <w:p w14:paraId="26B232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原料桶</w:t>
            </w:r>
          </w:p>
        </w:tc>
        <w:tc>
          <w:tcPr>
            <w:tcW w:w="744" w:type="dxa"/>
            <w:vAlign w:val="center"/>
          </w:tcPr>
          <w:p w14:paraId="5540D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垂直入渗</w:t>
            </w:r>
          </w:p>
        </w:tc>
        <w:tc>
          <w:tcPr>
            <w:tcW w:w="1292" w:type="dxa"/>
            <w:vAlign w:val="center"/>
          </w:tcPr>
          <w:p w14:paraId="0E0AB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液态纤维素酶、山梨醇、硅油</w:t>
            </w:r>
          </w:p>
        </w:tc>
        <w:tc>
          <w:tcPr>
            <w:tcW w:w="657" w:type="dxa"/>
            <w:vAlign w:val="center"/>
          </w:tcPr>
          <w:p w14:paraId="3135FD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石油烃</w:t>
            </w:r>
          </w:p>
        </w:tc>
        <w:tc>
          <w:tcPr>
            <w:tcW w:w="2918" w:type="dxa"/>
            <w:vAlign w:val="center"/>
          </w:tcPr>
          <w:p w14:paraId="3C4EB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事故泄漏</w:t>
            </w:r>
          </w:p>
        </w:tc>
      </w:tr>
    </w:tbl>
    <w:p w14:paraId="0CF3E607">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本项目废气排放的VOCs、颗粒物污染物会通过大气干、湿沉降的方式进入周围的土壤， 从而使局地土壤环境质量逐步受到污染影响。</w:t>
      </w:r>
    </w:p>
    <w:p w14:paraId="655C214E">
      <w:pPr>
        <w:keepNext w:val="0"/>
        <w:keepLines w:val="0"/>
        <w:widowControl/>
        <w:suppressLineNumbers w:val="0"/>
        <w:jc w:val="left"/>
        <w:rPr>
          <w:highlight w:val="none"/>
        </w:rPr>
      </w:pPr>
      <w:r>
        <w:rPr>
          <w:rFonts w:hint="eastAsia" w:ascii="宋体" w:hAnsi="宋体" w:eastAsia="宋体" w:cs="宋体"/>
          <w:color w:val="0C0C0C"/>
          <w:kern w:val="0"/>
          <w:sz w:val="24"/>
          <w:szCs w:val="24"/>
          <w:highlight w:val="none"/>
          <w:lang w:val="en-US" w:eastAsia="zh-CN" w:bidi="ar"/>
        </w:rPr>
        <w:t>根据前文内容可知，本项目最近敏感点为东北方向150米处雷家屋居民点和154米处兰塘八组居民点，本项目废气排放的污染物最大落地浓度的距离最远的污染物为</w:t>
      </w:r>
      <w:r>
        <w:rPr>
          <w:rFonts w:hint="default" w:ascii="Times New Roman" w:hAnsi="Times New Roman" w:eastAsia="宋体" w:cs="Times New Roman"/>
          <w:color w:val="0C0C0C"/>
          <w:kern w:val="0"/>
          <w:sz w:val="24"/>
          <w:szCs w:val="24"/>
          <w:highlight w:val="none"/>
          <w:lang w:val="en-US" w:eastAsia="zh-CN" w:bidi="ar"/>
        </w:rPr>
        <w:t>VOCs</w:t>
      </w:r>
      <w:r>
        <w:rPr>
          <w:rFonts w:hint="eastAsia" w:eastAsia="宋体" w:cs="Times New Roman"/>
          <w:color w:val="0C0C0C"/>
          <w:kern w:val="0"/>
          <w:sz w:val="24"/>
          <w:szCs w:val="24"/>
          <w:highlight w:val="none"/>
          <w:lang w:val="en-US" w:eastAsia="zh-CN" w:bidi="ar"/>
        </w:rPr>
        <w:t>，</w:t>
      </w:r>
      <w:r>
        <w:rPr>
          <w:rFonts w:hint="eastAsia" w:ascii="宋体" w:hAnsi="宋体" w:eastAsia="宋体" w:cs="宋体"/>
          <w:color w:val="0C0C0C"/>
          <w:kern w:val="0"/>
          <w:sz w:val="24"/>
          <w:szCs w:val="24"/>
          <w:highlight w:val="none"/>
          <w:lang w:val="en-US" w:eastAsia="zh-CN" w:bidi="ar"/>
        </w:rPr>
        <w:t xml:space="preserve">其最大落地浓度的距离为 </w:t>
      </w:r>
      <w:r>
        <w:rPr>
          <w:rFonts w:hint="eastAsia" w:ascii="Times New Roman" w:hAnsi="Times New Roman" w:eastAsia="宋体" w:cs="Times New Roman"/>
          <w:color w:val="0C0C0C"/>
          <w:kern w:val="0"/>
          <w:sz w:val="24"/>
          <w:szCs w:val="24"/>
          <w:highlight w:val="none"/>
          <w:lang w:val="en-US" w:eastAsia="zh-CN" w:bidi="ar"/>
        </w:rPr>
        <w:t>60</w:t>
      </w:r>
      <w:r>
        <w:rPr>
          <w:rFonts w:hint="default" w:ascii="Times New Roman" w:hAnsi="Times New Roman" w:eastAsia="宋体" w:cs="Times New Roman"/>
          <w:color w:val="0C0C0C"/>
          <w:kern w:val="0"/>
          <w:sz w:val="24"/>
          <w:szCs w:val="24"/>
          <w:highlight w:val="none"/>
          <w:lang w:val="en-US" w:eastAsia="zh-CN" w:bidi="ar"/>
        </w:rPr>
        <w:t>m</w:t>
      </w:r>
      <w:r>
        <w:rPr>
          <w:rFonts w:hint="eastAsia" w:ascii="宋体" w:hAnsi="宋体" w:eastAsia="宋体" w:cs="宋体"/>
          <w:color w:val="0C0C0C"/>
          <w:kern w:val="0"/>
          <w:sz w:val="24"/>
          <w:szCs w:val="24"/>
          <w:highlight w:val="none"/>
          <w:lang w:val="en-US" w:eastAsia="zh-CN" w:bidi="ar"/>
        </w:rPr>
        <w:t>，最大落地浓度范围内不涉及土壤环境敏感点，废气污染物中均不含有属于《土壤环境质量建设用地土壤污染风险管控标准（试行）》（</w:t>
      </w:r>
      <w:r>
        <w:rPr>
          <w:rFonts w:hint="default" w:ascii="Times New Roman" w:hAnsi="Times New Roman" w:eastAsia="宋体" w:cs="Times New Roman"/>
          <w:color w:val="0C0C0C"/>
          <w:kern w:val="0"/>
          <w:sz w:val="24"/>
          <w:szCs w:val="24"/>
          <w:highlight w:val="none"/>
          <w:lang w:val="en-US" w:eastAsia="zh-CN" w:bidi="ar"/>
        </w:rPr>
        <w:t>GB36600-2018</w:t>
      </w:r>
      <w:r>
        <w:rPr>
          <w:rFonts w:hint="eastAsia" w:ascii="宋体" w:hAnsi="宋体" w:eastAsia="宋体" w:cs="宋体"/>
          <w:color w:val="0C0C0C"/>
          <w:kern w:val="0"/>
          <w:sz w:val="24"/>
          <w:szCs w:val="24"/>
          <w:highlight w:val="none"/>
          <w:lang w:val="en-US" w:eastAsia="zh-CN" w:bidi="ar"/>
        </w:rPr>
        <w:t>）和《土壤环境质量农用地土壤污染风险管控标准（试行）》（</w:t>
      </w:r>
      <w:r>
        <w:rPr>
          <w:rFonts w:hint="default" w:ascii="Times New Roman" w:hAnsi="Times New Roman" w:eastAsia="宋体" w:cs="Times New Roman"/>
          <w:color w:val="0C0C0C"/>
          <w:kern w:val="0"/>
          <w:sz w:val="24"/>
          <w:szCs w:val="24"/>
          <w:highlight w:val="none"/>
          <w:lang w:val="en-US" w:eastAsia="zh-CN" w:bidi="ar"/>
        </w:rPr>
        <w:t>GB15618-2018</w:t>
      </w:r>
      <w:r>
        <w:rPr>
          <w:rFonts w:hint="eastAsia" w:ascii="宋体" w:hAnsi="宋体" w:eastAsia="宋体" w:cs="宋体"/>
          <w:color w:val="0C0C0C"/>
          <w:kern w:val="0"/>
          <w:sz w:val="24"/>
          <w:szCs w:val="24"/>
          <w:highlight w:val="none"/>
          <w:lang w:val="en-US" w:eastAsia="zh-CN" w:bidi="ar"/>
        </w:rPr>
        <w:t>）中的污染物，本项目项目排放的废气对周边土壤环境的影响不大。</w:t>
      </w:r>
    </w:p>
    <w:p w14:paraId="63C2866B">
      <w:pPr>
        <w:keepNext w:val="0"/>
        <w:keepLines w:val="0"/>
        <w:widowControl/>
        <w:suppressLineNumbers w:val="0"/>
        <w:jc w:val="left"/>
        <w:rPr>
          <w:highlight w:val="none"/>
        </w:rPr>
      </w:pPr>
      <w:r>
        <w:rPr>
          <w:rFonts w:hint="eastAsia" w:ascii="宋体" w:hAnsi="宋体" w:eastAsia="宋体" w:cs="宋体"/>
          <w:color w:val="0C0C0C"/>
          <w:kern w:val="0"/>
          <w:sz w:val="24"/>
          <w:szCs w:val="24"/>
          <w:highlight w:val="none"/>
          <w:lang w:val="en-US" w:eastAsia="zh-CN" w:bidi="ar"/>
        </w:rPr>
        <w:t>但在容器破损、地面开裂等的事故情形下，物质有可能发生泄漏，从而对周围土壤造成下渗污染。建设单位应加强对车间、仓库、危废间地面的检查和维护，杜绝物料渗透入土壤的情况发生。</w:t>
      </w:r>
    </w:p>
    <w:p w14:paraId="15C5C45C">
      <w:pPr>
        <w:pStyle w:val="7"/>
        <w:bidi w:val="0"/>
        <w:rPr>
          <w:highlight w:val="none"/>
        </w:rPr>
      </w:pPr>
      <w:bookmarkStart w:id="196" w:name="_Toc3664"/>
      <w:r>
        <w:rPr>
          <w:rFonts w:hint="eastAsia"/>
          <w:highlight w:val="none"/>
          <w:lang w:val="en-US" w:eastAsia="zh-CN"/>
        </w:rPr>
        <w:t>6</w:t>
      </w:r>
      <w:r>
        <w:rPr>
          <w:rFonts w:hint="default"/>
          <w:highlight w:val="none"/>
          <w:lang w:val="en-US" w:eastAsia="zh-CN"/>
        </w:rPr>
        <w:t xml:space="preserve">.7.2 </w:t>
      </w:r>
      <w:r>
        <w:rPr>
          <w:rFonts w:hint="eastAsia"/>
          <w:highlight w:val="none"/>
          <w:lang w:val="en-US" w:eastAsia="zh-CN"/>
        </w:rPr>
        <w:t>土壤环境影响预测</w:t>
      </w:r>
      <w:bookmarkEnd w:id="196"/>
      <w:r>
        <w:rPr>
          <w:rFonts w:hint="eastAsia"/>
          <w:highlight w:val="none"/>
          <w:lang w:val="en-US" w:eastAsia="zh-CN"/>
        </w:rPr>
        <w:t xml:space="preserve"> </w:t>
      </w:r>
    </w:p>
    <w:p w14:paraId="47245E85">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b/>
          <w:bCs/>
          <w:color w:val="0C0C0C"/>
          <w:kern w:val="0"/>
          <w:sz w:val="24"/>
          <w:szCs w:val="24"/>
          <w:highlight w:val="none"/>
          <w:lang w:val="en-US" w:eastAsia="zh-CN" w:bidi="ar"/>
        </w:rPr>
        <w:t>1、预测与评价范围</w:t>
      </w:r>
      <w:r>
        <w:rPr>
          <w:rFonts w:hint="default" w:ascii="Times New Roman" w:hAnsi="Times New Roman" w:eastAsia="宋体" w:cs="Times New Roman"/>
          <w:color w:val="0C0C0C"/>
          <w:kern w:val="0"/>
          <w:sz w:val="24"/>
          <w:szCs w:val="24"/>
          <w:highlight w:val="none"/>
          <w:lang w:val="en-US" w:eastAsia="zh-CN" w:bidi="ar"/>
        </w:rPr>
        <w:t xml:space="preserve"> </w:t>
      </w:r>
    </w:p>
    <w:p w14:paraId="0C4E410D">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 xml:space="preserve">本次土壤环境影响预测与评价范围与现状调查范围一致，为厂区及周边 200m 范围。 </w:t>
      </w:r>
    </w:p>
    <w:p w14:paraId="3D61B107">
      <w:pPr>
        <w:keepNext w:val="0"/>
        <w:keepLines w:val="0"/>
        <w:widowControl/>
        <w:suppressLineNumbers w:val="0"/>
        <w:jc w:val="left"/>
        <w:rPr>
          <w:rFonts w:hint="default" w:ascii="Times New Roman" w:hAnsi="Times New Roman" w:eastAsia="宋体" w:cs="Times New Roman"/>
          <w:b/>
          <w:bCs/>
          <w:color w:val="0C0C0C"/>
          <w:kern w:val="0"/>
          <w:sz w:val="24"/>
          <w:szCs w:val="24"/>
          <w:highlight w:val="none"/>
          <w:lang w:val="en-US" w:eastAsia="zh-CN" w:bidi="ar"/>
        </w:rPr>
      </w:pPr>
      <w:r>
        <w:rPr>
          <w:rFonts w:hint="default" w:ascii="Times New Roman" w:hAnsi="Times New Roman" w:eastAsia="宋体" w:cs="Times New Roman"/>
          <w:b/>
          <w:bCs/>
          <w:color w:val="0C0C0C"/>
          <w:kern w:val="0"/>
          <w:sz w:val="24"/>
          <w:szCs w:val="24"/>
          <w:highlight w:val="none"/>
          <w:lang w:val="en-US" w:eastAsia="zh-CN" w:bidi="ar"/>
        </w:rPr>
        <w:t xml:space="preserve">2、预测与评价时段 </w:t>
      </w:r>
    </w:p>
    <w:p w14:paraId="78E599C9">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根据项目特征，选择项目运营期为预测与评价时段。</w:t>
      </w:r>
    </w:p>
    <w:p w14:paraId="0A68A140">
      <w:pPr>
        <w:keepNext w:val="0"/>
        <w:keepLines w:val="0"/>
        <w:widowControl/>
        <w:suppressLineNumbers w:val="0"/>
        <w:jc w:val="left"/>
        <w:rPr>
          <w:rFonts w:hint="default" w:ascii="Times New Roman" w:hAnsi="Times New Roman" w:eastAsia="宋体" w:cs="Times New Roman"/>
          <w:b/>
          <w:bCs/>
          <w:color w:val="0C0C0C"/>
          <w:kern w:val="0"/>
          <w:sz w:val="24"/>
          <w:szCs w:val="24"/>
          <w:highlight w:val="none"/>
          <w:lang w:val="en-US" w:eastAsia="zh-CN" w:bidi="ar"/>
        </w:rPr>
      </w:pPr>
      <w:r>
        <w:rPr>
          <w:rFonts w:hint="default" w:ascii="Times New Roman" w:hAnsi="Times New Roman" w:eastAsia="宋体" w:cs="Times New Roman"/>
          <w:b/>
          <w:bCs/>
          <w:color w:val="0C0C0C"/>
          <w:kern w:val="0"/>
          <w:sz w:val="24"/>
          <w:szCs w:val="24"/>
          <w:highlight w:val="none"/>
          <w:lang w:val="en-US" w:eastAsia="zh-CN" w:bidi="ar"/>
        </w:rPr>
        <w:t>3、预测评价因子</w:t>
      </w:r>
    </w:p>
    <w:p w14:paraId="52468EBA">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本次预测选取石油烃作为预测因子。依据《土壤环境质量 建设用地土壤污染风险管控标准》(GB36600-2018)筛选值第二类用地标准，石油烃限值为4500mg/kg。</w:t>
      </w:r>
    </w:p>
    <w:p w14:paraId="552610D1">
      <w:pPr>
        <w:keepNext w:val="0"/>
        <w:keepLines w:val="0"/>
        <w:widowControl/>
        <w:suppressLineNumbers w:val="0"/>
        <w:jc w:val="left"/>
        <w:rPr>
          <w:rFonts w:hint="default" w:ascii="Times New Roman" w:hAnsi="Times New Roman" w:eastAsia="宋体" w:cs="Times New Roman"/>
          <w:b/>
          <w:bCs/>
          <w:color w:val="0C0C0C"/>
          <w:kern w:val="0"/>
          <w:sz w:val="24"/>
          <w:szCs w:val="24"/>
          <w:highlight w:val="none"/>
          <w:lang w:val="en-US" w:eastAsia="zh-CN" w:bidi="ar"/>
        </w:rPr>
      </w:pPr>
      <w:r>
        <w:rPr>
          <w:rFonts w:hint="eastAsia" w:ascii="Times New Roman" w:hAnsi="Times New Roman" w:eastAsia="宋体" w:cs="Times New Roman"/>
          <w:b/>
          <w:bCs/>
          <w:color w:val="0C0C0C"/>
          <w:kern w:val="0"/>
          <w:sz w:val="24"/>
          <w:szCs w:val="24"/>
          <w:highlight w:val="none"/>
          <w:lang w:val="en-US" w:eastAsia="zh-CN" w:bidi="ar"/>
        </w:rPr>
        <w:t>4、</w:t>
      </w:r>
      <w:r>
        <w:rPr>
          <w:rFonts w:hint="default" w:ascii="Times New Roman" w:hAnsi="Times New Roman" w:eastAsia="宋体" w:cs="Times New Roman"/>
          <w:b/>
          <w:bCs/>
          <w:color w:val="0C0C0C"/>
          <w:kern w:val="0"/>
          <w:sz w:val="24"/>
          <w:szCs w:val="24"/>
          <w:highlight w:val="none"/>
          <w:lang w:val="en-US" w:eastAsia="zh-CN" w:bidi="ar"/>
        </w:rPr>
        <w:t>预测方法</w:t>
      </w:r>
    </w:p>
    <w:p w14:paraId="465EF24D">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根据《环境影响评价技术导则 土壤环境（试行）》（HJ964-2018）附录 E 中预测方法对拟建项目污染物对区域土壤环境影响进行预测，单位质量土壤中某种物质的增量计算公式：</w:t>
      </w:r>
    </w:p>
    <w:p w14:paraId="5F3C0A3F">
      <w:pPr>
        <w:keepNext w:val="0"/>
        <w:keepLines w:val="0"/>
        <w:widowControl/>
        <w:suppressLineNumbers w:val="0"/>
        <w:ind w:firstLine="1920" w:firstLineChars="80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ΔS=n(Is-Ls-Rs)/(ρb×A×D)</w:t>
      </w:r>
    </w:p>
    <w:p w14:paraId="3F27FA4A">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 xml:space="preserve">式中：ΔS–单位质量表层土壤中某种物质的增量，g/kg； </w:t>
      </w:r>
    </w:p>
    <w:p w14:paraId="360CE8D5">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 xml:space="preserve">Is–预测评价范围内单位年份表层土壤中某种物质的输入量，g； </w:t>
      </w:r>
    </w:p>
    <w:p w14:paraId="2CA9E885">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 xml:space="preserve">Ls–预测评价范围内单位年份表层土壤中某种物质经淋溶排出的量，g； </w:t>
      </w:r>
    </w:p>
    <w:p w14:paraId="1C58615C">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 xml:space="preserve">Rs–预测评价范围内单位年份表层土壤中某种物质经径流排出的量，%； </w:t>
      </w:r>
    </w:p>
    <w:p w14:paraId="51DAE673">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ρb–表层土壤容重，kg/m</w:t>
      </w:r>
      <w:r>
        <w:rPr>
          <w:rFonts w:hint="default" w:ascii="Times New Roman" w:hAnsi="Times New Roman" w:eastAsia="宋体" w:cs="Times New Roman"/>
          <w:color w:val="0C0C0C"/>
          <w:kern w:val="0"/>
          <w:sz w:val="24"/>
          <w:szCs w:val="24"/>
          <w:highlight w:val="none"/>
          <w:vertAlign w:val="superscript"/>
          <w:lang w:val="en-US" w:eastAsia="zh-CN" w:bidi="ar"/>
        </w:rPr>
        <w:t>3</w:t>
      </w:r>
      <w:r>
        <w:rPr>
          <w:rFonts w:hint="default" w:ascii="Times New Roman" w:hAnsi="Times New Roman" w:eastAsia="宋体" w:cs="Times New Roman"/>
          <w:color w:val="0C0C0C"/>
          <w:kern w:val="0"/>
          <w:sz w:val="24"/>
          <w:szCs w:val="24"/>
          <w:highlight w:val="none"/>
          <w:lang w:val="en-US" w:eastAsia="zh-CN" w:bidi="ar"/>
        </w:rPr>
        <w:t xml:space="preserve"> </w:t>
      </w:r>
    </w:p>
    <w:p w14:paraId="598596D9">
      <w:pPr>
        <w:keepNext w:val="0"/>
        <w:keepLines w:val="0"/>
        <w:widowControl/>
        <w:suppressLineNumbers w:val="0"/>
        <w:jc w:val="left"/>
        <w:rPr>
          <w:rFonts w:hint="default" w:ascii="Times New Roman" w:hAnsi="Times New Roman" w:eastAsia="宋体" w:cs="Times New Roman"/>
          <w:color w:val="0C0C0C"/>
          <w:kern w:val="0"/>
          <w:sz w:val="24"/>
          <w:szCs w:val="24"/>
          <w:highlight w:val="none"/>
          <w:vertAlign w:val="superscript"/>
          <w:lang w:val="en-US" w:eastAsia="zh-CN" w:bidi="ar"/>
        </w:rPr>
      </w:pPr>
      <w:r>
        <w:rPr>
          <w:rFonts w:hint="default" w:ascii="Times New Roman" w:hAnsi="Times New Roman" w:eastAsia="宋体" w:cs="Times New Roman"/>
          <w:color w:val="0C0C0C"/>
          <w:kern w:val="0"/>
          <w:sz w:val="24"/>
          <w:szCs w:val="24"/>
          <w:highlight w:val="none"/>
          <w:lang w:val="en-US" w:eastAsia="zh-CN" w:bidi="ar"/>
        </w:rPr>
        <w:t>A–预测评价范围，m</w:t>
      </w:r>
      <w:r>
        <w:rPr>
          <w:rFonts w:hint="default" w:ascii="Times New Roman" w:hAnsi="Times New Roman" w:eastAsia="宋体" w:cs="Times New Roman"/>
          <w:color w:val="0C0C0C"/>
          <w:kern w:val="0"/>
          <w:sz w:val="24"/>
          <w:szCs w:val="24"/>
          <w:highlight w:val="none"/>
          <w:vertAlign w:val="superscript"/>
          <w:lang w:val="en-US" w:eastAsia="zh-CN" w:bidi="ar"/>
        </w:rPr>
        <w:t>2</w:t>
      </w:r>
    </w:p>
    <w:p w14:paraId="0F18607E">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 xml:space="preserve">D–表层土壤深度，一般取 0.2m； </w:t>
      </w:r>
    </w:p>
    <w:p w14:paraId="13025F95">
      <w:pPr>
        <w:keepNext w:val="0"/>
        <w:keepLines w:val="0"/>
        <w:widowControl/>
        <w:suppressLineNumbers w:val="0"/>
        <w:jc w:val="left"/>
        <w:rPr>
          <w:rFonts w:hint="default" w:ascii="Times New Roman" w:hAnsi="Times New Roman" w:eastAsia="宋体" w:cs="Times New Roman"/>
          <w:color w:val="0C0C0C"/>
          <w:kern w:val="0"/>
          <w:sz w:val="24"/>
          <w:szCs w:val="24"/>
          <w:highlight w:val="none"/>
          <w:lang w:val="en-US" w:eastAsia="zh-CN" w:bidi="ar"/>
        </w:rPr>
      </w:pPr>
      <w:r>
        <w:rPr>
          <w:rFonts w:hint="default" w:ascii="Times New Roman" w:hAnsi="Times New Roman" w:eastAsia="宋体" w:cs="Times New Roman"/>
          <w:color w:val="0C0C0C"/>
          <w:kern w:val="0"/>
          <w:sz w:val="24"/>
          <w:szCs w:val="24"/>
          <w:highlight w:val="none"/>
          <w:lang w:val="en-US" w:eastAsia="zh-CN" w:bidi="ar"/>
        </w:rPr>
        <w:t xml:space="preserve">n–持续年份，a。 </w:t>
      </w:r>
    </w:p>
    <w:p w14:paraId="63259FEF">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单位质量土壤中某种物质的预测值计算公式： </w:t>
      </w:r>
    </w:p>
    <w:p w14:paraId="55456C68">
      <w:pPr>
        <w:keepNext w:val="0"/>
        <w:keepLines w:val="0"/>
        <w:pageBreakBefore w:val="0"/>
        <w:widowControl/>
        <w:suppressLineNumbers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 xml:space="preserve">S=Sb+ΔS </w:t>
      </w:r>
    </w:p>
    <w:p w14:paraId="75BF1FD5">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式中： </w:t>
      </w:r>
      <w:r>
        <w:rPr>
          <w:rFonts w:hint="default" w:ascii="Times New Roman" w:hAnsi="Times New Roman" w:eastAsia="宋体" w:cs="Times New Roman"/>
          <w:color w:val="000000"/>
          <w:kern w:val="0"/>
          <w:sz w:val="24"/>
          <w:szCs w:val="24"/>
          <w:highlight w:val="none"/>
          <w:lang w:val="en-US" w:eastAsia="zh-CN" w:bidi="ar"/>
        </w:rPr>
        <w:t>S——</w:t>
      </w:r>
      <w:r>
        <w:rPr>
          <w:rFonts w:hint="eastAsia" w:ascii="宋体" w:hAnsi="宋体" w:eastAsia="宋体" w:cs="宋体"/>
          <w:color w:val="000000"/>
          <w:kern w:val="0"/>
          <w:sz w:val="24"/>
          <w:szCs w:val="24"/>
          <w:highlight w:val="none"/>
          <w:lang w:val="en-US" w:eastAsia="zh-CN" w:bidi="ar"/>
        </w:rPr>
        <w:t>单位质量表层土壤中某种物质的预测值，</w:t>
      </w:r>
      <w:r>
        <w:rPr>
          <w:rFonts w:hint="default" w:ascii="Times New Roman" w:hAnsi="Times New Roman" w:eastAsia="宋体" w:cs="Times New Roman"/>
          <w:color w:val="000000"/>
          <w:kern w:val="0"/>
          <w:sz w:val="24"/>
          <w:szCs w:val="24"/>
          <w:highlight w:val="none"/>
          <w:lang w:val="en-US" w:eastAsia="zh-CN" w:bidi="ar"/>
        </w:rPr>
        <w:t>g/kg</w:t>
      </w:r>
      <w:r>
        <w:rPr>
          <w:rFonts w:hint="eastAsia" w:ascii="宋体" w:hAnsi="宋体" w:eastAsia="宋体" w:cs="宋体"/>
          <w:color w:val="000000"/>
          <w:kern w:val="0"/>
          <w:sz w:val="24"/>
          <w:szCs w:val="24"/>
          <w:highlight w:val="none"/>
          <w:lang w:val="en-US" w:eastAsia="zh-CN" w:bidi="ar"/>
        </w:rPr>
        <w:t xml:space="preserve">； </w:t>
      </w:r>
    </w:p>
    <w:p w14:paraId="7BF0BA5A">
      <w:pPr>
        <w:keepNext w:val="0"/>
        <w:keepLines w:val="0"/>
        <w:widowControl/>
        <w:suppressLineNumbers w:val="0"/>
        <w:ind w:firstLine="1440" w:firstLineChars="600"/>
        <w:jc w:val="left"/>
        <w:rPr>
          <w:rFonts w:hint="eastAsia" w:ascii="宋体" w:hAnsi="宋体" w:eastAsia="宋体" w:cs="宋体"/>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S</w:t>
      </w:r>
      <w:r>
        <w:rPr>
          <w:rFonts w:hint="default" w:ascii="Times New Roman" w:hAnsi="Times New Roman" w:eastAsia="宋体" w:cs="Times New Roman"/>
          <w:color w:val="000000"/>
          <w:kern w:val="0"/>
          <w:sz w:val="16"/>
          <w:szCs w:val="16"/>
          <w:highlight w:val="none"/>
          <w:lang w:val="en-US" w:eastAsia="zh-CN" w:bidi="ar"/>
        </w:rPr>
        <w:t>b</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单位质量表层土壤中某种物质的现状值，</w:t>
      </w:r>
      <w:r>
        <w:rPr>
          <w:rFonts w:hint="default" w:ascii="Times New Roman" w:hAnsi="Times New Roman" w:eastAsia="宋体" w:cs="Times New Roman"/>
          <w:color w:val="000000"/>
          <w:kern w:val="0"/>
          <w:sz w:val="24"/>
          <w:szCs w:val="24"/>
          <w:highlight w:val="none"/>
          <w:lang w:val="en-US" w:eastAsia="zh-CN" w:bidi="ar"/>
        </w:rPr>
        <w:t>g/kg</w:t>
      </w:r>
      <w:r>
        <w:rPr>
          <w:rFonts w:hint="eastAsia" w:ascii="宋体" w:hAnsi="宋体" w:eastAsia="宋体" w:cs="宋体"/>
          <w:color w:val="000000"/>
          <w:kern w:val="0"/>
          <w:sz w:val="24"/>
          <w:szCs w:val="24"/>
          <w:highlight w:val="none"/>
          <w:lang w:val="en-US" w:eastAsia="zh-CN" w:bidi="ar"/>
        </w:rPr>
        <w:t>；</w:t>
      </w:r>
    </w:p>
    <w:p w14:paraId="2FA04F59">
      <w:pPr>
        <w:keepNext w:val="0"/>
        <w:keepLines w:val="0"/>
        <w:widowControl/>
        <w:suppressLineNumbers w:val="0"/>
        <w:jc w:val="left"/>
        <w:rPr>
          <w:rFonts w:hint="eastAsia" w:ascii="Times New Roman" w:hAnsi="Times New Roman" w:eastAsia="宋体" w:cs="Times New Roman"/>
          <w:b/>
          <w:bCs/>
          <w:color w:val="0C0C0C"/>
          <w:kern w:val="0"/>
          <w:sz w:val="24"/>
          <w:szCs w:val="24"/>
          <w:highlight w:val="none"/>
          <w:lang w:val="en-US" w:eastAsia="zh-CN" w:bidi="ar"/>
        </w:rPr>
      </w:pPr>
      <w:r>
        <w:rPr>
          <w:rFonts w:hint="eastAsia" w:ascii="Times New Roman" w:hAnsi="Times New Roman" w:eastAsia="宋体" w:cs="Times New Roman"/>
          <w:b/>
          <w:bCs/>
          <w:color w:val="0C0C0C"/>
          <w:kern w:val="0"/>
          <w:sz w:val="24"/>
          <w:szCs w:val="24"/>
          <w:highlight w:val="none"/>
          <w:lang w:val="en-US" w:eastAsia="zh-CN" w:bidi="ar"/>
        </w:rPr>
        <w:t xml:space="preserve">5、土壤环境影响预测结果及分析 </w:t>
      </w:r>
    </w:p>
    <w:p w14:paraId="7FD86308">
      <w:pPr>
        <w:keepNext w:val="0"/>
        <w:keepLines w:val="0"/>
        <w:widowControl/>
        <w:suppressLineNumbers w:val="0"/>
        <w:jc w:val="left"/>
        <w:rPr>
          <w:highlight w:val="none"/>
        </w:rPr>
      </w:pPr>
      <w:r>
        <w:rPr>
          <w:rFonts w:hint="eastAsia" w:ascii="Times New Roman" w:hAnsi="Times New Roman" w:eastAsia="宋体" w:cs="Times New Roman"/>
          <w:b/>
          <w:bCs/>
          <w:color w:val="0C0C0C"/>
          <w:kern w:val="0"/>
          <w:sz w:val="24"/>
          <w:szCs w:val="24"/>
          <w:highlight w:val="none"/>
          <w:lang w:val="en-US" w:eastAsia="zh-CN" w:bidi="ar"/>
        </w:rPr>
        <w:t>（1）</w:t>
      </w:r>
      <w:r>
        <w:rPr>
          <w:rFonts w:hint="default" w:ascii="Times New Roman" w:hAnsi="Times New Roman" w:eastAsia="宋体" w:cs="Times New Roman"/>
          <w:b/>
          <w:bCs/>
          <w:color w:val="0C0C0C"/>
          <w:kern w:val="0"/>
          <w:sz w:val="24"/>
          <w:szCs w:val="24"/>
          <w:highlight w:val="none"/>
          <w:lang w:val="en-US" w:eastAsia="zh-CN" w:bidi="ar"/>
        </w:rPr>
        <w:t xml:space="preserve"> </w:t>
      </w:r>
      <w:r>
        <w:rPr>
          <w:rFonts w:hint="eastAsia" w:ascii="宋体" w:hAnsi="宋体" w:eastAsia="宋体" w:cs="宋体"/>
          <w:b/>
          <w:bCs/>
          <w:color w:val="0C0C0C"/>
          <w:kern w:val="0"/>
          <w:sz w:val="24"/>
          <w:szCs w:val="24"/>
          <w:highlight w:val="none"/>
          <w:lang w:val="en-US" w:eastAsia="zh-CN" w:bidi="ar"/>
        </w:rPr>
        <w:t>参数选取</w:t>
      </w:r>
    </w:p>
    <w:p w14:paraId="5DFB0C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C0C0C"/>
          <w:kern w:val="0"/>
          <w:sz w:val="24"/>
          <w:szCs w:val="24"/>
          <w:highlight w:val="none"/>
          <w:lang w:val="en-US" w:eastAsia="zh-CN" w:bidi="ar"/>
        </w:rPr>
      </w:pPr>
      <w:r>
        <w:rPr>
          <w:rFonts w:hint="default" w:ascii="Times New Roman" w:hAnsi="Times New Roman" w:eastAsia="宋体" w:cs="Times New Roman"/>
          <w:b/>
          <w:bCs/>
          <w:color w:val="0C0C0C"/>
          <w:kern w:val="0"/>
          <w:sz w:val="24"/>
          <w:szCs w:val="24"/>
          <w:highlight w:val="none"/>
          <w:lang w:val="en-US" w:eastAsia="zh-CN" w:bidi="ar"/>
        </w:rPr>
        <w:t xml:space="preserve">表6.7-3 本项目取值参数及依据 </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1393"/>
        <w:gridCol w:w="6186"/>
      </w:tblGrid>
      <w:tr w14:paraId="08C6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6B7FD3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C0C0C"/>
                <w:kern w:val="0"/>
                <w:sz w:val="21"/>
                <w:szCs w:val="21"/>
                <w:highlight w:val="none"/>
                <w:lang w:val="en-US" w:eastAsia="zh-CN" w:bidi="ar"/>
              </w:rPr>
            </w:pPr>
            <w:r>
              <w:rPr>
                <w:rFonts w:hint="default" w:ascii="Times New Roman" w:hAnsi="Times New Roman" w:eastAsia="宋体" w:cs="Times New Roman"/>
                <w:color w:val="0C0C0C"/>
                <w:kern w:val="0"/>
                <w:sz w:val="21"/>
                <w:szCs w:val="21"/>
                <w:highlight w:val="none"/>
                <w:lang w:val="en-US" w:eastAsia="zh-CN" w:bidi="ar"/>
              </w:rPr>
              <w:t>项目</w:t>
            </w:r>
          </w:p>
        </w:tc>
        <w:tc>
          <w:tcPr>
            <w:tcW w:w="818" w:type="pct"/>
            <w:vAlign w:val="center"/>
          </w:tcPr>
          <w:p w14:paraId="6D690C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取值</w:t>
            </w:r>
          </w:p>
        </w:tc>
        <w:tc>
          <w:tcPr>
            <w:tcW w:w="3633" w:type="pct"/>
            <w:vAlign w:val="center"/>
          </w:tcPr>
          <w:p w14:paraId="793060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取值说明</w:t>
            </w:r>
          </w:p>
        </w:tc>
      </w:tr>
      <w:tr w14:paraId="4007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62D6B8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Is</w:t>
            </w:r>
          </w:p>
        </w:tc>
        <w:tc>
          <w:tcPr>
            <w:tcW w:w="818" w:type="pct"/>
            <w:vAlign w:val="center"/>
          </w:tcPr>
          <w:p w14:paraId="695D4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C0C0C"/>
                <w:kern w:val="0"/>
                <w:sz w:val="21"/>
                <w:szCs w:val="21"/>
                <w:highlight w:val="none"/>
                <w:lang w:val="en-US" w:eastAsia="zh-CN" w:bidi="ar"/>
              </w:rPr>
              <w:t>5000000g</w:t>
            </w:r>
          </w:p>
        </w:tc>
        <w:tc>
          <w:tcPr>
            <w:tcW w:w="3633" w:type="pct"/>
            <w:vAlign w:val="center"/>
          </w:tcPr>
          <w:p w14:paraId="714430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color w:val="0C0C0C"/>
                <w:kern w:val="0"/>
                <w:sz w:val="21"/>
                <w:szCs w:val="21"/>
                <w:highlight w:val="none"/>
                <w:lang w:val="en-US" w:eastAsia="zh-CN" w:bidi="ar"/>
              </w:rPr>
              <w:t>本项目原材料</w:t>
            </w:r>
            <w:r>
              <w:rPr>
                <w:rFonts w:hint="default" w:ascii="Times New Roman" w:hAnsi="Times New Roman" w:eastAsia="宋体" w:cs="Times New Roman"/>
                <w:color w:val="0C0C0C"/>
                <w:kern w:val="0"/>
                <w:sz w:val="21"/>
                <w:szCs w:val="21"/>
                <w:highlight w:val="none"/>
                <w:lang w:val="en-US" w:eastAsia="zh-CN" w:bidi="ar"/>
              </w:rPr>
              <w:t>硅油最大贮存量为5t，本次预测选取最不利完全泄露的情况，即 Is 为5000000g</w:t>
            </w:r>
          </w:p>
        </w:tc>
      </w:tr>
      <w:tr w14:paraId="42B5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423B5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Ls+Rs</w:t>
            </w:r>
          </w:p>
        </w:tc>
        <w:tc>
          <w:tcPr>
            <w:tcW w:w="818" w:type="pct"/>
            <w:vAlign w:val="center"/>
          </w:tcPr>
          <w:p w14:paraId="3092F8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1942500g</w:t>
            </w:r>
          </w:p>
        </w:tc>
        <w:tc>
          <w:tcPr>
            <w:tcW w:w="3633" w:type="pct"/>
            <w:vAlign w:val="center"/>
          </w:tcPr>
          <w:p w14:paraId="6FE59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石油烃经淋溶和径流排出的量：参考文献《石油烃在潮土中的吸附及运移规律研宄》(李洪梅，2010)中的实验结果，取 61.15%作为土壤中石油烃的残留率，即石油烃经淋溶和径流排出的量为输入量的 38.85%，因此本项目Ls+Rs 的值约为1942500g。</w:t>
            </w:r>
          </w:p>
        </w:tc>
      </w:tr>
      <w:tr w14:paraId="3567D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54D2E1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ρb</w:t>
            </w:r>
          </w:p>
        </w:tc>
        <w:tc>
          <w:tcPr>
            <w:tcW w:w="818" w:type="pct"/>
            <w:vAlign w:val="center"/>
          </w:tcPr>
          <w:p w14:paraId="04CB3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1430kg/m</w:t>
            </w:r>
            <w:r>
              <w:rPr>
                <w:rFonts w:hint="default" w:ascii="Times New Roman" w:hAnsi="Times New Roman" w:eastAsia="宋体" w:cs="Times New Roman"/>
                <w:color w:val="0C0C0C"/>
                <w:kern w:val="0"/>
                <w:sz w:val="21"/>
                <w:szCs w:val="21"/>
                <w:highlight w:val="none"/>
                <w:vertAlign w:val="superscript"/>
                <w:lang w:val="en-US" w:eastAsia="zh-CN" w:bidi="ar"/>
              </w:rPr>
              <w:t>3</w:t>
            </w:r>
          </w:p>
        </w:tc>
        <w:tc>
          <w:tcPr>
            <w:tcW w:w="3633" w:type="pct"/>
            <w:vAlign w:val="center"/>
          </w:tcPr>
          <w:p w14:paraId="281E75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项目所在地园区土壤理化性质</w:t>
            </w:r>
          </w:p>
        </w:tc>
      </w:tr>
      <w:tr w14:paraId="7966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0544DC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A</w:t>
            </w:r>
          </w:p>
        </w:tc>
        <w:tc>
          <w:tcPr>
            <w:tcW w:w="818" w:type="pct"/>
            <w:vAlign w:val="center"/>
          </w:tcPr>
          <w:p w14:paraId="16EDE0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202054.21 m</w:t>
            </w:r>
            <w:r>
              <w:rPr>
                <w:rFonts w:hint="default" w:ascii="Times New Roman" w:hAnsi="Times New Roman" w:eastAsia="宋体" w:cs="Times New Roman"/>
                <w:color w:val="0C0C0C"/>
                <w:kern w:val="0"/>
                <w:sz w:val="21"/>
                <w:szCs w:val="21"/>
                <w:highlight w:val="none"/>
                <w:vertAlign w:val="superscript"/>
                <w:lang w:val="en-US" w:eastAsia="zh-CN" w:bidi="ar"/>
              </w:rPr>
              <w:t>2</w:t>
            </w:r>
          </w:p>
        </w:tc>
        <w:tc>
          <w:tcPr>
            <w:tcW w:w="3633" w:type="pct"/>
            <w:vAlign w:val="center"/>
          </w:tcPr>
          <w:p w14:paraId="3CB673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厂界外扩 200m 后评价范围</w:t>
            </w:r>
          </w:p>
        </w:tc>
      </w:tr>
      <w:tr w14:paraId="4254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2372D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D</w:t>
            </w:r>
          </w:p>
        </w:tc>
        <w:tc>
          <w:tcPr>
            <w:tcW w:w="818" w:type="pct"/>
            <w:vAlign w:val="center"/>
          </w:tcPr>
          <w:p w14:paraId="5EE4D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0.2m</w:t>
            </w:r>
          </w:p>
        </w:tc>
        <w:tc>
          <w:tcPr>
            <w:tcW w:w="3633" w:type="pct"/>
            <w:vAlign w:val="center"/>
          </w:tcPr>
          <w:p w14:paraId="13E87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导则推荐值</w:t>
            </w:r>
          </w:p>
        </w:tc>
      </w:tr>
      <w:tr w14:paraId="7430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pct"/>
            <w:vAlign w:val="center"/>
          </w:tcPr>
          <w:p w14:paraId="01DEE2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C0C0C"/>
                <w:kern w:val="0"/>
                <w:sz w:val="21"/>
                <w:szCs w:val="21"/>
                <w:highlight w:val="none"/>
                <w:lang w:val="en-US" w:eastAsia="zh-CN" w:bidi="ar"/>
              </w:rPr>
              <w:t>n</w:t>
            </w:r>
          </w:p>
        </w:tc>
        <w:tc>
          <w:tcPr>
            <w:tcW w:w="818" w:type="pct"/>
            <w:vAlign w:val="center"/>
          </w:tcPr>
          <w:p w14:paraId="4B205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30a</w:t>
            </w:r>
          </w:p>
        </w:tc>
        <w:tc>
          <w:tcPr>
            <w:tcW w:w="3633" w:type="pct"/>
            <w:vAlign w:val="center"/>
          </w:tcPr>
          <w:p w14:paraId="2A04C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rPr>
            </w:pPr>
            <w:r>
              <w:rPr>
                <w:rFonts w:hint="default" w:ascii="Times New Roman" w:hAnsi="Times New Roman" w:eastAsia="宋体" w:cs="Times New Roman"/>
                <w:color w:val="000000"/>
                <w:kern w:val="0"/>
                <w:sz w:val="21"/>
                <w:szCs w:val="21"/>
                <w:highlight w:val="none"/>
                <w:lang w:val="en-US" w:eastAsia="zh-CN" w:bidi="ar"/>
              </w:rPr>
              <w:t>按一般工业厂房使用寿命计，取值 30</w:t>
            </w:r>
          </w:p>
        </w:tc>
      </w:tr>
    </w:tbl>
    <w:p w14:paraId="04330042">
      <w:pPr>
        <w:keepNext w:val="0"/>
        <w:keepLines w:val="0"/>
        <w:widowControl/>
        <w:suppressLineNumbers w:val="0"/>
        <w:jc w:val="left"/>
        <w:rPr>
          <w:highlight w:val="none"/>
        </w:rPr>
      </w:pPr>
      <w:r>
        <w:rPr>
          <w:rFonts w:hint="eastAsia" w:ascii="Times New Roman" w:hAnsi="Times New Roman" w:eastAsia="宋体" w:cs="Times New Roman"/>
          <w:b/>
          <w:bCs/>
          <w:color w:val="0C0C0C"/>
          <w:kern w:val="0"/>
          <w:sz w:val="24"/>
          <w:szCs w:val="24"/>
          <w:highlight w:val="none"/>
          <w:lang w:val="en-US" w:eastAsia="zh-CN" w:bidi="ar"/>
        </w:rPr>
        <w:t xml:space="preserve"> （2）</w:t>
      </w:r>
      <w:r>
        <w:rPr>
          <w:rFonts w:hint="default" w:ascii="Times New Roman" w:hAnsi="Times New Roman" w:eastAsia="宋体" w:cs="Times New Roman"/>
          <w:b/>
          <w:bCs/>
          <w:color w:val="0C0C0C"/>
          <w:kern w:val="0"/>
          <w:sz w:val="24"/>
          <w:szCs w:val="24"/>
          <w:highlight w:val="none"/>
          <w:lang w:val="en-US" w:eastAsia="zh-CN" w:bidi="ar"/>
        </w:rPr>
        <w:t xml:space="preserve"> </w:t>
      </w:r>
      <w:r>
        <w:rPr>
          <w:rFonts w:hint="eastAsia" w:ascii="Times New Roman" w:hAnsi="Times New Roman" w:eastAsia="宋体" w:cs="Times New Roman"/>
          <w:b/>
          <w:bCs/>
          <w:color w:val="0C0C0C"/>
          <w:kern w:val="0"/>
          <w:sz w:val="24"/>
          <w:szCs w:val="24"/>
          <w:highlight w:val="none"/>
          <w:lang w:val="en-US" w:eastAsia="zh-CN" w:bidi="ar"/>
        </w:rPr>
        <w:t>预测结果与评价</w:t>
      </w:r>
      <w:r>
        <w:rPr>
          <w:rFonts w:hint="eastAsia" w:ascii="宋体" w:hAnsi="宋体" w:eastAsia="宋体" w:cs="宋体"/>
          <w:b/>
          <w:bCs/>
          <w:color w:val="0C0C0C"/>
          <w:kern w:val="0"/>
          <w:sz w:val="24"/>
          <w:szCs w:val="24"/>
          <w:highlight w:val="none"/>
          <w:lang w:val="en-US" w:eastAsia="zh-CN" w:bidi="ar"/>
        </w:rPr>
        <w:t xml:space="preserve"> </w:t>
      </w:r>
    </w:p>
    <w:p w14:paraId="10252E88">
      <w:pPr>
        <w:keepNext w:val="0"/>
        <w:keepLines w:val="0"/>
        <w:widowControl/>
        <w:suppressLineNumbers w:val="0"/>
        <w:jc w:val="left"/>
        <w:rPr>
          <w:rFonts w:hint="eastAsia" w:ascii="Times New Roman" w:hAnsi="Times New Roman" w:eastAsia="宋体" w:cs="Times New Roman"/>
          <w:b/>
          <w:bCs/>
          <w:color w:val="0C0C0C"/>
          <w:kern w:val="0"/>
          <w:sz w:val="24"/>
          <w:szCs w:val="24"/>
          <w:highlight w:val="none"/>
          <w:lang w:val="en-US" w:eastAsia="zh-CN" w:bidi="ar"/>
        </w:rPr>
      </w:pPr>
      <w:r>
        <w:rPr>
          <w:rFonts w:hint="eastAsia" w:ascii="宋体" w:hAnsi="宋体" w:eastAsia="宋体" w:cs="宋体"/>
          <w:color w:val="0C0C0C"/>
          <w:kern w:val="0"/>
          <w:sz w:val="24"/>
          <w:szCs w:val="24"/>
          <w:highlight w:val="none"/>
          <w:lang w:val="en-US" w:eastAsia="zh-CN" w:bidi="ar"/>
        </w:rPr>
        <w:t>根据上述预测方法， 预测结果见下表：</w:t>
      </w:r>
    </w:p>
    <w:p w14:paraId="0397E0C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C0C0C"/>
          <w:kern w:val="0"/>
          <w:sz w:val="24"/>
          <w:szCs w:val="24"/>
          <w:highlight w:val="none"/>
          <w:lang w:val="en-US" w:eastAsia="zh-CN" w:bidi="ar"/>
        </w:rPr>
      </w:pPr>
      <w:r>
        <w:rPr>
          <w:rFonts w:hint="eastAsia" w:ascii="Times New Roman" w:hAnsi="Times New Roman" w:eastAsia="宋体" w:cs="Times New Roman"/>
          <w:b/>
          <w:bCs/>
          <w:color w:val="0C0C0C"/>
          <w:kern w:val="0"/>
          <w:sz w:val="24"/>
          <w:szCs w:val="24"/>
          <w:highlight w:val="none"/>
          <w:lang w:val="en-US" w:eastAsia="zh-CN" w:bidi="ar"/>
        </w:rPr>
        <w:t>表</w:t>
      </w:r>
      <w:r>
        <w:rPr>
          <w:rFonts w:hint="eastAsia" w:eastAsia="宋体" w:cs="Times New Roman"/>
          <w:b/>
          <w:bCs/>
          <w:color w:val="0C0C0C"/>
          <w:kern w:val="0"/>
          <w:sz w:val="24"/>
          <w:szCs w:val="24"/>
          <w:highlight w:val="none"/>
          <w:lang w:val="en-US" w:eastAsia="zh-CN" w:bidi="ar"/>
        </w:rPr>
        <w:t>6.7-4</w:t>
      </w:r>
      <w:r>
        <w:rPr>
          <w:rFonts w:hint="eastAsia" w:ascii="Times New Roman" w:hAnsi="Times New Roman" w:eastAsia="宋体" w:cs="Times New Roman"/>
          <w:b/>
          <w:bCs/>
          <w:color w:val="0C0C0C"/>
          <w:kern w:val="0"/>
          <w:sz w:val="24"/>
          <w:szCs w:val="24"/>
          <w:highlight w:val="none"/>
          <w:lang w:val="en-US" w:eastAsia="zh-CN" w:bidi="ar"/>
        </w:rPr>
        <w:t xml:space="preserve"> 单位质量土壤中污染物的预测值</w:t>
      </w:r>
      <w:r>
        <w:rPr>
          <w:rFonts w:hint="default" w:ascii="Times New Roman" w:hAnsi="Times New Roman" w:eastAsia="宋体" w:cs="Times New Roman"/>
          <w:b/>
          <w:bCs/>
          <w:color w:val="0C0C0C"/>
          <w:kern w:val="0"/>
          <w:sz w:val="24"/>
          <w:szCs w:val="24"/>
          <w:highlight w:val="none"/>
          <w:lang w:val="en-US" w:eastAsia="zh-CN" w:bidi="ar"/>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1"/>
        <w:gridCol w:w="1642"/>
        <w:gridCol w:w="1634"/>
        <w:gridCol w:w="1419"/>
        <w:gridCol w:w="1419"/>
        <w:gridCol w:w="1420"/>
      </w:tblGrid>
      <w:tr w14:paraId="4F24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57AA37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default" w:ascii="Times New Roman" w:hAnsi="Times New Roman" w:eastAsia="宋体" w:cs="Times New Roman"/>
                <w:b w:val="0"/>
                <w:bCs w:val="0"/>
                <w:sz w:val="21"/>
                <w:szCs w:val="21"/>
                <w:highlight w:val="none"/>
                <w:vertAlign w:val="baseline"/>
                <w:lang w:val="en-US" w:eastAsia="zh-CN"/>
              </w:rPr>
              <w:t>污染因子</w:t>
            </w:r>
          </w:p>
        </w:tc>
        <w:tc>
          <w:tcPr>
            <w:tcW w:w="1642" w:type="dxa"/>
            <w:vAlign w:val="center"/>
          </w:tcPr>
          <w:p w14:paraId="09FCB5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单位质量表层土壤中石油烃的增重（g/kg）</w:t>
            </w:r>
          </w:p>
          <w:p w14:paraId="569D20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rPr>
            </w:pPr>
          </w:p>
        </w:tc>
        <w:tc>
          <w:tcPr>
            <w:tcW w:w="1634" w:type="dxa"/>
            <w:vAlign w:val="center"/>
          </w:tcPr>
          <w:p w14:paraId="2F7C54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单位质量土壤中石油</w:t>
            </w:r>
          </w:p>
          <w:p w14:paraId="1DA9AA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烃的现状值（g/kg）</w:t>
            </w:r>
          </w:p>
          <w:p w14:paraId="4407D2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rPr>
            </w:pPr>
          </w:p>
        </w:tc>
        <w:tc>
          <w:tcPr>
            <w:tcW w:w="1419" w:type="dxa"/>
            <w:vAlign w:val="center"/>
          </w:tcPr>
          <w:p w14:paraId="6F7E6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单位质量土壤中石</w:t>
            </w:r>
          </w:p>
          <w:p w14:paraId="71EBD2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油烃预测值（g/kg）</w:t>
            </w:r>
          </w:p>
          <w:p w14:paraId="03D43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rPr>
            </w:pPr>
          </w:p>
        </w:tc>
        <w:tc>
          <w:tcPr>
            <w:tcW w:w="1419" w:type="dxa"/>
            <w:vAlign w:val="center"/>
          </w:tcPr>
          <w:p w14:paraId="70E7D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评价标准</w:t>
            </w:r>
          </w:p>
          <w:p w14:paraId="086BFF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（g/kg）</w:t>
            </w:r>
          </w:p>
          <w:p w14:paraId="582603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rPr>
            </w:pPr>
          </w:p>
        </w:tc>
        <w:tc>
          <w:tcPr>
            <w:tcW w:w="1420" w:type="dxa"/>
            <w:vAlign w:val="center"/>
          </w:tcPr>
          <w:p w14:paraId="4926B4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达标</w:t>
            </w:r>
          </w:p>
          <w:p w14:paraId="224D05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rPr>
            </w:pPr>
            <w:r>
              <w:rPr>
                <w:rFonts w:hint="default" w:ascii="Times New Roman" w:hAnsi="Times New Roman" w:eastAsia="宋体" w:cs="Times New Roman"/>
                <w:b w:val="0"/>
                <w:bCs w:val="0"/>
                <w:color w:val="0C0C0C"/>
                <w:kern w:val="0"/>
                <w:sz w:val="21"/>
                <w:szCs w:val="21"/>
                <w:highlight w:val="none"/>
                <w:lang w:val="en-US" w:eastAsia="zh-CN" w:bidi="ar"/>
              </w:rPr>
              <w:t>情况</w:t>
            </w:r>
          </w:p>
          <w:p w14:paraId="6CDD3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rPr>
            </w:pPr>
          </w:p>
        </w:tc>
      </w:tr>
      <w:tr w14:paraId="6388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1" w:type="dxa"/>
            <w:vAlign w:val="center"/>
          </w:tcPr>
          <w:p w14:paraId="5F9AD0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石油烃</w:t>
            </w:r>
          </w:p>
        </w:tc>
        <w:tc>
          <w:tcPr>
            <w:tcW w:w="1642" w:type="dxa"/>
            <w:vAlign w:val="center"/>
          </w:tcPr>
          <w:p w14:paraId="4FEDA6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1.587</w:t>
            </w:r>
          </w:p>
        </w:tc>
        <w:tc>
          <w:tcPr>
            <w:tcW w:w="1634" w:type="dxa"/>
            <w:vAlign w:val="center"/>
          </w:tcPr>
          <w:p w14:paraId="2E2FCA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eastAsia="宋体" w:cs="Times New Roman"/>
                <w:b w:val="0"/>
                <w:bCs w:val="0"/>
                <w:sz w:val="21"/>
                <w:szCs w:val="21"/>
                <w:highlight w:val="none"/>
                <w:vertAlign w:val="baseline"/>
                <w:lang w:val="en-US" w:eastAsia="zh-CN"/>
              </w:rPr>
              <w:t>0.071</w:t>
            </w:r>
          </w:p>
        </w:tc>
        <w:tc>
          <w:tcPr>
            <w:tcW w:w="1419" w:type="dxa"/>
            <w:vAlign w:val="center"/>
          </w:tcPr>
          <w:p w14:paraId="57DAD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eastAsia="宋体" w:cs="Times New Roman"/>
                <w:b w:val="0"/>
                <w:bCs w:val="0"/>
                <w:sz w:val="21"/>
                <w:szCs w:val="21"/>
                <w:highlight w:val="none"/>
                <w:vertAlign w:val="baseline"/>
                <w:lang w:val="en-US" w:eastAsia="zh-CN"/>
              </w:rPr>
              <w:t>1.658</w:t>
            </w:r>
          </w:p>
        </w:tc>
        <w:tc>
          <w:tcPr>
            <w:tcW w:w="1419" w:type="dxa"/>
            <w:vAlign w:val="center"/>
          </w:tcPr>
          <w:p w14:paraId="210C4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4.5</w:t>
            </w:r>
          </w:p>
        </w:tc>
        <w:tc>
          <w:tcPr>
            <w:tcW w:w="1420" w:type="dxa"/>
            <w:vAlign w:val="center"/>
          </w:tcPr>
          <w:p w14:paraId="1D956E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达标</w:t>
            </w:r>
          </w:p>
        </w:tc>
      </w:tr>
    </w:tbl>
    <w:p w14:paraId="4B8BB95A">
      <w:pPr>
        <w:keepNext w:val="0"/>
        <w:keepLines w:val="0"/>
        <w:widowControl/>
        <w:suppressLineNumbers w:val="0"/>
        <w:jc w:val="left"/>
        <w:rPr>
          <w:highlight w:val="none"/>
        </w:rPr>
      </w:pPr>
      <w:r>
        <w:rPr>
          <w:rFonts w:hint="eastAsia" w:eastAsia="宋体" w:cs="Times New Roman"/>
          <w:color w:val="auto"/>
          <w:kern w:val="0"/>
          <w:sz w:val="24"/>
          <w:szCs w:val="20"/>
          <w:highlight w:val="none"/>
          <w:lang w:val="en-US" w:eastAsia="zh-CN" w:bidi="ar-SA"/>
        </w:rPr>
        <w:t>通过上表可知，在设置预测情景下，项目油类物质对评价范围内的土壤环境影响很小，叠加项目所在区域的现状值后仍满足《土壤环境质量建设用地土壤污染风险管控标准（试行）》（GB36600-2018)表 2 中第二类用地的筛选值要求。根据分析，本项目土壤环境影响主要为原料渗漏，或地面开裂渗透时会产生土壤环境事故，由于项目车间及仓库堆场、危险废物暂存间全部进行防漏防渗处理，且项目物料渗漏对评价范围内的土壤环境预测值较小，故本项目土壤环境影响可接受。建设单位应加强生产车间、仓库堆场、危险废物暂存间、实验室等的管理，做好过程防控措施，做好车间的防渗措施，避免预设情景发生。</w:t>
      </w:r>
    </w:p>
    <w:p w14:paraId="288CE97C">
      <w:pPr>
        <w:pStyle w:val="7"/>
        <w:bidi w:val="0"/>
        <w:rPr>
          <w:highlight w:val="none"/>
        </w:rPr>
      </w:pPr>
      <w:bookmarkStart w:id="197" w:name="_Toc13157"/>
      <w:r>
        <w:rPr>
          <w:rFonts w:hint="eastAsia"/>
          <w:highlight w:val="none"/>
          <w:lang w:val="en-US" w:eastAsia="zh-CN"/>
        </w:rPr>
        <w:t>6.7.3 土壤环境跟踪监测</w:t>
      </w:r>
      <w:bookmarkEnd w:id="197"/>
      <w:r>
        <w:rPr>
          <w:rFonts w:hint="eastAsia"/>
          <w:highlight w:val="none"/>
          <w:lang w:val="en-US" w:eastAsia="zh-CN"/>
        </w:rPr>
        <w:t xml:space="preserve"> </w:t>
      </w:r>
    </w:p>
    <w:p w14:paraId="64E74434">
      <w:pPr>
        <w:keepNext w:val="0"/>
        <w:keepLines w:val="0"/>
        <w:widowControl/>
        <w:suppressLineNumbers w:val="0"/>
        <w:jc w:val="left"/>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 xml:space="preserve">为及时发现项目对土壤环境的影响问题，必要时采取措施，制定以下土壤环境影响跟踪监测方案，具体见表 </w:t>
      </w:r>
      <w:r>
        <w:rPr>
          <w:rFonts w:hint="eastAsia" w:ascii="Times New Roman" w:hAnsi="Times New Roman" w:eastAsia="宋体" w:cs="Times New Roman"/>
          <w:color w:val="000000"/>
          <w:kern w:val="0"/>
          <w:sz w:val="24"/>
          <w:szCs w:val="24"/>
          <w:highlight w:val="none"/>
          <w:lang w:val="en-US" w:eastAsia="zh-CN" w:bidi="ar"/>
        </w:rPr>
        <w:t>6.7-5</w:t>
      </w:r>
      <w:r>
        <w:rPr>
          <w:rFonts w:hint="eastAsia" w:ascii="宋体" w:hAnsi="宋体" w:eastAsia="宋体" w:cs="宋体"/>
          <w:color w:val="000000"/>
          <w:kern w:val="0"/>
          <w:sz w:val="24"/>
          <w:szCs w:val="24"/>
          <w:highlight w:val="none"/>
          <w:lang w:val="en-US" w:eastAsia="zh-CN" w:bidi="ar"/>
        </w:rPr>
        <w:t xml:space="preserve">。 </w:t>
      </w:r>
    </w:p>
    <w:p w14:paraId="4E5FD45A">
      <w:pPr>
        <w:keepNext w:val="0"/>
        <w:keepLines w:val="0"/>
        <w:pageBreakBefore w:val="0"/>
        <w:widowControl/>
        <w:suppressLineNumbers w:val="0"/>
        <w:kinsoku/>
        <w:wordWrap/>
        <w:overflowPunct/>
        <w:topLinePunct w:val="0"/>
        <w:autoSpaceDE/>
        <w:autoSpaceDN/>
        <w:bidi w:val="0"/>
        <w:adjustRightInd/>
        <w:snapToGrid/>
        <w:jc w:val="center"/>
        <w:textAlignment w:val="auto"/>
        <w:rPr>
          <w:b/>
          <w:bCs/>
          <w:highlight w:val="none"/>
        </w:rPr>
      </w:pPr>
      <w:r>
        <w:rPr>
          <w:rFonts w:hint="eastAsia" w:ascii="宋体" w:hAnsi="宋体" w:eastAsia="宋体" w:cs="宋体"/>
          <w:b/>
          <w:bCs/>
          <w:color w:val="000000"/>
          <w:kern w:val="0"/>
          <w:sz w:val="24"/>
          <w:szCs w:val="24"/>
          <w:highlight w:val="none"/>
          <w:lang w:val="en-US" w:eastAsia="zh-CN" w:bidi="ar"/>
        </w:rPr>
        <w:t>表</w:t>
      </w:r>
      <w:r>
        <w:rPr>
          <w:rFonts w:hint="eastAsia" w:ascii="Times New Roman" w:hAnsi="Times New Roman" w:eastAsia="宋体" w:cs="Times New Roman"/>
          <w:b/>
          <w:bCs/>
          <w:color w:val="000000"/>
          <w:kern w:val="0"/>
          <w:sz w:val="24"/>
          <w:szCs w:val="24"/>
          <w:highlight w:val="none"/>
          <w:lang w:val="en-US" w:eastAsia="zh-CN" w:bidi="ar"/>
        </w:rPr>
        <w:t>6.7-5</w:t>
      </w:r>
      <w:r>
        <w:rPr>
          <w:rFonts w:hint="eastAsia" w:ascii="宋体" w:hAnsi="宋体" w:eastAsia="宋体" w:cs="宋体"/>
          <w:b/>
          <w:bCs/>
          <w:color w:val="000000"/>
          <w:kern w:val="0"/>
          <w:sz w:val="24"/>
          <w:szCs w:val="24"/>
          <w:highlight w:val="none"/>
          <w:lang w:val="en-US" w:eastAsia="zh-CN" w:bidi="ar"/>
        </w:rPr>
        <w:t xml:space="preserve"> 土壤环境跟踪监测计划一览表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5"/>
        <w:gridCol w:w="1512"/>
        <w:gridCol w:w="1949"/>
        <w:gridCol w:w="2129"/>
      </w:tblGrid>
      <w:tr w14:paraId="7A55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1F2BA5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监测点位</w:t>
            </w:r>
          </w:p>
        </w:tc>
        <w:tc>
          <w:tcPr>
            <w:tcW w:w="1512" w:type="dxa"/>
            <w:vAlign w:val="center"/>
          </w:tcPr>
          <w:p w14:paraId="5B93C3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监测指标</w:t>
            </w:r>
          </w:p>
        </w:tc>
        <w:tc>
          <w:tcPr>
            <w:tcW w:w="1949" w:type="dxa"/>
            <w:vAlign w:val="center"/>
          </w:tcPr>
          <w:p w14:paraId="3904A4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监测频次</w:t>
            </w:r>
          </w:p>
        </w:tc>
        <w:tc>
          <w:tcPr>
            <w:tcW w:w="2129" w:type="dxa"/>
            <w:vAlign w:val="center"/>
          </w:tcPr>
          <w:p w14:paraId="2F705C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执行标准</w:t>
            </w:r>
          </w:p>
        </w:tc>
      </w:tr>
      <w:tr w14:paraId="008F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5" w:type="dxa"/>
            <w:vAlign w:val="center"/>
          </w:tcPr>
          <w:p w14:paraId="1746A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eastAsia="宋体" w:cs="Times New Roman"/>
                <w:sz w:val="21"/>
                <w:szCs w:val="21"/>
                <w:highlight w:val="none"/>
                <w:vertAlign w:val="baseline"/>
                <w:lang w:val="en-US" w:eastAsia="zh-CN"/>
              </w:rPr>
              <w:t>厂区</w:t>
            </w:r>
            <w:r>
              <w:rPr>
                <w:rFonts w:hint="default" w:ascii="Times New Roman" w:hAnsi="Times New Roman" w:eastAsia="宋体" w:cs="Times New Roman"/>
                <w:sz w:val="21"/>
                <w:szCs w:val="21"/>
                <w:highlight w:val="none"/>
                <w:vertAlign w:val="baseline"/>
                <w:lang w:val="en-US" w:eastAsia="zh-CN"/>
              </w:rPr>
              <w:t>南侧</w:t>
            </w:r>
            <w:r>
              <w:rPr>
                <w:rFonts w:hint="eastAsia" w:eastAsia="宋体" w:cs="Times New Roman"/>
                <w:sz w:val="21"/>
                <w:szCs w:val="21"/>
                <w:highlight w:val="none"/>
                <w:vertAlign w:val="baseline"/>
                <w:lang w:val="en-US" w:eastAsia="zh-CN"/>
              </w:rPr>
              <w:t>出口</w:t>
            </w:r>
            <w:r>
              <w:rPr>
                <w:rFonts w:hint="default" w:ascii="Times New Roman" w:hAnsi="Times New Roman" w:eastAsia="宋体" w:cs="Times New Roman"/>
                <w:sz w:val="21"/>
                <w:szCs w:val="21"/>
                <w:highlight w:val="none"/>
                <w:vertAlign w:val="baseline"/>
                <w:lang w:val="en-US" w:eastAsia="zh-CN"/>
              </w:rPr>
              <w:t>（靠近危废间）</w:t>
            </w:r>
          </w:p>
        </w:tc>
        <w:tc>
          <w:tcPr>
            <w:tcW w:w="1512" w:type="dxa"/>
            <w:vAlign w:val="center"/>
          </w:tcPr>
          <w:p w14:paraId="7CFD07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eastAsia" w:eastAsia="宋体" w:cs="Times New Roman"/>
                <w:sz w:val="21"/>
                <w:szCs w:val="21"/>
                <w:highlight w:val="none"/>
                <w:lang w:val="en-US" w:eastAsia="zh-CN"/>
              </w:rPr>
              <w:t>石油烃（C10-C40）</w:t>
            </w:r>
          </w:p>
        </w:tc>
        <w:tc>
          <w:tcPr>
            <w:tcW w:w="1949" w:type="dxa"/>
            <w:vAlign w:val="center"/>
          </w:tcPr>
          <w:p w14:paraId="75D4E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1次/5年</w:t>
            </w:r>
          </w:p>
        </w:tc>
        <w:tc>
          <w:tcPr>
            <w:tcW w:w="2129" w:type="dxa"/>
            <w:vAlign w:val="center"/>
          </w:tcPr>
          <w:p w14:paraId="7CD13D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GB36600-2018</w:t>
            </w:r>
          </w:p>
        </w:tc>
      </w:tr>
    </w:tbl>
    <w:p w14:paraId="7990D735">
      <w:pPr>
        <w:pStyle w:val="7"/>
        <w:bidi w:val="0"/>
        <w:rPr>
          <w:rFonts w:hint="eastAsia"/>
          <w:highlight w:val="none"/>
        </w:rPr>
      </w:pPr>
      <w:bookmarkStart w:id="198" w:name="_Toc8712"/>
      <w:r>
        <w:rPr>
          <w:rFonts w:hint="eastAsia"/>
          <w:highlight w:val="none"/>
          <w:lang w:val="en-US" w:eastAsia="zh-CN"/>
        </w:rPr>
        <w:t>6.7.4</w:t>
      </w:r>
      <w:r>
        <w:rPr>
          <w:rFonts w:hint="eastAsia"/>
          <w:highlight w:val="none"/>
        </w:rPr>
        <w:t xml:space="preserve"> 小结</w:t>
      </w:r>
      <w:bookmarkEnd w:id="198"/>
    </w:p>
    <w:p w14:paraId="179B0EAE">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auto"/>
        <w:rPr>
          <w:highlight w:val="none"/>
        </w:rPr>
      </w:pPr>
      <w:r>
        <w:rPr>
          <w:rFonts w:hint="eastAsia" w:eastAsia="宋体" w:cs="Times New Roman"/>
          <w:color w:val="auto"/>
          <w:kern w:val="0"/>
          <w:sz w:val="24"/>
          <w:szCs w:val="20"/>
          <w:highlight w:val="none"/>
          <w:lang w:val="en-US" w:eastAsia="zh-CN" w:bidi="ar-SA"/>
        </w:rPr>
        <w:t>根据预测结果，正常工况下本项目废气污染物沉降对评价区域内表层土壤质量影响不大，根据预测分析，本项目实施后地面漫流、垂直入渗分析对厂区及周围土壤环境产生的影响在可接受范围内。本项目实施后评价区域内土壤环境质量可维持现状。要求企业严格做好易污染区域地面的防渗、防漏及防腐保护，并加强日常监管和维护，一旦发生设备破损泄漏或地面防渗层破坏，应及时检修，必要时停止生产，将影响控制在最小的范围，并可能受到污染的土壤进行监测，根据监测结果进行后续的维护或修复工作。同时，企业需定期检查废气处理设施的运行稳定性，确保废气达标排放。在厂区内做好绿化工作，种植有较强吸附能力的植物。在此基础上，本项目对土壤环境影响较小。</w:t>
      </w:r>
    </w:p>
    <w:p w14:paraId="76F347CC">
      <w:pPr>
        <w:pStyle w:val="6"/>
        <w:pageBreakBefore w:val="0"/>
        <w:kinsoku/>
        <w:wordWrap/>
        <w:overflowPunct/>
        <w:topLinePunct w:val="0"/>
        <w:autoSpaceDE/>
        <w:autoSpaceDN/>
        <w:bidi w:val="0"/>
        <w:adjustRightInd/>
        <w:snapToGrid/>
        <w:spacing w:line="360" w:lineRule="auto"/>
        <w:ind w:left="0"/>
        <w:textAlignment w:val="auto"/>
        <w:rPr>
          <w:highlight w:val="none"/>
        </w:rPr>
      </w:pPr>
      <w:bookmarkStart w:id="199" w:name="_Toc1509"/>
      <w:r>
        <w:rPr>
          <w:highlight w:val="none"/>
        </w:rPr>
        <w:t>6.8</w:t>
      </w:r>
      <w:r>
        <w:rPr>
          <w:rFonts w:hint="eastAsia"/>
          <w:highlight w:val="none"/>
          <w:lang w:val="en-US" w:eastAsia="zh-CN"/>
        </w:rPr>
        <w:t xml:space="preserve"> </w:t>
      </w:r>
      <w:r>
        <w:rPr>
          <w:highlight w:val="none"/>
        </w:rPr>
        <w:t>运营期生态环境影响分析</w:t>
      </w:r>
      <w:bookmarkEnd w:id="199"/>
    </w:p>
    <w:p w14:paraId="0B5EDE70">
      <w:pPr>
        <w:pageBreakBefore w:val="0"/>
        <w:kinsoku/>
        <w:wordWrap/>
        <w:overflowPunct/>
        <w:topLinePunct w:val="0"/>
        <w:autoSpaceDE/>
        <w:autoSpaceDN/>
        <w:bidi w:val="0"/>
        <w:adjustRightInd/>
        <w:snapToGrid/>
        <w:spacing w:line="360" w:lineRule="auto"/>
        <w:ind w:left="0" w:firstLine="483"/>
        <w:jc w:val="both"/>
        <w:textAlignment w:val="auto"/>
        <w:rPr>
          <w:rFonts w:ascii="宋体" w:hAnsi="宋体" w:eastAsia="宋体" w:cs="宋体"/>
          <w:sz w:val="24"/>
          <w:szCs w:val="24"/>
          <w:highlight w:val="none"/>
        </w:rPr>
      </w:pPr>
      <w:r>
        <w:rPr>
          <w:rFonts w:ascii="宋体" w:hAnsi="宋体" w:eastAsia="宋体" w:cs="宋体"/>
          <w:spacing w:val="-3"/>
          <w:sz w:val="24"/>
          <w:szCs w:val="24"/>
          <w:highlight w:val="none"/>
        </w:rPr>
        <w:t>项目在岳阳县荣家湾镇高新技术产业园区内</w:t>
      </w:r>
      <w:r>
        <w:rPr>
          <w:rFonts w:ascii="宋体" w:hAnsi="宋体" w:eastAsia="宋体" w:cs="宋体"/>
          <w:spacing w:val="-4"/>
          <w:sz w:val="24"/>
          <w:szCs w:val="24"/>
          <w:highlight w:val="none"/>
        </w:rPr>
        <w:t>，已开发建成的区域有明显的人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类活动干扰痕迹，所在区域地表植被主要以人工林和灌木林为主，包括杉木林、</w:t>
      </w:r>
      <w:r>
        <w:rPr>
          <w:rFonts w:ascii="宋体" w:hAnsi="宋体" w:eastAsia="宋体" w:cs="宋体"/>
          <w:spacing w:val="6"/>
          <w:sz w:val="24"/>
          <w:szCs w:val="24"/>
          <w:highlight w:val="none"/>
        </w:rPr>
        <w:t xml:space="preserve"> </w:t>
      </w:r>
      <w:r>
        <w:rPr>
          <w:rFonts w:ascii="宋体" w:hAnsi="宋体" w:eastAsia="宋体" w:cs="宋体"/>
          <w:spacing w:val="-3"/>
          <w:sz w:val="24"/>
          <w:szCs w:val="24"/>
          <w:highlight w:val="none"/>
        </w:rPr>
        <w:t>马尾松林、杉木</w:t>
      </w:r>
      <w:r>
        <w:rPr>
          <w:rFonts w:ascii="Times New Roman" w:hAnsi="Times New Roman" w:eastAsia="Times New Roman" w:cs="Times New Roman"/>
          <w:spacing w:val="-3"/>
          <w:sz w:val="24"/>
          <w:szCs w:val="24"/>
          <w:highlight w:val="none"/>
        </w:rPr>
        <w:t>-</w:t>
      </w:r>
      <w:r>
        <w:rPr>
          <w:rFonts w:ascii="宋体" w:hAnsi="宋体" w:eastAsia="宋体" w:cs="宋体"/>
          <w:spacing w:val="-3"/>
          <w:sz w:val="24"/>
          <w:szCs w:val="24"/>
          <w:highlight w:val="none"/>
        </w:rPr>
        <w:t>香樟混交林，区域内野生动物较少，主要有蛇类、壁虎、山雀、</w:t>
      </w:r>
      <w:r>
        <w:rPr>
          <w:rFonts w:ascii="宋体" w:hAnsi="宋体" w:eastAsia="宋体" w:cs="宋体"/>
          <w:sz w:val="24"/>
          <w:szCs w:val="24"/>
          <w:highlight w:val="none"/>
        </w:rPr>
        <w:t xml:space="preserve"> 八哥等。据调查，评价区域内无珍稀、濒危植物及国</w:t>
      </w:r>
      <w:r>
        <w:rPr>
          <w:rFonts w:ascii="宋体" w:hAnsi="宋体" w:eastAsia="宋体" w:cs="宋体"/>
          <w:spacing w:val="-1"/>
          <w:sz w:val="24"/>
          <w:szCs w:val="24"/>
          <w:highlight w:val="none"/>
        </w:rPr>
        <w:t>家法规保护的植物资源。</w:t>
      </w:r>
    </w:p>
    <w:p w14:paraId="707AE1CC">
      <w:pPr>
        <w:spacing w:line="359" w:lineRule="auto"/>
        <w:ind w:left="54" w:right="18" w:firstLine="479"/>
        <w:rPr>
          <w:rFonts w:ascii="宋体" w:hAnsi="宋体" w:eastAsia="宋体" w:cs="宋体"/>
          <w:sz w:val="24"/>
          <w:szCs w:val="24"/>
          <w:highlight w:val="none"/>
        </w:rPr>
      </w:pPr>
      <w:r>
        <w:rPr>
          <w:rFonts w:ascii="宋体" w:hAnsi="宋体" w:eastAsia="宋体" w:cs="宋体"/>
          <w:spacing w:val="-9"/>
          <w:sz w:val="24"/>
          <w:szCs w:val="24"/>
          <w:highlight w:val="none"/>
        </w:rPr>
        <w:t>本评价建议建设单位在厂区内及周围种植灌木、花草等植被，既可美化景观，</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又可以吸收净化废气。</w:t>
      </w:r>
    </w:p>
    <w:p w14:paraId="19843970">
      <w:pPr>
        <w:spacing w:before="1" w:line="360" w:lineRule="auto"/>
        <w:ind w:left="51" w:firstLine="481"/>
        <w:jc w:val="both"/>
        <w:rPr>
          <w:rFonts w:hint="eastAsia"/>
          <w:highlight w:val="none"/>
          <w:lang w:val="en-US" w:eastAsia="zh-CN"/>
        </w:rPr>
      </w:pPr>
      <w:r>
        <w:rPr>
          <w:rFonts w:ascii="宋体" w:hAnsi="宋体" w:eastAsia="宋体" w:cs="宋体"/>
          <w:spacing w:val="-3"/>
          <w:sz w:val="24"/>
          <w:szCs w:val="24"/>
          <w:highlight w:val="none"/>
        </w:rPr>
        <w:t>本项目位于岳阳县荣家湾镇高新技术产业园区范围</w:t>
      </w:r>
      <w:r>
        <w:rPr>
          <w:rFonts w:ascii="宋体" w:hAnsi="宋体" w:eastAsia="宋体" w:cs="宋体"/>
          <w:spacing w:val="-4"/>
          <w:sz w:val="24"/>
          <w:szCs w:val="24"/>
          <w:highlight w:val="none"/>
        </w:rPr>
        <w:t>内，占地范围及其周边并</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没有国家和地方保护的动植物。项目所在区域</w:t>
      </w:r>
      <w:r>
        <w:rPr>
          <w:rFonts w:ascii="宋体" w:hAnsi="宋体" w:eastAsia="宋体" w:cs="宋体"/>
          <w:spacing w:val="-8"/>
          <w:sz w:val="24"/>
          <w:szCs w:val="24"/>
          <w:highlight w:val="none"/>
        </w:rPr>
        <w:t>以水力侵蚀为主，现状侵蚀量不大。</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项目应严格落实工程措施、临时措施和植物措施相结合综合防</w:t>
      </w:r>
      <w:r>
        <w:rPr>
          <w:rFonts w:ascii="宋体" w:hAnsi="宋体" w:eastAsia="宋体" w:cs="宋体"/>
          <w:spacing w:val="3"/>
          <w:sz w:val="24"/>
          <w:szCs w:val="24"/>
          <w:highlight w:val="none"/>
        </w:rPr>
        <w:t>治的水土保持措</w:t>
      </w:r>
      <w:r>
        <w:rPr>
          <w:rFonts w:ascii="宋体" w:hAnsi="宋体" w:eastAsia="宋体" w:cs="宋体"/>
          <w:sz w:val="24"/>
          <w:szCs w:val="24"/>
          <w:highlight w:val="none"/>
        </w:rPr>
        <w:t xml:space="preserve"> 施，并做好厂区绿化。在此条件下，本项目对</w:t>
      </w:r>
      <w:r>
        <w:rPr>
          <w:rFonts w:ascii="宋体" w:hAnsi="宋体" w:eastAsia="宋体" w:cs="宋体"/>
          <w:spacing w:val="-1"/>
          <w:sz w:val="24"/>
          <w:szCs w:val="24"/>
          <w:highlight w:val="none"/>
        </w:rPr>
        <w:t>生态环境影响的较小。</w:t>
      </w:r>
    </w:p>
    <w:p w14:paraId="6B8BE7DE">
      <w:pPr>
        <w:pStyle w:val="6"/>
        <w:bidi w:val="0"/>
        <w:rPr>
          <w:highlight w:val="none"/>
        </w:rPr>
      </w:pPr>
      <w:bookmarkStart w:id="200" w:name="_Toc11952"/>
      <w:r>
        <w:rPr>
          <w:rFonts w:hint="eastAsia"/>
          <w:highlight w:val="none"/>
          <w:lang w:val="en-US" w:eastAsia="zh-CN"/>
        </w:rPr>
        <w:t>6</w:t>
      </w:r>
      <w:r>
        <w:rPr>
          <w:highlight w:val="none"/>
        </w:rPr>
        <w:t>.</w:t>
      </w:r>
      <w:r>
        <w:rPr>
          <w:rFonts w:hint="eastAsia"/>
          <w:highlight w:val="none"/>
          <w:lang w:val="en-US" w:eastAsia="zh-CN"/>
        </w:rPr>
        <w:t>9 环境</w:t>
      </w:r>
      <w:r>
        <w:rPr>
          <w:highlight w:val="none"/>
        </w:rPr>
        <w:t>风险分析</w:t>
      </w:r>
      <w:bookmarkEnd w:id="200"/>
    </w:p>
    <w:p w14:paraId="57779718">
      <w:pPr>
        <w:spacing w:line="360" w:lineRule="auto"/>
        <w:ind w:firstLine="480" w:firstLineChars="200"/>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bCs/>
          <w:color w:val="auto"/>
          <w:sz w:val="24"/>
          <w:szCs w:val="24"/>
          <w:highlight w:val="none"/>
          <w:u w:val="none" w:color="auto"/>
        </w:rPr>
        <w:t>环境风险分析及评价的主要目的就是查出可导致潜在环境事故发生的诱发因素，通过控制这些事故因素出现的条件，从而最终将综合环境污染风险降到尽可能低的水平；在环境事故不可避免而突发时，则保证已有相应的环境事故应急措施，从而最终将事故导致的损失降到尽可能低的水平。环境风险分析的主要任务是进行风险因素识别，查出可导致潜在环境事故的诱发因素，估计这些事故因素出现的条件，如有可能则估计其出现的概率。风险评价的主要任务则是针对风险因素，评价这些事故因素的可控制性及事故的严重程度。事故风险应急管理的主要任务是针对环境风险因素和可能发生的事故，评估拟采用的事故应急措施，必要时提出建立相应的事故应急措施。</w:t>
      </w:r>
    </w:p>
    <w:p w14:paraId="2FF7C7CB">
      <w:pPr>
        <w:pStyle w:val="7"/>
        <w:rPr>
          <w:rFonts w:hint="default" w:ascii="Times New Roman" w:hAnsi="Times New Roman" w:eastAsia="宋体" w:cs="Times New Roman"/>
          <w:color w:val="auto"/>
          <w:szCs w:val="22"/>
          <w:highlight w:val="none"/>
          <w:u w:val="none" w:color="auto"/>
        </w:rPr>
      </w:pPr>
      <w:bookmarkStart w:id="201" w:name="_Toc7487"/>
      <w:bookmarkStart w:id="202" w:name="_Toc19484"/>
      <w:bookmarkStart w:id="203" w:name="_Toc4696"/>
      <w:bookmarkStart w:id="204" w:name="_Toc16669"/>
      <w:bookmarkStart w:id="205" w:name="_Toc8697"/>
      <w:r>
        <w:rPr>
          <w:rFonts w:hint="default" w:ascii="Times New Roman" w:hAnsi="Times New Roman" w:eastAsia="宋体" w:cs="Times New Roman"/>
          <w:color w:val="auto"/>
          <w:szCs w:val="22"/>
          <w:highlight w:val="none"/>
          <w:u w:val="none" w:color="auto"/>
          <w:lang w:val="en-US" w:eastAsia="zh-CN"/>
        </w:rPr>
        <w:t>6</w:t>
      </w:r>
      <w:r>
        <w:rPr>
          <w:rFonts w:hint="default" w:ascii="Times New Roman" w:hAnsi="Times New Roman" w:eastAsia="宋体" w:cs="Times New Roman"/>
          <w:color w:val="auto"/>
          <w:szCs w:val="22"/>
          <w:highlight w:val="none"/>
          <w:u w:val="none" w:color="auto"/>
        </w:rPr>
        <w:t>.</w:t>
      </w:r>
      <w:r>
        <w:rPr>
          <w:rFonts w:hint="eastAsia" w:cs="Times New Roman"/>
          <w:color w:val="auto"/>
          <w:szCs w:val="22"/>
          <w:highlight w:val="none"/>
          <w:u w:val="none" w:color="auto"/>
          <w:lang w:val="en-US" w:eastAsia="zh-CN"/>
        </w:rPr>
        <w:t>9</w:t>
      </w:r>
      <w:r>
        <w:rPr>
          <w:rFonts w:hint="default" w:ascii="Times New Roman" w:hAnsi="Times New Roman" w:eastAsia="宋体" w:cs="Times New Roman"/>
          <w:color w:val="auto"/>
          <w:szCs w:val="22"/>
          <w:highlight w:val="none"/>
          <w:u w:val="none" w:color="auto"/>
        </w:rPr>
        <w:t>.1项目风险源调查</w:t>
      </w:r>
      <w:bookmarkEnd w:id="201"/>
      <w:bookmarkEnd w:id="202"/>
      <w:bookmarkEnd w:id="203"/>
      <w:bookmarkEnd w:id="204"/>
      <w:bookmarkEnd w:id="205"/>
    </w:p>
    <w:p w14:paraId="35E6C52A">
      <w:pPr>
        <w:spacing w:line="360" w:lineRule="auto"/>
        <w:ind w:firstLine="482" w:firstLineChars="200"/>
        <w:rPr>
          <w:rFonts w:hint="default" w:ascii="Times New Roman" w:hAnsi="Times New Roman" w:eastAsia="宋体" w:cs="Times New Roman"/>
          <w:b/>
          <w:bCs w:val="0"/>
          <w:color w:val="auto"/>
          <w:sz w:val="24"/>
          <w:szCs w:val="24"/>
          <w:highlight w:val="none"/>
          <w:u w:val="none" w:color="auto"/>
        </w:rPr>
      </w:pPr>
      <w:r>
        <w:rPr>
          <w:rFonts w:hint="default" w:ascii="Times New Roman" w:hAnsi="Times New Roman" w:eastAsia="宋体" w:cs="Times New Roman"/>
          <w:b/>
          <w:bCs w:val="0"/>
          <w:color w:val="auto"/>
          <w:sz w:val="24"/>
          <w:szCs w:val="24"/>
          <w:highlight w:val="none"/>
          <w:u w:val="none" w:color="auto"/>
        </w:rPr>
        <w:t>（1）危险物质</w:t>
      </w:r>
    </w:p>
    <w:p w14:paraId="6654F8EA">
      <w:pPr>
        <w:spacing w:line="360" w:lineRule="auto"/>
        <w:ind w:firstLine="480" w:firstLineChars="200"/>
        <w:rPr>
          <w:rFonts w:hint="default" w:ascii="Times New Roman" w:hAnsi="Times New Roman" w:eastAsia="宋体" w:cs="Times New Roman"/>
          <w:bCs/>
          <w:color w:val="auto"/>
          <w:sz w:val="24"/>
          <w:szCs w:val="24"/>
          <w:highlight w:val="none"/>
          <w:u w:val="none" w:color="auto"/>
          <w:lang w:val="en-US" w:eastAsia="zh-CN"/>
        </w:rPr>
      </w:pPr>
      <w:r>
        <w:rPr>
          <w:rFonts w:hint="default" w:ascii="Times New Roman" w:hAnsi="Times New Roman" w:eastAsia="宋体" w:cs="Times New Roman"/>
          <w:bCs/>
          <w:color w:val="auto"/>
          <w:sz w:val="24"/>
          <w:szCs w:val="24"/>
          <w:highlight w:val="none"/>
          <w:u w:val="none" w:color="auto"/>
        </w:rPr>
        <w:t>根据《建设项目环境风险评价技术导则》（HJ169-2018）附录B对公司生产过程和使用原料</w:t>
      </w:r>
      <w:r>
        <w:rPr>
          <w:rFonts w:hint="eastAsia" w:ascii="Times New Roman" w:hAnsi="Times New Roman" w:eastAsia="宋体" w:cs="Times New Roman"/>
          <w:bCs/>
          <w:color w:val="auto"/>
          <w:sz w:val="24"/>
          <w:szCs w:val="24"/>
          <w:highlight w:val="none"/>
          <w:u w:val="none" w:color="auto"/>
          <w:lang w:eastAsia="zh-CN"/>
        </w:rPr>
        <w:t>、</w:t>
      </w:r>
      <w:r>
        <w:rPr>
          <w:rFonts w:ascii="宋体" w:hAnsi="宋体" w:eastAsia="宋体" w:cs="宋体"/>
          <w:spacing w:val="-10"/>
          <w:sz w:val="24"/>
          <w:szCs w:val="24"/>
          <w:highlight w:val="none"/>
        </w:rPr>
        <w:t>产品</w:t>
      </w:r>
      <w:r>
        <w:rPr>
          <w:rFonts w:hint="eastAsia" w:ascii="宋体" w:hAnsi="宋体" w:eastAsia="宋体" w:cs="宋体"/>
          <w:spacing w:val="-10"/>
          <w:sz w:val="24"/>
          <w:szCs w:val="24"/>
          <w:highlight w:val="none"/>
          <w:lang w:val="en-US" w:eastAsia="zh-CN"/>
        </w:rPr>
        <w:t>等</w:t>
      </w:r>
      <w:r>
        <w:rPr>
          <w:rFonts w:hint="default" w:ascii="Times New Roman" w:hAnsi="Times New Roman" w:eastAsia="宋体" w:cs="Times New Roman"/>
          <w:bCs/>
          <w:color w:val="auto"/>
          <w:sz w:val="24"/>
          <w:szCs w:val="24"/>
          <w:highlight w:val="none"/>
          <w:u w:val="none" w:color="auto"/>
        </w:rPr>
        <w:t>所涉及的危险物质进行调查和识别</w:t>
      </w:r>
      <w:r>
        <w:rPr>
          <w:rFonts w:hint="eastAsia" w:ascii="Times New Roman" w:hAnsi="Times New Roman" w:eastAsia="宋体" w:cs="Times New Roman"/>
          <w:bCs/>
          <w:color w:val="auto"/>
          <w:sz w:val="24"/>
          <w:szCs w:val="24"/>
          <w:highlight w:val="none"/>
          <w:u w:val="none" w:color="auto"/>
          <w:lang w:eastAsia="zh-CN"/>
        </w:rPr>
        <w:t>。</w:t>
      </w:r>
      <w:r>
        <w:rPr>
          <w:rFonts w:hint="eastAsia" w:ascii="Times New Roman" w:hAnsi="Times New Roman" w:eastAsia="宋体" w:cs="Times New Roman"/>
          <w:bCs/>
          <w:color w:val="auto"/>
          <w:sz w:val="24"/>
          <w:szCs w:val="24"/>
          <w:highlight w:val="none"/>
          <w:u w:val="none" w:color="auto"/>
        </w:rPr>
        <w:t>项目运营期所用生物酶、平平加和聚乙二醇4000等原辅材料不属于危险化学品。</w:t>
      </w:r>
      <w:r>
        <w:rPr>
          <w:rFonts w:hint="default" w:ascii="Times New Roman" w:hAnsi="Times New Roman" w:eastAsia="宋体" w:cs="Times New Roman"/>
          <w:bCs/>
          <w:color w:val="auto"/>
          <w:sz w:val="24"/>
          <w:szCs w:val="24"/>
          <w:highlight w:val="none"/>
          <w:u w:val="none" w:color="auto"/>
        </w:rPr>
        <w:t>筛选出公司内生产区可能造成突发环境风险事件危险物质包括</w:t>
      </w:r>
      <w:r>
        <w:rPr>
          <w:rFonts w:hint="eastAsia" w:ascii="Times New Roman" w:hAnsi="Times New Roman" w:eastAsia="宋体" w:cs="Times New Roman"/>
          <w:bCs/>
          <w:color w:val="auto"/>
          <w:sz w:val="24"/>
          <w:szCs w:val="24"/>
          <w:highlight w:val="none"/>
          <w:u w:val="none" w:color="auto"/>
          <w:lang w:val="en-US" w:eastAsia="zh-CN"/>
        </w:rPr>
        <w:t>导热油、实验室废液、废活性炭。</w:t>
      </w:r>
    </w:p>
    <w:p w14:paraId="39633746">
      <w:pPr>
        <w:pStyle w:val="2"/>
        <w:keepNext w:val="0"/>
        <w:keepLines w:val="0"/>
        <w:pageBreakBefore w:val="0"/>
        <w:widowControl/>
        <w:numPr>
          <w:ilvl w:val="0"/>
          <w:numId w:val="7"/>
        </w:numPr>
        <w:kinsoku/>
        <w:wordWrap/>
        <w:overflowPunct/>
        <w:topLinePunct w:val="0"/>
        <w:autoSpaceDE/>
        <w:autoSpaceDN/>
        <w:bidi w:val="0"/>
        <w:adjustRightInd/>
        <w:snapToGrid w:val="0"/>
        <w:spacing w:before="0" w:after="0" w:line="360" w:lineRule="auto"/>
        <w:ind w:left="0" w:leftChars="0" w:right="0" w:firstLine="478" w:firstLineChars="200"/>
        <w:textAlignment w:val="auto"/>
        <w:rPr>
          <w:b/>
          <w:bCs/>
          <w:spacing w:val="-1"/>
          <w:highlight w:val="none"/>
        </w:rPr>
      </w:pPr>
      <w:r>
        <w:rPr>
          <w:b/>
          <w:bCs/>
          <w:spacing w:val="-1"/>
          <w:highlight w:val="none"/>
        </w:rPr>
        <w:t>环境风险潜势初判</w:t>
      </w:r>
    </w:p>
    <w:p w14:paraId="5A38D670">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7"/>
        <w:textAlignment w:val="auto"/>
        <w:rPr>
          <w:highlight w:val="none"/>
        </w:rPr>
      </w:pPr>
      <w:r>
        <w:rPr>
          <w:spacing w:val="-3"/>
          <w:highlight w:val="none"/>
        </w:rPr>
        <w:t>根据《建设项目环境风险评价技术导则》（</w:t>
      </w:r>
      <w:r>
        <w:rPr>
          <w:rFonts w:ascii="Times New Roman" w:hAnsi="Times New Roman" w:eastAsia="Times New Roman" w:cs="Times New Roman"/>
          <w:spacing w:val="-3"/>
          <w:highlight w:val="none"/>
        </w:rPr>
        <w:t>HJ</w:t>
      </w:r>
      <w:r>
        <w:rPr>
          <w:rFonts w:ascii="Times New Roman" w:hAnsi="Times New Roman" w:eastAsia="Times New Roman" w:cs="Times New Roman"/>
          <w:spacing w:val="29"/>
          <w:highlight w:val="none"/>
        </w:rPr>
        <w:t xml:space="preserve"> </w:t>
      </w:r>
      <w:r>
        <w:rPr>
          <w:rFonts w:ascii="Times New Roman" w:hAnsi="Times New Roman" w:eastAsia="Times New Roman" w:cs="Times New Roman"/>
          <w:spacing w:val="-3"/>
          <w:highlight w:val="none"/>
        </w:rPr>
        <w:t>169-2018</w:t>
      </w:r>
      <w:r>
        <w:rPr>
          <w:spacing w:val="-3"/>
          <w:highlight w:val="none"/>
        </w:rPr>
        <w:t>）中环境风险潜势的确定</w:t>
      </w:r>
      <w:r>
        <w:rPr>
          <w:highlight w:val="none"/>
        </w:rPr>
        <w:t xml:space="preserve"> </w:t>
      </w:r>
      <w:r>
        <w:rPr>
          <w:spacing w:val="-1"/>
          <w:highlight w:val="none"/>
        </w:rPr>
        <w:t>步骤，首先计算项目危险物质与其临界量的比值</w:t>
      </w:r>
      <w:r>
        <w:rPr>
          <w:spacing w:val="-51"/>
          <w:highlight w:val="none"/>
        </w:rPr>
        <w:t xml:space="preserve"> </w:t>
      </w:r>
      <w:r>
        <w:rPr>
          <w:rFonts w:ascii="Times New Roman" w:hAnsi="Times New Roman" w:eastAsia="Times New Roman" w:cs="Times New Roman"/>
          <w:spacing w:val="-1"/>
          <w:highlight w:val="none"/>
        </w:rPr>
        <w:t>Q</w:t>
      </w:r>
      <w:r>
        <w:rPr>
          <w:spacing w:val="-1"/>
          <w:highlight w:val="none"/>
        </w:rPr>
        <w:t>。</w:t>
      </w:r>
    </w:p>
    <w:p w14:paraId="70AB50F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highlight w:val="none"/>
        </w:rPr>
      </w:pPr>
      <w:r>
        <w:rPr>
          <w:spacing w:val="3"/>
          <w:highlight w:val="none"/>
        </w:rPr>
        <w:t>计算所涉及的每种危险物质在厂界内的最大存在总量与其在附录</w:t>
      </w:r>
      <w:r>
        <w:rPr>
          <w:spacing w:val="-47"/>
          <w:highlight w:val="none"/>
        </w:rPr>
        <w:t xml:space="preserve"> </w:t>
      </w:r>
      <w:r>
        <w:rPr>
          <w:rFonts w:ascii="Times New Roman" w:hAnsi="Times New Roman" w:eastAsia="Times New Roman" w:cs="Times New Roman"/>
          <w:spacing w:val="3"/>
          <w:highlight w:val="none"/>
        </w:rPr>
        <w:t>B</w:t>
      </w:r>
      <w:r>
        <w:rPr>
          <w:spacing w:val="3"/>
          <w:highlight w:val="none"/>
        </w:rPr>
        <w:t>中对应临界</w:t>
      </w:r>
      <w:r>
        <w:rPr>
          <w:spacing w:val="-2"/>
          <w:highlight w:val="none"/>
        </w:rPr>
        <w:t>量的比值</w:t>
      </w:r>
      <w:r>
        <w:rPr>
          <w:spacing w:val="-52"/>
          <w:highlight w:val="none"/>
        </w:rPr>
        <w:t xml:space="preserve"> </w:t>
      </w:r>
      <w:r>
        <w:rPr>
          <w:rFonts w:ascii="Times New Roman" w:hAnsi="Times New Roman" w:eastAsia="Times New Roman" w:cs="Times New Roman"/>
          <w:spacing w:val="-2"/>
          <w:highlight w:val="none"/>
        </w:rPr>
        <w:t>Q</w:t>
      </w:r>
      <w:r>
        <w:rPr>
          <w:rFonts w:ascii="Times New Roman" w:hAnsi="Times New Roman" w:eastAsia="Times New Roman" w:cs="Times New Roman"/>
          <w:spacing w:val="-27"/>
          <w:highlight w:val="none"/>
        </w:rPr>
        <w:t xml:space="preserve"> </w:t>
      </w:r>
      <w:r>
        <w:rPr>
          <w:spacing w:val="-2"/>
          <w:highlight w:val="none"/>
        </w:rPr>
        <w:t>。当只涉及一种</w:t>
      </w:r>
      <w:r>
        <w:rPr>
          <w:spacing w:val="-1"/>
          <w:highlight w:val="none"/>
        </w:rPr>
        <w:t>危险物质时，计算该物质的总量与其临界量比值，即为</w:t>
      </w:r>
      <w:r>
        <w:rPr>
          <w:spacing w:val="-51"/>
          <w:highlight w:val="none"/>
        </w:rPr>
        <w:t xml:space="preserve"> </w:t>
      </w:r>
      <w:r>
        <w:rPr>
          <w:rFonts w:ascii="Times New Roman" w:hAnsi="Times New Roman" w:eastAsia="Times New Roman" w:cs="Times New Roman"/>
          <w:spacing w:val="-1"/>
          <w:highlight w:val="none"/>
        </w:rPr>
        <w:t>Q</w:t>
      </w:r>
      <w:r>
        <w:rPr>
          <w:spacing w:val="-1"/>
          <w:highlight w:val="none"/>
        </w:rPr>
        <w:t>；</w:t>
      </w:r>
      <w:r>
        <w:rPr>
          <w:spacing w:val="-2"/>
          <w:highlight w:val="none"/>
        </w:rPr>
        <w:t>当存在多种危险物质时，</w:t>
      </w:r>
      <w:r>
        <w:rPr>
          <w:highlight w:val="none"/>
        </w:rPr>
        <w:t xml:space="preserve"> </w:t>
      </w:r>
      <w:r>
        <w:rPr>
          <w:spacing w:val="-2"/>
          <w:highlight w:val="none"/>
        </w:rPr>
        <w:t>则按式</w:t>
      </w:r>
      <w:r>
        <w:rPr>
          <w:rFonts w:ascii="Times New Roman" w:hAnsi="Times New Roman" w:eastAsia="Times New Roman" w:cs="Times New Roman"/>
          <w:spacing w:val="-2"/>
          <w:highlight w:val="none"/>
        </w:rPr>
        <w:t>(C.</w:t>
      </w:r>
      <w:r>
        <w:rPr>
          <w:rFonts w:ascii="Times New Roman" w:hAnsi="Times New Roman" w:eastAsia="Times New Roman" w:cs="Times New Roman"/>
          <w:spacing w:val="-31"/>
          <w:highlight w:val="none"/>
        </w:rPr>
        <w:t xml:space="preserve"> </w:t>
      </w:r>
      <w:r>
        <w:rPr>
          <w:rFonts w:ascii="Times New Roman" w:hAnsi="Times New Roman" w:eastAsia="Times New Roman" w:cs="Times New Roman"/>
          <w:spacing w:val="-2"/>
          <w:highlight w:val="none"/>
        </w:rPr>
        <w:t>1)</w:t>
      </w:r>
      <w:r>
        <w:rPr>
          <w:spacing w:val="-2"/>
          <w:highlight w:val="none"/>
        </w:rPr>
        <w:t>计算物质总量与其临界量比值（</w:t>
      </w:r>
      <w:r>
        <w:rPr>
          <w:rFonts w:ascii="Times New Roman" w:hAnsi="Times New Roman" w:eastAsia="Times New Roman" w:cs="Times New Roman"/>
          <w:spacing w:val="-2"/>
          <w:highlight w:val="none"/>
        </w:rPr>
        <w:t>Q</w:t>
      </w:r>
      <w:r>
        <w:rPr>
          <w:spacing w:val="3"/>
          <w:highlight w:val="none"/>
        </w:rPr>
        <w:t>）：</w:t>
      </w:r>
    </w:p>
    <w:p w14:paraId="6EF7420F">
      <w:pPr>
        <w:spacing w:line="835" w:lineRule="exact"/>
        <w:ind w:firstLine="2023"/>
        <w:jc w:val="center"/>
        <w:rPr>
          <w:highlight w:val="none"/>
        </w:rPr>
      </w:pPr>
      <w:r>
        <w:rPr>
          <w:position w:val="-16"/>
          <w:highlight w:val="none"/>
        </w:rPr>
        <w:drawing>
          <wp:inline distT="0" distB="0" distL="0" distR="0">
            <wp:extent cx="3488055" cy="530225"/>
            <wp:effectExtent l="0" t="0" r="4445" b="3175"/>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7"/>
                    <a:stretch>
                      <a:fillRect/>
                    </a:stretch>
                  </pic:blipFill>
                  <pic:spPr>
                    <a:xfrm>
                      <a:off x="0" y="0"/>
                      <a:ext cx="3488435" cy="530352"/>
                    </a:xfrm>
                    <a:prstGeom prst="rect">
                      <a:avLst/>
                    </a:prstGeom>
                  </pic:spPr>
                </pic:pic>
              </a:graphicData>
            </a:graphic>
          </wp:inline>
        </w:drawing>
      </w:r>
    </w:p>
    <w:p w14:paraId="49A0FDC3">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highlight w:val="none"/>
        </w:rPr>
      </w:pPr>
      <w:r>
        <w:rPr>
          <w:spacing w:val="-8"/>
          <w:highlight w:val="none"/>
        </w:rPr>
        <w:t>式中：</w:t>
      </w:r>
      <w:r>
        <w:rPr>
          <w:rFonts w:ascii="Times New Roman" w:hAnsi="Times New Roman" w:eastAsia="Times New Roman" w:cs="Times New Roman"/>
          <w:spacing w:val="-8"/>
          <w:highlight w:val="none"/>
        </w:rPr>
        <w:t>q</w:t>
      </w:r>
      <w:r>
        <w:rPr>
          <w:rFonts w:ascii="Times New Roman" w:hAnsi="Times New Roman" w:eastAsia="Times New Roman" w:cs="Times New Roman"/>
          <w:spacing w:val="-8"/>
          <w:position w:val="-1"/>
          <w:sz w:val="15"/>
          <w:szCs w:val="15"/>
          <w:highlight w:val="none"/>
        </w:rPr>
        <w:t>1</w:t>
      </w:r>
      <w:r>
        <w:rPr>
          <w:rFonts w:ascii="Times New Roman" w:hAnsi="Times New Roman" w:eastAsia="Times New Roman" w:cs="Times New Roman"/>
          <w:spacing w:val="-4"/>
          <w:position w:val="-1"/>
          <w:sz w:val="15"/>
          <w:szCs w:val="15"/>
          <w:highlight w:val="none"/>
        </w:rPr>
        <w:t xml:space="preserve"> </w:t>
      </w:r>
      <w:r>
        <w:rPr>
          <w:spacing w:val="-8"/>
          <w:highlight w:val="none"/>
        </w:rPr>
        <w:t>，</w:t>
      </w:r>
      <w:r>
        <w:rPr>
          <w:rFonts w:ascii="Times New Roman" w:hAnsi="Times New Roman" w:eastAsia="Times New Roman" w:cs="Times New Roman"/>
          <w:spacing w:val="-8"/>
          <w:highlight w:val="none"/>
        </w:rPr>
        <w:t>q</w:t>
      </w:r>
      <w:r>
        <w:rPr>
          <w:rFonts w:ascii="Times New Roman" w:hAnsi="Times New Roman" w:eastAsia="Times New Roman" w:cs="Times New Roman"/>
          <w:spacing w:val="-8"/>
          <w:position w:val="-1"/>
          <w:sz w:val="15"/>
          <w:szCs w:val="15"/>
          <w:highlight w:val="none"/>
        </w:rPr>
        <w:t>2</w:t>
      </w:r>
      <w:r>
        <w:rPr>
          <w:rFonts w:ascii="Times New Roman" w:hAnsi="Times New Roman" w:eastAsia="Times New Roman" w:cs="Times New Roman"/>
          <w:spacing w:val="-10"/>
          <w:position w:val="-1"/>
          <w:sz w:val="15"/>
          <w:szCs w:val="15"/>
          <w:highlight w:val="none"/>
        </w:rPr>
        <w:t xml:space="preserve"> </w:t>
      </w:r>
      <w:r>
        <w:rPr>
          <w:spacing w:val="-8"/>
          <w:highlight w:val="none"/>
        </w:rPr>
        <w:t>，</w:t>
      </w:r>
      <w:r>
        <w:rPr>
          <w:spacing w:val="-93"/>
          <w:highlight w:val="none"/>
        </w:rPr>
        <w:t xml:space="preserve"> </w:t>
      </w:r>
      <w:r>
        <w:rPr>
          <w:rFonts w:ascii="Times New Roman" w:hAnsi="Times New Roman" w:eastAsia="Times New Roman" w:cs="Times New Roman"/>
          <w:spacing w:val="-35"/>
          <w:highlight w:val="none"/>
        </w:rPr>
        <w:t>…</w:t>
      </w:r>
      <w:r>
        <w:rPr>
          <w:rFonts w:ascii="Times New Roman" w:hAnsi="Times New Roman" w:eastAsia="Times New Roman" w:cs="Times New Roman"/>
          <w:spacing w:val="-31"/>
          <w:highlight w:val="none"/>
        </w:rPr>
        <w:t xml:space="preserve"> </w:t>
      </w:r>
      <w:r>
        <w:rPr>
          <w:spacing w:val="-35"/>
          <w:highlight w:val="none"/>
        </w:rPr>
        <w:t xml:space="preserve">,  </w:t>
      </w:r>
      <w:r>
        <w:rPr>
          <w:rFonts w:ascii="Times New Roman" w:hAnsi="Times New Roman" w:eastAsia="Times New Roman" w:cs="Times New Roman"/>
          <w:spacing w:val="-35"/>
          <w:highlight w:val="none"/>
        </w:rPr>
        <w:t>q</w:t>
      </w:r>
      <w:r>
        <w:rPr>
          <w:rFonts w:ascii="Times New Roman" w:hAnsi="Times New Roman" w:eastAsia="Times New Roman" w:cs="Times New Roman"/>
          <w:sz w:val="15"/>
          <w:szCs w:val="15"/>
          <w:highlight w:val="none"/>
        </w:rPr>
        <w:t>n</w:t>
      </w:r>
      <w:r>
        <w:rPr>
          <w:rFonts w:ascii="Times New Roman" w:hAnsi="Times New Roman" w:eastAsia="Times New Roman" w:cs="Times New Roman"/>
          <w:highlight w:val="none"/>
        </w:rPr>
        <w:t>—</w:t>
      </w:r>
      <w:r>
        <w:rPr>
          <w:highlight w:val="none"/>
        </w:rPr>
        <w:t>每种危险物质的最大存在总量，</w:t>
      </w:r>
      <w:r>
        <w:rPr>
          <w:rFonts w:ascii="Times New Roman" w:hAnsi="Times New Roman" w:eastAsia="Times New Roman" w:cs="Times New Roman"/>
          <w:highlight w:val="none"/>
        </w:rPr>
        <w:t>t</w:t>
      </w:r>
      <w:r>
        <w:rPr>
          <w:highlight w:val="none"/>
        </w:rPr>
        <w:t>；</w:t>
      </w:r>
    </w:p>
    <w:p w14:paraId="571514B0">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highlight w:val="none"/>
        </w:rPr>
      </w:pPr>
      <w:r>
        <w:rPr>
          <w:rFonts w:ascii="Times New Roman" w:hAnsi="Times New Roman" w:eastAsia="Times New Roman" w:cs="Times New Roman"/>
          <w:spacing w:val="-3"/>
          <w:highlight w:val="none"/>
        </w:rPr>
        <w:t>Q</w:t>
      </w:r>
      <w:r>
        <w:rPr>
          <w:rFonts w:ascii="Times New Roman" w:hAnsi="Times New Roman" w:eastAsia="Times New Roman" w:cs="Times New Roman"/>
          <w:spacing w:val="-3"/>
          <w:position w:val="-1"/>
          <w:sz w:val="15"/>
          <w:szCs w:val="15"/>
          <w:highlight w:val="none"/>
        </w:rPr>
        <w:t>1</w:t>
      </w:r>
      <w:r>
        <w:rPr>
          <w:rFonts w:ascii="Times New Roman" w:hAnsi="Times New Roman" w:eastAsia="Times New Roman" w:cs="Times New Roman"/>
          <w:spacing w:val="-5"/>
          <w:position w:val="-1"/>
          <w:sz w:val="15"/>
          <w:szCs w:val="15"/>
          <w:highlight w:val="none"/>
        </w:rPr>
        <w:t xml:space="preserve"> </w:t>
      </w:r>
      <w:r>
        <w:rPr>
          <w:spacing w:val="-15"/>
          <w:highlight w:val="none"/>
        </w:rPr>
        <w:t>，</w:t>
      </w:r>
      <w:r>
        <w:rPr>
          <w:rFonts w:ascii="Times New Roman" w:hAnsi="Times New Roman" w:eastAsia="Times New Roman" w:cs="Times New Roman"/>
          <w:spacing w:val="-15"/>
          <w:highlight w:val="none"/>
        </w:rPr>
        <w:t>Q</w:t>
      </w:r>
      <w:r>
        <w:rPr>
          <w:rFonts w:ascii="Times New Roman" w:hAnsi="Times New Roman" w:eastAsia="Times New Roman" w:cs="Times New Roman"/>
          <w:spacing w:val="2"/>
          <w:position w:val="-1"/>
          <w:sz w:val="15"/>
          <w:szCs w:val="15"/>
          <w:highlight w:val="none"/>
        </w:rPr>
        <w:t>2</w:t>
      </w:r>
      <w:r>
        <w:rPr>
          <w:rFonts w:ascii="Times New Roman" w:hAnsi="Times New Roman" w:eastAsia="Times New Roman" w:cs="Times New Roman"/>
          <w:spacing w:val="-9"/>
          <w:position w:val="-1"/>
          <w:sz w:val="15"/>
          <w:szCs w:val="15"/>
          <w:highlight w:val="none"/>
        </w:rPr>
        <w:t xml:space="preserve"> </w:t>
      </w:r>
      <w:r>
        <w:rPr>
          <w:spacing w:val="-37"/>
          <w:highlight w:val="none"/>
        </w:rPr>
        <w:t>，</w:t>
      </w:r>
      <w:r>
        <w:rPr>
          <w:spacing w:val="-93"/>
          <w:highlight w:val="none"/>
        </w:rPr>
        <w:t xml:space="preserve"> </w:t>
      </w:r>
      <w:r>
        <w:rPr>
          <w:rFonts w:ascii="Times New Roman" w:hAnsi="Times New Roman" w:eastAsia="Times New Roman" w:cs="Times New Roman"/>
          <w:spacing w:val="-37"/>
          <w:highlight w:val="none"/>
        </w:rPr>
        <w:t>…</w:t>
      </w:r>
      <w:r>
        <w:rPr>
          <w:rFonts w:ascii="Times New Roman" w:hAnsi="Times New Roman" w:eastAsia="Times New Roman" w:cs="Times New Roman"/>
          <w:spacing w:val="-31"/>
          <w:highlight w:val="none"/>
        </w:rPr>
        <w:t xml:space="preserve"> </w:t>
      </w:r>
      <w:r>
        <w:rPr>
          <w:spacing w:val="-37"/>
          <w:highlight w:val="none"/>
        </w:rPr>
        <w:t>,</w:t>
      </w:r>
      <w:r>
        <w:rPr>
          <w:spacing w:val="62"/>
          <w:highlight w:val="none"/>
        </w:rPr>
        <w:t xml:space="preserve"> </w:t>
      </w:r>
      <w:r>
        <w:rPr>
          <w:rFonts w:ascii="Times New Roman" w:hAnsi="Times New Roman" w:eastAsia="Times New Roman" w:cs="Times New Roman"/>
          <w:spacing w:val="-37"/>
          <w:highlight w:val="none"/>
        </w:rPr>
        <w:t>Q</w:t>
      </w:r>
      <w:r>
        <w:rPr>
          <w:rFonts w:ascii="Times New Roman" w:hAnsi="Times New Roman" w:eastAsia="Times New Roman" w:cs="Times New Roman"/>
          <w:sz w:val="15"/>
          <w:szCs w:val="15"/>
          <w:highlight w:val="none"/>
        </w:rPr>
        <w:t>n</w:t>
      </w:r>
      <w:r>
        <w:rPr>
          <w:rFonts w:ascii="Times New Roman" w:hAnsi="Times New Roman" w:eastAsia="Times New Roman" w:cs="Times New Roman"/>
          <w:highlight w:val="none"/>
        </w:rPr>
        <w:t>—</w:t>
      </w:r>
      <w:r>
        <w:rPr>
          <w:highlight w:val="none"/>
        </w:rPr>
        <w:t>每种危险物质的临界量，</w:t>
      </w:r>
      <w:r>
        <w:rPr>
          <w:rFonts w:ascii="Times New Roman" w:hAnsi="Times New Roman" w:eastAsia="Times New Roman" w:cs="Times New Roman"/>
          <w:highlight w:val="none"/>
        </w:rPr>
        <w:t>t</w:t>
      </w:r>
      <w:r>
        <w:rPr>
          <w:highlight w:val="none"/>
        </w:rPr>
        <w:t>。</w:t>
      </w:r>
    </w:p>
    <w:p w14:paraId="018BBA04">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highlight w:val="none"/>
        </w:rPr>
      </w:pPr>
      <w:r>
        <w:rPr>
          <w:spacing w:val="-4"/>
          <w:highlight w:val="none"/>
        </w:rPr>
        <w:t>当</w:t>
      </w:r>
      <w:r>
        <w:rPr>
          <w:spacing w:val="-41"/>
          <w:highlight w:val="none"/>
        </w:rPr>
        <w:t xml:space="preserve"> </w:t>
      </w:r>
      <w:r>
        <w:rPr>
          <w:rFonts w:ascii="Times New Roman" w:hAnsi="Times New Roman" w:eastAsia="Times New Roman" w:cs="Times New Roman"/>
          <w:spacing w:val="-4"/>
          <w:highlight w:val="none"/>
        </w:rPr>
        <w:t>Q</w:t>
      </w:r>
      <w:r>
        <w:rPr>
          <w:spacing w:val="-4"/>
          <w:highlight w:val="none"/>
        </w:rPr>
        <w:t>＜</w:t>
      </w:r>
      <w:r>
        <w:rPr>
          <w:rFonts w:ascii="Times New Roman" w:hAnsi="Times New Roman" w:eastAsia="Times New Roman" w:cs="Times New Roman"/>
          <w:spacing w:val="-4"/>
          <w:highlight w:val="none"/>
        </w:rPr>
        <w:t>1</w:t>
      </w:r>
      <w:r>
        <w:rPr>
          <w:rFonts w:ascii="Times New Roman" w:hAnsi="Times New Roman" w:eastAsia="Times New Roman" w:cs="Times New Roman"/>
          <w:spacing w:val="20"/>
          <w:w w:val="101"/>
          <w:highlight w:val="none"/>
        </w:rPr>
        <w:t xml:space="preserve"> </w:t>
      </w:r>
      <w:r>
        <w:rPr>
          <w:spacing w:val="-4"/>
          <w:highlight w:val="none"/>
        </w:rPr>
        <w:t>时，该项目环境风险潜势为</w:t>
      </w:r>
      <w:r>
        <w:rPr>
          <w:spacing w:val="-54"/>
          <w:highlight w:val="none"/>
        </w:rPr>
        <w:t xml:space="preserve"> </w:t>
      </w:r>
      <w:r>
        <w:rPr>
          <w:rFonts w:ascii="Times New Roman" w:hAnsi="Times New Roman" w:eastAsia="Times New Roman" w:cs="Times New Roman"/>
          <w:spacing w:val="-4"/>
          <w:highlight w:val="none"/>
        </w:rPr>
        <w:t>I</w:t>
      </w:r>
      <w:r>
        <w:rPr>
          <w:spacing w:val="-4"/>
          <w:highlight w:val="none"/>
        </w:rPr>
        <w:t>。</w:t>
      </w:r>
    </w:p>
    <w:p w14:paraId="6C1E981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rPr>
          <w:rFonts w:hint="eastAsia"/>
          <w:spacing w:val="-1"/>
          <w:highlight w:val="none"/>
          <w:lang w:val="en-US" w:eastAsia="zh-CN"/>
        </w:rPr>
      </w:pPr>
      <w:r>
        <w:rPr>
          <w:spacing w:val="-1"/>
          <w:highlight w:val="none"/>
        </w:rPr>
        <w:t>当</w:t>
      </w:r>
      <w:r>
        <w:rPr>
          <w:spacing w:val="-52"/>
          <w:highlight w:val="none"/>
        </w:rPr>
        <w:t xml:space="preserve"> </w:t>
      </w:r>
      <w:r>
        <w:rPr>
          <w:rFonts w:ascii="Times New Roman" w:hAnsi="Times New Roman" w:eastAsia="Times New Roman" w:cs="Times New Roman"/>
          <w:spacing w:val="-1"/>
          <w:highlight w:val="none"/>
        </w:rPr>
        <w:t>Q≥1</w:t>
      </w:r>
      <w:r>
        <w:rPr>
          <w:rFonts w:ascii="Times New Roman" w:hAnsi="Times New Roman" w:eastAsia="Times New Roman" w:cs="Times New Roman"/>
          <w:spacing w:val="21"/>
          <w:highlight w:val="none"/>
        </w:rPr>
        <w:t xml:space="preserve"> </w:t>
      </w:r>
      <w:r>
        <w:rPr>
          <w:spacing w:val="-1"/>
          <w:highlight w:val="none"/>
        </w:rPr>
        <w:t>时，将</w:t>
      </w:r>
      <w:r>
        <w:rPr>
          <w:spacing w:val="-52"/>
          <w:highlight w:val="none"/>
        </w:rPr>
        <w:t xml:space="preserve"> </w:t>
      </w:r>
      <w:r>
        <w:rPr>
          <w:rFonts w:ascii="Times New Roman" w:hAnsi="Times New Roman" w:eastAsia="Times New Roman" w:cs="Times New Roman"/>
          <w:spacing w:val="-1"/>
          <w:highlight w:val="none"/>
        </w:rPr>
        <w:t xml:space="preserve">Q </w:t>
      </w:r>
      <w:r>
        <w:rPr>
          <w:spacing w:val="-1"/>
          <w:highlight w:val="none"/>
        </w:rPr>
        <w:t>值划分为：</w:t>
      </w:r>
      <w:r>
        <w:rPr>
          <w:rFonts w:ascii="Times New Roman" w:hAnsi="Times New Roman" w:eastAsia="Times New Roman" w:cs="Times New Roman"/>
          <w:spacing w:val="-1"/>
          <w:highlight w:val="none"/>
        </w:rPr>
        <w:t>(1)1≤Q</w:t>
      </w:r>
      <w:r>
        <w:rPr>
          <w:spacing w:val="-1"/>
          <w:highlight w:val="none"/>
        </w:rPr>
        <w:t>＜</w:t>
      </w:r>
      <w:r>
        <w:rPr>
          <w:rFonts w:ascii="Times New Roman" w:hAnsi="Times New Roman" w:eastAsia="Times New Roman" w:cs="Times New Roman"/>
          <w:spacing w:val="-1"/>
          <w:highlight w:val="none"/>
        </w:rPr>
        <w:t>10</w:t>
      </w:r>
      <w:r>
        <w:rPr>
          <w:spacing w:val="-1"/>
          <w:highlight w:val="none"/>
        </w:rPr>
        <w:t>；</w:t>
      </w:r>
      <w:r>
        <w:rPr>
          <w:rFonts w:ascii="Times New Roman" w:hAnsi="Times New Roman" w:eastAsia="Times New Roman" w:cs="Times New Roman"/>
          <w:spacing w:val="-1"/>
          <w:highlight w:val="none"/>
        </w:rPr>
        <w:t>(2</w:t>
      </w:r>
      <w:r>
        <w:rPr>
          <w:rFonts w:ascii="Times New Roman" w:hAnsi="Times New Roman" w:eastAsia="Times New Roman" w:cs="Times New Roman"/>
          <w:spacing w:val="-2"/>
          <w:highlight w:val="none"/>
        </w:rPr>
        <w:t>)10≤Q</w:t>
      </w:r>
      <w:r>
        <w:rPr>
          <w:spacing w:val="-2"/>
          <w:highlight w:val="none"/>
        </w:rPr>
        <w:t>＜</w:t>
      </w:r>
      <w:r>
        <w:rPr>
          <w:rFonts w:ascii="Times New Roman" w:hAnsi="Times New Roman" w:eastAsia="Times New Roman" w:cs="Times New Roman"/>
          <w:spacing w:val="-2"/>
          <w:highlight w:val="none"/>
        </w:rPr>
        <w:t>100</w:t>
      </w:r>
      <w:r>
        <w:rPr>
          <w:spacing w:val="-2"/>
          <w:highlight w:val="none"/>
        </w:rPr>
        <w:t>；</w:t>
      </w:r>
      <w:r>
        <w:rPr>
          <w:rFonts w:ascii="Times New Roman" w:hAnsi="Times New Roman" w:eastAsia="Times New Roman" w:cs="Times New Roman"/>
          <w:spacing w:val="-2"/>
          <w:highlight w:val="none"/>
        </w:rPr>
        <w:t>(3)Q≥100</w:t>
      </w:r>
      <w:r>
        <w:rPr>
          <w:spacing w:val="-2"/>
          <w:highlight w:val="none"/>
        </w:rPr>
        <w:t>。</w:t>
      </w:r>
    </w:p>
    <w:p w14:paraId="584BCF8B">
      <w:pPr>
        <w:pStyle w:val="2"/>
        <w:spacing w:before="192" w:line="212" w:lineRule="auto"/>
        <w:ind w:left="627"/>
        <w:jc w:val="center"/>
        <w:rPr>
          <w:rFonts w:hint="default" w:ascii="Times New Roman" w:hAnsi="Times New Roman" w:eastAsia="宋体" w:cs="Times New Roman"/>
          <w:b/>
          <w:bCs/>
          <w:spacing w:val="-4"/>
          <w:highlight w:val="none"/>
          <w:lang w:val="en-US" w:eastAsia="zh-CN"/>
        </w:rPr>
      </w:pPr>
      <w:r>
        <w:rPr>
          <w:rFonts w:hint="eastAsia" w:ascii="Times New Roman" w:hAnsi="Times New Roman" w:eastAsia="宋体" w:cs="Times New Roman"/>
          <w:b/>
          <w:bCs/>
          <w:spacing w:val="-4"/>
          <w:highlight w:val="none"/>
          <w:lang w:val="en-US" w:eastAsia="zh-CN"/>
        </w:rPr>
        <w:t>表6.</w:t>
      </w:r>
      <w:r>
        <w:rPr>
          <w:rFonts w:hint="eastAsia" w:cs="Times New Roman"/>
          <w:b/>
          <w:bCs/>
          <w:spacing w:val="-4"/>
          <w:highlight w:val="none"/>
          <w:lang w:val="en-US" w:eastAsia="zh-CN"/>
        </w:rPr>
        <w:t>9</w:t>
      </w:r>
      <w:r>
        <w:rPr>
          <w:rFonts w:hint="eastAsia" w:ascii="Times New Roman" w:hAnsi="Times New Roman" w:eastAsia="宋体" w:cs="Times New Roman"/>
          <w:b/>
          <w:bCs/>
          <w:spacing w:val="-4"/>
          <w:highlight w:val="none"/>
          <w:lang w:val="en-US" w:eastAsia="zh-CN"/>
        </w:rPr>
        <w:t>-1 项目危险物质数量、分布情况一览表</w:t>
      </w:r>
    </w:p>
    <w:tbl>
      <w:tblPr>
        <w:tblStyle w:val="23"/>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72"/>
        <w:gridCol w:w="1578"/>
        <w:gridCol w:w="1762"/>
        <w:gridCol w:w="1316"/>
        <w:gridCol w:w="1535"/>
        <w:gridCol w:w="1547"/>
      </w:tblGrid>
      <w:tr w14:paraId="0A3F4D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5FD4CB19">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highlight w:val="none"/>
                <w:u w:val="none" w:color="auto"/>
              </w:rPr>
            </w:pPr>
            <w:r>
              <w:rPr>
                <w:rFonts w:hint="default" w:ascii="Times New Roman" w:hAnsi="Times New Roman" w:eastAsia="宋体" w:cs="Times New Roman"/>
                <w:b/>
                <w:bCs w:val="0"/>
                <w:snapToGrid w:val="0"/>
                <w:color w:val="auto"/>
                <w:sz w:val="21"/>
                <w:szCs w:val="21"/>
                <w:highlight w:val="none"/>
                <w:u w:val="none" w:color="auto"/>
              </w:rPr>
              <w:t>序号</w:t>
            </w:r>
          </w:p>
        </w:tc>
        <w:tc>
          <w:tcPr>
            <w:tcW w:w="927" w:type="pct"/>
            <w:tcBorders>
              <w:tl2br w:val="nil"/>
              <w:tr2bl w:val="nil"/>
            </w:tcBorders>
            <w:vAlign w:val="center"/>
          </w:tcPr>
          <w:p w14:paraId="01805EB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highlight w:val="none"/>
                <w:u w:val="none" w:color="auto"/>
              </w:rPr>
            </w:pPr>
            <w:r>
              <w:rPr>
                <w:rFonts w:hint="default" w:ascii="Times New Roman" w:hAnsi="Times New Roman" w:eastAsia="宋体" w:cs="Times New Roman"/>
                <w:b/>
                <w:bCs w:val="0"/>
                <w:snapToGrid w:val="0"/>
                <w:color w:val="auto"/>
                <w:sz w:val="21"/>
                <w:szCs w:val="21"/>
                <w:highlight w:val="none"/>
                <w:u w:val="none" w:color="auto"/>
              </w:rPr>
              <w:t>物</w:t>
            </w:r>
            <w:r>
              <w:rPr>
                <w:rFonts w:hint="eastAsia" w:ascii="Times New Roman" w:hAnsi="Times New Roman" w:eastAsia="宋体" w:cs="Times New Roman"/>
                <w:b/>
                <w:bCs w:val="0"/>
                <w:snapToGrid w:val="0"/>
                <w:color w:val="auto"/>
                <w:sz w:val="21"/>
                <w:szCs w:val="21"/>
                <w:highlight w:val="none"/>
                <w:u w:val="none" w:color="auto"/>
                <w:lang w:val="en-US" w:eastAsia="zh-CN"/>
              </w:rPr>
              <w:t>质</w:t>
            </w:r>
            <w:r>
              <w:rPr>
                <w:rFonts w:hint="default" w:ascii="Times New Roman" w:hAnsi="Times New Roman" w:eastAsia="宋体" w:cs="Times New Roman"/>
                <w:b/>
                <w:bCs w:val="0"/>
                <w:snapToGrid w:val="0"/>
                <w:color w:val="auto"/>
                <w:sz w:val="21"/>
                <w:szCs w:val="21"/>
                <w:highlight w:val="none"/>
                <w:u w:val="none" w:color="auto"/>
              </w:rPr>
              <w:t>名称</w:t>
            </w:r>
          </w:p>
        </w:tc>
        <w:tc>
          <w:tcPr>
            <w:tcW w:w="1035" w:type="pct"/>
            <w:tcBorders>
              <w:tl2br w:val="nil"/>
              <w:tr2bl w:val="nil"/>
            </w:tcBorders>
            <w:vAlign w:val="center"/>
          </w:tcPr>
          <w:p w14:paraId="111E3DA1">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u w:val="none" w:color="auto"/>
                <w:lang w:val="en-US" w:eastAsia="zh-CN" w:bidi="ar"/>
              </w:rPr>
            </w:pPr>
            <w:r>
              <w:rPr>
                <w:rFonts w:hint="eastAsia" w:ascii="Times New Roman" w:hAnsi="Times New Roman" w:eastAsia="宋体" w:cs="Times New Roman"/>
                <w:b/>
                <w:bCs w:val="0"/>
                <w:color w:val="auto"/>
                <w:kern w:val="2"/>
                <w:sz w:val="21"/>
                <w:szCs w:val="21"/>
                <w:highlight w:val="none"/>
                <w:u w:val="none" w:color="auto"/>
                <w:lang w:val="en-US" w:eastAsia="zh-CN" w:bidi="ar"/>
              </w:rPr>
              <w:t>具体位置</w:t>
            </w:r>
          </w:p>
        </w:tc>
        <w:tc>
          <w:tcPr>
            <w:tcW w:w="773" w:type="pct"/>
            <w:tcBorders>
              <w:tl2br w:val="nil"/>
              <w:tr2bl w:val="nil"/>
            </w:tcBorders>
            <w:vAlign w:val="center"/>
          </w:tcPr>
          <w:p w14:paraId="050DC60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bCs w:val="0"/>
                <w:color w:val="auto"/>
                <w:kern w:val="2"/>
                <w:sz w:val="21"/>
                <w:szCs w:val="21"/>
                <w:highlight w:val="none"/>
                <w:u w:val="none" w:color="auto"/>
                <w:lang w:val="en-US" w:eastAsia="zh-CN" w:bidi="ar"/>
              </w:rPr>
            </w:pPr>
            <w:r>
              <w:rPr>
                <w:rFonts w:hint="eastAsia" w:ascii="Times New Roman" w:hAnsi="Times New Roman" w:eastAsia="宋体" w:cs="Times New Roman"/>
                <w:b/>
                <w:bCs w:val="0"/>
                <w:color w:val="auto"/>
                <w:kern w:val="2"/>
                <w:sz w:val="21"/>
                <w:szCs w:val="21"/>
                <w:highlight w:val="none"/>
                <w:u w:val="none" w:color="auto"/>
                <w:lang w:val="en-US" w:eastAsia="zh-CN" w:bidi="ar"/>
              </w:rPr>
              <w:t>最大储存量</w:t>
            </w: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r>
              <w:rPr>
                <w:rFonts w:hint="eastAsia" w:ascii="Times New Roman" w:hAnsi="Times New Roman" w:eastAsia="宋体" w:cs="Times New Roman"/>
                <w:b/>
                <w:bCs w:val="0"/>
                <w:color w:val="auto"/>
                <w:kern w:val="2"/>
                <w:sz w:val="21"/>
                <w:szCs w:val="21"/>
                <w:highlight w:val="none"/>
                <w:u w:val="none" w:color="auto"/>
                <w:lang w:val="en-US" w:eastAsia="zh-CN" w:bidi="ar"/>
              </w:rPr>
              <w:t>（t）</w:t>
            </w:r>
          </w:p>
        </w:tc>
        <w:tc>
          <w:tcPr>
            <w:tcW w:w="901" w:type="pct"/>
            <w:tcBorders>
              <w:tl2br w:val="nil"/>
              <w:tr2bl w:val="nil"/>
            </w:tcBorders>
            <w:vAlign w:val="center"/>
          </w:tcPr>
          <w:p w14:paraId="1BE19C52">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u w:val="none" w:color="auto"/>
                <w:lang w:val="en-US" w:eastAsia="zh-CN" w:bidi="ar"/>
              </w:rPr>
            </w:pPr>
            <w:r>
              <w:rPr>
                <w:rFonts w:hint="eastAsia" w:ascii="Times New Roman" w:hAnsi="Times New Roman" w:eastAsia="宋体" w:cs="Times New Roman"/>
                <w:b/>
                <w:bCs w:val="0"/>
                <w:color w:val="auto"/>
                <w:kern w:val="2"/>
                <w:sz w:val="21"/>
                <w:szCs w:val="21"/>
                <w:highlight w:val="none"/>
                <w:u w:val="none" w:color="auto"/>
                <w:lang w:val="en-US" w:eastAsia="zh-CN" w:bidi="ar"/>
              </w:rPr>
              <w:t>临界量</w:t>
            </w: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r>
              <w:rPr>
                <w:rFonts w:hint="eastAsia" w:ascii="Times New Roman" w:hAnsi="Times New Roman" w:eastAsia="宋体" w:cs="Times New Roman"/>
                <w:b/>
                <w:bCs w:val="0"/>
                <w:color w:val="auto"/>
                <w:kern w:val="2"/>
                <w:sz w:val="21"/>
                <w:szCs w:val="21"/>
                <w:highlight w:val="none"/>
                <w:u w:val="none" w:color="auto"/>
                <w:lang w:val="en-US" w:eastAsia="zh-CN" w:bidi="ar"/>
              </w:rPr>
              <w:t>（t）</w:t>
            </w:r>
          </w:p>
        </w:tc>
        <w:tc>
          <w:tcPr>
            <w:tcW w:w="908" w:type="pct"/>
            <w:tcBorders>
              <w:tl2br w:val="nil"/>
              <w:tr2bl w:val="nil"/>
            </w:tcBorders>
            <w:vAlign w:val="center"/>
          </w:tcPr>
          <w:p w14:paraId="5378CA39">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bCs w:val="0"/>
                <w:color w:val="auto"/>
                <w:kern w:val="2"/>
                <w:sz w:val="21"/>
                <w:szCs w:val="21"/>
                <w:highlight w:val="none"/>
                <w:u w:val="none" w:color="auto"/>
                <w:lang w:val="en-US" w:eastAsia="zh-CN" w:bidi="ar"/>
              </w:rPr>
            </w:pP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r>
              <w:rPr>
                <w:rFonts w:hint="default" w:ascii="Times New Roman" w:hAnsi="Times New Roman" w:eastAsia="宋体" w:cs="Times New Roman"/>
                <w:b/>
                <w:bCs w:val="0"/>
                <w:i w:val="0"/>
                <w:color w:val="auto"/>
                <w:kern w:val="0"/>
                <w:sz w:val="21"/>
                <w:szCs w:val="21"/>
                <w:highlight w:val="none"/>
                <w:u w:val="none" w:color="auto"/>
                <w:lang w:val="en-US" w:eastAsia="zh-CN" w:bidi="ar"/>
              </w:rPr>
              <w:t>/Q</w:t>
            </w:r>
            <w:r>
              <w:rPr>
                <w:rFonts w:hint="eastAsia" w:ascii="Times New Roman" w:hAnsi="Times New Roman" w:eastAsia="宋体" w:cs="Times New Roman"/>
                <w:b/>
                <w:bCs w:val="0"/>
                <w:i w:val="0"/>
                <w:color w:val="auto"/>
                <w:kern w:val="0"/>
                <w:sz w:val="21"/>
                <w:szCs w:val="21"/>
                <w:highlight w:val="none"/>
                <w:u w:val="none" w:color="auto"/>
                <w:vertAlign w:val="subscript"/>
                <w:lang w:val="en-US" w:eastAsia="zh-CN" w:bidi="ar"/>
              </w:rPr>
              <w:t>n</w:t>
            </w:r>
          </w:p>
        </w:tc>
      </w:tr>
      <w:tr w14:paraId="5CAAD0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7ACF2D33">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1</w:t>
            </w:r>
          </w:p>
        </w:tc>
        <w:tc>
          <w:tcPr>
            <w:tcW w:w="927" w:type="pct"/>
            <w:tcBorders>
              <w:tl2br w:val="nil"/>
              <w:tr2bl w:val="nil"/>
            </w:tcBorders>
            <w:vAlign w:val="center"/>
          </w:tcPr>
          <w:p w14:paraId="795EB379">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废活性炭</w:t>
            </w:r>
          </w:p>
        </w:tc>
        <w:tc>
          <w:tcPr>
            <w:tcW w:w="1035" w:type="pct"/>
            <w:vMerge w:val="restart"/>
            <w:tcBorders>
              <w:tl2br w:val="nil"/>
              <w:tr2bl w:val="nil"/>
            </w:tcBorders>
            <w:vAlign w:val="center"/>
          </w:tcPr>
          <w:p w14:paraId="0C220F1D">
            <w:pPr>
              <w:keepNext w:val="0"/>
              <w:keepLines w:val="0"/>
              <w:widowControl/>
              <w:suppressLineNumbers w:val="0"/>
              <w:ind w:left="0" w:leftChars="0" w:firstLine="0" w:firstLineChars="0"/>
              <w:jc w:val="left"/>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危险废物暂存间</w:t>
            </w:r>
          </w:p>
        </w:tc>
        <w:tc>
          <w:tcPr>
            <w:tcW w:w="773" w:type="pct"/>
            <w:tcBorders>
              <w:tl2br w:val="nil"/>
              <w:tr2bl w:val="nil"/>
            </w:tcBorders>
            <w:vAlign w:val="center"/>
          </w:tcPr>
          <w:p w14:paraId="29B5F94E">
            <w:pPr>
              <w:keepNext w:val="0"/>
              <w:keepLines w:val="0"/>
              <w:widowControl/>
              <w:suppressLineNumbers w:val="0"/>
              <w:ind w:firstLine="420" w:firstLineChars="200"/>
              <w:jc w:val="left"/>
              <w:rPr>
                <w:rFonts w:hint="eastAsia"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0.4</w:t>
            </w:r>
          </w:p>
        </w:tc>
        <w:tc>
          <w:tcPr>
            <w:tcW w:w="901" w:type="pct"/>
            <w:tcBorders>
              <w:tl2br w:val="nil"/>
              <w:tr2bl w:val="nil"/>
            </w:tcBorders>
            <w:vAlign w:val="center"/>
          </w:tcPr>
          <w:p w14:paraId="4145BC5C">
            <w:pPr>
              <w:keepNext w:val="0"/>
              <w:keepLines w:val="0"/>
              <w:widowControl/>
              <w:suppressLineNumbers w:val="0"/>
              <w:ind w:firstLine="420" w:firstLineChars="200"/>
              <w:jc w:val="left"/>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50</w:t>
            </w:r>
          </w:p>
        </w:tc>
        <w:tc>
          <w:tcPr>
            <w:tcW w:w="908" w:type="pct"/>
            <w:tcBorders>
              <w:tl2br w:val="nil"/>
              <w:tr2bl w:val="nil"/>
            </w:tcBorders>
            <w:vAlign w:val="center"/>
          </w:tcPr>
          <w:p w14:paraId="6B792F18">
            <w:pPr>
              <w:keepNext w:val="0"/>
              <w:keepLines w:val="0"/>
              <w:widowControl/>
              <w:suppressLineNumbers w:val="0"/>
              <w:ind w:firstLine="420" w:firstLineChars="200"/>
              <w:jc w:val="left"/>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0.008</w:t>
            </w:r>
          </w:p>
        </w:tc>
      </w:tr>
      <w:tr w14:paraId="695B2B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0741D48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2</w:t>
            </w:r>
          </w:p>
        </w:tc>
        <w:tc>
          <w:tcPr>
            <w:tcW w:w="927" w:type="pct"/>
            <w:tcBorders>
              <w:tl2br w:val="nil"/>
              <w:tr2bl w:val="nil"/>
            </w:tcBorders>
            <w:vAlign w:val="center"/>
          </w:tcPr>
          <w:p w14:paraId="55B973F9">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废导热油</w:t>
            </w:r>
          </w:p>
        </w:tc>
        <w:tc>
          <w:tcPr>
            <w:tcW w:w="1035" w:type="pct"/>
            <w:vMerge w:val="continue"/>
            <w:tcBorders>
              <w:tl2br w:val="nil"/>
              <w:tr2bl w:val="nil"/>
            </w:tcBorders>
            <w:vAlign w:val="center"/>
          </w:tcPr>
          <w:p w14:paraId="4798AB76">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p>
        </w:tc>
        <w:tc>
          <w:tcPr>
            <w:tcW w:w="773" w:type="pct"/>
            <w:tcBorders>
              <w:tl2br w:val="nil"/>
              <w:tr2bl w:val="nil"/>
            </w:tcBorders>
            <w:vAlign w:val="center"/>
          </w:tcPr>
          <w:p w14:paraId="5904B872">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0.9</w:t>
            </w:r>
          </w:p>
        </w:tc>
        <w:tc>
          <w:tcPr>
            <w:tcW w:w="901" w:type="pct"/>
            <w:tcBorders>
              <w:tl2br w:val="nil"/>
              <w:tr2bl w:val="nil"/>
            </w:tcBorders>
            <w:vAlign w:val="center"/>
          </w:tcPr>
          <w:p w14:paraId="492894A2">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2500</w:t>
            </w:r>
          </w:p>
        </w:tc>
        <w:tc>
          <w:tcPr>
            <w:tcW w:w="908" w:type="pct"/>
            <w:tcBorders>
              <w:tl2br w:val="nil"/>
              <w:tr2bl w:val="nil"/>
            </w:tcBorders>
            <w:vAlign w:val="center"/>
          </w:tcPr>
          <w:p w14:paraId="5D3B7130">
            <w:pPr>
              <w:keepNext w:val="0"/>
              <w:keepLines w:val="0"/>
              <w:pageBreakBefore w:val="0"/>
              <w:kinsoku/>
              <w:wordWrap/>
              <w:overflowPunct/>
              <w:topLinePunct w:val="0"/>
              <w:bidi w:val="0"/>
              <w:adjustRightInd/>
              <w:snapToGrid w:val="0"/>
              <w:spacing w:line="240" w:lineRule="auto"/>
              <w:ind w:firstLine="420" w:firstLineChars="20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0.00036</w:t>
            </w:r>
          </w:p>
        </w:tc>
      </w:tr>
      <w:tr w14:paraId="34E6C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54" w:type="pct"/>
            <w:tcBorders>
              <w:tl2br w:val="nil"/>
              <w:tr2bl w:val="nil"/>
            </w:tcBorders>
            <w:vAlign w:val="center"/>
          </w:tcPr>
          <w:p w14:paraId="14BBD96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3</w:t>
            </w:r>
          </w:p>
        </w:tc>
        <w:tc>
          <w:tcPr>
            <w:tcW w:w="927" w:type="pct"/>
            <w:tcBorders>
              <w:tl2br w:val="nil"/>
              <w:tr2bl w:val="nil"/>
            </w:tcBorders>
            <w:vAlign w:val="center"/>
          </w:tcPr>
          <w:p w14:paraId="40B8677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highlight w:val="none"/>
                <w:u w:val="none" w:color="auto"/>
                <w:lang w:val="en-US" w:eastAsia="zh-CN"/>
              </w:rPr>
            </w:pPr>
            <w:r>
              <w:rPr>
                <w:rFonts w:hint="eastAsia" w:ascii="Times New Roman" w:hAnsi="Times New Roman" w:eastAsia="宋体" w:cs="Times New Roman"/>
                <w:b w:val="0"/>
                <w:bCs/>
                <w:snapToGrid w:val="0"/>
                <w:color w:val="auto"/>
                <w:sz w:val="21"/>
                <w:szCs w:val="21"/>
                <w:highlight w:val="none"/>
                <w:u w:val="none" w:color="auto"/>
                <w:lang w:val="en-US" w:eastAsia="zh-CN"/>
              </w:rPr>
              <w:t>实验室废液</w:t>
            </w:r>
          </w:p>
        </w:tc>
        <w:tc>
          <w:tcPr>
            <w:tcW w:w="1035" w:type="pct"/>
            <w:vMerge w:val="continue"/>
            <w:tcBorders>
              <w:tl2br w:val="nil"/>
              <w:tr2bl w:val="nil"/>
            </w:tcBorders>
            <w:vAlign w:val="center"/>
          </w:tcPr>
          <w:p w14:paraId="6AD61BD0">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p>
        </w:tc>
        <w:tc>
          <w:tcPr>
            <w:tcW w:w="773" w:type="pct"/>
            <w:tcBorders>
              <w:tl2br w:val="nil"/>
              <w:tr2bl w:val="nil"/>
            </w:tcBorders>
            <w:vAlign w:val="center"/>
          </w:tcPr>
          <w:p w14:paraId="683FA602">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0.06</w:t>
            </w:r>
          </w:p>
        </w:tc>
        <w:tc>
          <w:tcPr>
            <w:tcW w:w="901" w:type="pct"/>
            <w:tcBorders>
              <w:tl2br w:val="nil"/>
              <w:tr2bl w:val="nil"/>
            </w:tcBorders>
            <w:vAlign w:val="center"/>
          </w:tcPr>
          <w:p w14:paraId="1BA8C5A3">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50</w:t>
            </w:r>
          </w:p>
        </w:tc>
        <w:tc>
          <w:tcPr>
            <w:tcW w:w="908" w:type="pct"/>
            <w:tcBorders>
              <w:tl2br w:val="nil"/>
              <w:tr2bl w:val="nil"/>
            </w:tcBorders>
            <w:vAlign w:val="center"/>
          </w:tcPr>
          <w:p w14:paraId="395131D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0.0012</w:t>
            </w:r>
          </w:p>
        </w:tc>
      </w:tr>
      <w:tr w14:paraId="5A487B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4091" w:type="pct"/>
            <w:gridSpan w:val="5"/>
            <w:tcBorders>
              <w:tl2br w:val="nil"/>
              <w:tr2bl w:val="nil"/>
            </w:tcBorders>
            <w:vAlign w:val="center"/>
          </w:tcPr>
          <w:p w14:paraId="1F60041A">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项目Q值合计</w:t>
            </w:r>
          </w:p>
        </w:tc>
        <w:tc>
          <w:tcPr>
            <w:tcW w:w="908" w:type="pct"/>
            <w:tcBorders>
              <w:tl2br w:val="nil"/>
              <w:tr2bl w:val="nil"/>
            </w:tcBorders>
            <w:vAlign w:val="center"/>
          </w:tcPr>
          <w:p w14:paraId="409D14DD">
            <w:pPr>
              <w:keepNext w:val="0"/>
              <w:keepLines w:val="0"/>
              <w:pageBreakBefore w:val="0"/>
              <w:kinsoku/>
              <w:wordWrap/>
              <w:overflowPunct/>
              <w:topLinePunct w:val="0"/>
              <w:bidi w:val="0"/>
              <w:adjustRightInd/>
              <w:snapToGrid w:val="0"/>
              <w:spacing w:line="240" w:lineRule="auto"/>
              <w:ind w:firstLine="0" w:firstLineChars="0"/>
              <w:jc w:val="both"/>
              <w:textAlignment w:val="auto"/>
              <w:rPr>
                <w:rFonts w:hint="default" w:ascii="Times New Roman" w:hAnsi="Times New Roman" w:eastAsia="宋体" w:cs="Times New Roman"/>
                <w:b w:val="0"/>
                <w:bCs/>
                <w:color w:val="auto"/>
                <w:kern w:val="2"/>
                <w:sz w:val="21"/>
                <w:szCs w:val="21"/>
                <w:highlight w:val="none"/>
                <w:u w:val="none" w:color="auto"/>
                <w:lang w:val="en-US" w:eastAsia="zh-CN" w:bidi="ar"/>
              </w:rPr>
            </w:pPr>
            <w:r>
              <w:rPr>
                <w:rFonts w:hint="eastAsia" w:ascii="Times New Roman" w:hAnsi="Times New Roman" w:eastAsia="宋体" w:cs="Times New Roman"/>
                <w:b w:val="0"/>
                <w:bCs/>
                <w:color w:val="auto"/>
                <w:kern w:val="2"/>
                <w:sz w:val="21"/>
                <w:szCs w:val="21"/>
                <w:highlight w:val="none"/>
                <w:u w:val="none" w:color="auto"/>
                <w:lang w:val="en-US" w:eastAsia="zh-CN" w:bidi="ar"/>
              </w:rPr>
              <w:t>0.00956</w:t>
            </w:r>
          </w:p>
        </w:tc>
      </w:tr>
      <w:tr w14:paraId="2B05A3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40" w:hRule="atLeast"/>
        </w:trPr>
        <w:tc>
          <w:tcPr>
            <w:tcW w:w="5000" w:type="pct"/>
            <w:gridSpan w:val="6"/>
            <w:tcBorders>
              <w:tl2br w:val="nil"/>
              <w:tr2bl w:val="nil"/>
            </w:tcBorders>
            <w:vAlign w:val="center"/>
          </w:tcPr>
          <w:p w14:paraId="77BE1C5E">
            <w:pPr>
              <w:keepNext w:val="0"/>
              <w:keepLines w:val="0"/>
              <w:widowControl/>
              <w:suppressLineNumbers w:val="0"/>
              <w:jc w:val="left"/>
              <w:rPr>
                <w:rFonts w:hint="eastAsia" w:ascii="Times New Roman" w:hAnsi="Times New Roman" w:eastAsia="宋体" w:cs="Times New Roman"/>
                <w:b w:val="0"/>
                <w:bCs/>
                <w:color w:val="auto"/>
                <w:kern w:val="2"/>
                <w:sz w:val="21"/>
                <w:szCs w:val="21"/>
                <w:highlight w:val="none"/>
                <w:u w:val="none" w:color="auto"/>
                <w:lang w:val="en-US" w:eastAsia="zh-CN" w:bidi="ar"/>
              </w:rPr>
            </w:pPr>
            <w:r>
              <w:rPr>
                <w:rFonts w:hint="eastAsia" w:ascii="宋体" w:hAnsi="宋体" w:eastAsia="宋体" w:cs="宋体"/>
                <w:b w:val="0"/>
                <w:bCs/>
                <w:color w:val="000000"/>
                <w:kern w:val="0"/>
                <w:sz w:val="18"/>
                <w:szCs w:val="18"/>
                <w:highlight w:val="none"/>
                <w:lang w:val="en-US" w:eastAsia="zh-CN" w:bidi="ar"/>
              </w:rPr>
              <w:t xml:space="preserve">废活性炭和实验室废液临界量参照健康危险急性毒性物质（类别 </w:t>
            </w:r>
            <w:r>
              <w:rPr>
                <w:rFonts w:hint="default" w:ascii="Times New Roman" w:hAnsi="Times New Roman" w:eastAsia="宋体" w:cs="Times New Roman"/>
                <w:b w:val="0"/>
                <w:bCs/>
                <w:color w:val="000000"/>
                <w:kern w:val="0"/>
                <w:sz w:val="18"/>
                <w:szCs w:val="18"/>
                <w:highlight w:val="none"/>
                <w:lang w:val="en-US" w:eastAsia="zh-CN" w:bidi="ar"/>
              </w:rPr>
              <w:t>2</w:t>
            </w:r>
            <w:r>
              <w:rPr>
                <w:rFonts w:hint="eastAsia" w:ascii="宋体" w:hAnsi="宋体" w:eastAsia="宋体" w:cs="宋体"/>
                <w:b w:val="0"/>
                <w:bCs/>
                <w:color w:val="000000"/>
                <w:kern w:val="0"/>
                <w:sz w:val="18"/>
                <w:szCs w:val="18"/>
                <w:highlight w:val="none"/>
                <w:lang w:val="en-US" w:eastAsia="zh-CN" w:bidi="ar"/>
              </w:rPr>
              <w:t xml:space="preserve">，类别 </w:t>
            </w:r>
            <w:r>
              <w:rPr>
                <w:rFonts w:hint="default" w:ascii="Times New Roman" w:hAnsi="Times New Roman" w:eastAsia="宋体" w:cs="Times New Roman"/>
                <w:b w:val="0"/>
                <w:bCs/>
                <w:color w:val="000000"/>
                <w:kern w:val="0"/>
                <w:sz w:val="18"/>
                <w:szCs w:val="18"/>
                <w:highlight w:val="none"/>
                <w:lang w:val="en-US" w:eastAsia="zh-CN" w:bidi="ar"/>
              </w:rPr>
              <w:t>3</w:t>
            </w:r>
            <w:r>
              <w:rPr>
                <w:rFonts w:hint="eastAsia" w:ascii="宋体" w:hAnsi="宋体" w:eastAsia="宋体" w:cs="宋体"/>
                <w:b w:val="0"/>
                <w:bCs/>
                <w:color w:val="000000"/>
                <w:kern w:val="0"/>
                <w:sz w:val="18"/>
                <w:szCs w:val="18"/>
                <w:highlight w:val="none"/>
                <w:lang w:val="en-US" w:eastAsia="zh-CN" w:bidi="ar"/>
              </w:rPr>
              <w:t>）</w:t>
            </w:r>
          </w:p>
        </w:tc>
      </w:tr>
    </w:tbl>
    <w:p w14:paraId="1458D9AA">
      <w:pPr>
        <w:keepNext w:val="0"/>
        <w:keepLines w:val="0"/>
        <w:widowControl/>
        <w:suppressLineNumbers w:val="0"/>
        <w:jc w:val="left"/>
        <w:rPr>
          <w:rFonts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由上表得知，本项目突发环境风险物质最大贮存量与临界量的比值Q=0.00956＜1，该项目环境风险潜势为Ⅰ。</w:t>
      </w:r>
    </w:p>
    <w:p w14:paraId="11B03ACE">
      <w:pPr>
        <w:keepNext w:val="0"/>
        <w:keepLines w:val="0"/>
        <w:widowControl/>
        <w:suppressLineNumbers w:val="0"/>
        <w:jc w:val="left"/>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对比《危险化学品重大危险源辨识》（GB18218-2018）本项目建成后不存在重大风险源。</w:t>
      </w:r>
    </w:p>
    <w:p w14:paraId="0145861C">
      <w:pPr>
        <w:keepNext w:val="0"/>
        <w:keepLines w:val="0"/>
        <w:pageBreakBefore w:val="0"/>
        <w:widowControl/>
        <w:suppressLineNumbers w:val="0"/>
        <w:kinsoku/>
        <w:wordWrap/>
        <w:overflowPunct/>
        <w:topLinePunct w:val="0"/>
        <w:autoSpaceDE/>
        <w:autoSpaceDN/>
        <w:bidi w:val="0"/>
        <w:adjustRightInd/>
        <w:snapToGrid/>
        <w:ind w:left="0"/>
        <w:jc w:val="left"/>
        <w:textAlignment w:val="auto"/>
        <w:rPr>
          <w:rFonts w:hint="eastAsia" w:ascii="Times New Roman" w:hAnsi="Times New Roman" w:eastAsia="宋体" w:cs="Times New Roman"/>
          <w:b/>
          <w:bCs/>
          <w:spacing w:val="-1"/>
          <w:kern w:val="0"/>
          <w:sz w:val="24"/>
          <w:szCs w:val="20"/>
          <w:highlight w:val="none"/>
          <w:lang w:val="en-US" w:eastAsia="zh-CN" w:bidi="ar-SA"/>
        </w:rPr>
      </w:pPr>
      <w:r>
        <w:rPr>
          <w:rFonts w:hint="eastAsia" w:ascii="Times New Roman" w:hAnsi="Times New Roman" w:eastAsia="宋体" w:cs="Times New Roman"/>
          <w:b/>
          <w:bCs/>
          <w:spacing w:val="-1"/>
          <w:kern w:val="0"/>
          <w:sz w:val="24"/>
          <w:szCs w:val="20"/>
          <w:highlight w:val="none"/>
          <w:lang w:val="en-US" w:eastAsia="zh-CN" w:bidi="ar-SA"/>
        </w:rPr>
        <w:t>（3）环境风险评价等级确定</w:t>
      </w:r>
    </w:p>
    <w:p w14:paraId="1D1D4C52">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auto"/>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根据《建设项目环境风险评价技术导则》（HJ 169-2018）中评价工作等级的划分依据，最终确定项目环境风险评价工作等级为进行简单分析。</w:t>
      </w:r>
    </w:p>
    <w:p w14:paraId="15DFFBB9">
      <w:pPr>
        <w:keepNext w:val="0"/>
        <w:keepLines w:val="0"/>
        <w:pageBreakBefore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bCs/>
          <w:spacing w:val="-4"/>
          <w:kern w:val="0"/>
          <w:sz w:val="24"/>
          <w:szCs w:val="20"/>
          <w:highlight w:val="none"/>
          <w:lang w:val="en-US" w:eastAsia="zh-CN" w:bidi="ar-SA"/>
        </w:rPr>
      </w:pPr>
    </w:p>
    <w:p w14:paraId="7860BA51">
      <w:pPr>
        <w:keepNext w:val="0"/>
        <w:keepLines w:val="0"/>
        <w:pageBreakBefore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bCs/>
          <w:spacing w:val="-4"/>
          <w:kern w:val="0"/>
          <w:sz w:val="24"/>
          <w:szCs w:val="20"/>
          <w:highlight w:val="none"/>
          <w:lang w:val="en-US" w:eastAsia="zh-CN" w:bidi="ar-SA"/>
        </w:rPr>
      </w:pPr>
    </w:p>
    <w:p w14:paraId="2FA80E50">
      <w:pPr>
        <w:keepNext w:val="0"/>
        <w:keepLines w:val="0"/>
        <w:pageBreakBefore w:val="0"/>
        <w:kinsoku/>
        <w:wordWrap/>
        <w:overflowPunct/>
        <w:topLinePunct w:val="0"/>
        <w:autoSpaceDE/>
        <w:autoSpaceDN/>
        <w:bidi w:val="0"/>
        <w:adjustRightInd/>
        <w:snapToGrid/>
        <w:spacing w:line="360" w:lineRule="auto"/>
        <w:ind w:left="0"/>
        <w:jc w:val="center"/>
        <w:textAlignment w:val="auto"/>
        <w:rPr>
          <w:rFonts w:hint="eastAsia" w:ascii="Times New Roman" w:hAnsi="Times New Roman" w:eastAsia="宋体" w:cs="Times New Roman"/>
          <w:b/>
          <w:bCs/>
          <w:spacing w:val="-4"/>
          <w:kern w:val="0"/>
          <w:sz w:val="24"/>
          <w:szCs w:val="20"/>
          <w:highlight w:val="none"/>
          <w:lang w:val="en-US" w:eastAsia="zh-CN" w:bidi="ar-SA"/>
        </w:rPr>
      </w:pPr>
      <w:r>
        <w:rPr>
          <w:rFonts w:hint="eastAsia" w:ascii="Times New Roman" w:hAnsi="Times New Roman" w:eastAsia="宋体" w:cs="Times New Roman"/>
          <w:b/>
          <w:bCs/>
          <w:spacing w:val="-4"/>
          <w:kern w:val="0"/>
          <w:sz w:val="24"/>
          <w:szCs w:val="20"/>
          <w:highlight w:val="none"/>
          <w:lang w:val="en-US" w:eastAsia="zh-CN" w:bidi="ar-SA"/>
        </w:rPr>
        <w:t>表6.</w:t>
      </w:r>
      <w:r>
        <w:rPr>
          <w:rFonts w:hint="eastAsia" w:eastAsia="宋体" w:cs="Times New Roman"/>
          <w:b/>
          <w:bCs/>
          <w:spacing w:val="-4"/>
          <w:kern w:val="0"/>
          <w:sz w:val="24"/>
          <w:szCs w:val="20"/>
          <w:highlight w:val="none"/>
          <w:lang w:val="en-US" w:eastAsia="zh-CN" w:bidi="ar-SA"/>
        </w:rPr>
        <w:t>9</w:t>
      </w:r>
      <w:r>
        <w:rPr>
          <w:rFonts w:hint="eastAsia" w:ascii="Times New Roman" w:hAnsi="Times New Roman" w:eastAsia="宋体" w:cs="Times New Roman"/>
          <w:b/>
          <w:bCs/>
          <w:spacing w:val="-4"/>
          <w:kern w:val="0"/>
          <w:sz w:val="24"/>
          <w:szCs w:val="20"/>
          <w:highlight w:val="none"/>
          <w:lang w:val="en-US" w:eastAsia="zh-CN" w:bidi="ar-SA"/>
        </w:rPr>
        <w:t>-2   环境风险评价等级划分表</w:t>
      </w:r>
    </w:p>
    <w:p w14:paraId="56C4166A">
      <w:pPr>
        <w:spacing w:line="144" w:lineRule="exact"/>
        <w:rPr>
          <w:highlight w:val="none"/>
        </w:rPr>
      </w:pPr>
    </w:p>
    <w:tbl>
      <w:tblPr>
        <w:tblStyle w:val="37"/>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669"/>
        <w:gridCol w:w="1657"/>
        <w:gridCol w:w="1657"/>
        <w:gridCol w:w="1657"/>
        <w:gridCol w:w="1672"/>
      </w:tblGrid>
      <w:tr w14:paraId="73326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1003" w:type="pct"/>
            <w:tcBorders>
              <w:tl2br w:val="nil"/>
              <w:tr2bl w:val="nil"/>
            </w:tcBorders>
            <w:vAlign w:val="center"/>
          </w:tcPr>
          <w:p w14:paraId="5D6C81D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8"/>
                <w:highlight w:val="none"/>
              </w:rPr>
              <w:t>环境风险潜势</w:t>
            </w:r>
          </w:p>
        </w:tc>
        <w:tc>
          <w:tcPr>
            <w:tcW w:w="996" w:type="pct"/>
            <w:tcBorders>
              <w:tl2br w:val="nil"/>
              <w:tr2bl w:val="nil"/>
            </w:tcBorders>
            <w:vAlign w:val="center"/>
          </w:tcPr>
          <w:p w14:paraId="2CED41E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highlight w:val="none"/>
              </w:rPr>
            </w:pPr>
            <w:r>
              <w:rPr>
                <w:rFonts w:ascii="Times New Roman" w:hAnsi="Times New Roman" w:eastAsia="Times New Roman" w:cs="Times New Roman"/>
                <w:spacing w:val="1"/>
                <w:highlight w:val="none"/>
              </w:rPr>
              <w:t>Ⅳ</w:t>
            </w:r>
            <w:r>
              <w:rPr>
                <w:rFonts w:ascii="Times New Roman" w:hAnsi="Times New Roman" w:eastAsia="Times New Roman" w:cs="Times New Roman"/>
                <w:spacing w:val="-26"/>
                <w:highlight w:val="none"/>
              </w:rPr>
              <w:t xml:space="preserve"> </w:t>
            </w:r>
            <w:r>
              <w:rPr>
                <w:spacing w:val="1"/>
                <w:highlight w:val="none"/>
              </w:rPr>
              <w:t>、</w:t>
            </w:r>
            <w:r>
              <w:rPr>
                <w:rFonts w:ascii="Times New Roman" w:hAnsi="Times New Roman" w:eastAsia="Times New Roman" w:cs="Times New Roman"/>
                <w:spacing w:val="1"/>
                <w:highlight w:val="none"/>
              </w:rPr>
              <w:t>Ⅳ+</w:t>
            </w:r>
          </w:p>
        </w:tc>
        <w:tc>
          <w:tcPr>
            <w:tcW w:w="996" w:type="pct"/>
            <w:tcBorders>
              <w:tl2br w:val="nil"/>
              <w:tr2bl w:val="nil"/>
            </w:tcBorders>
            <w:vAlign w:val="center"/>
          </w:tcPr>
          <w:p w14:paraId="5FBCEC9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pacing w:val="3"/>
                <w:sz w:val="20"/>
                <w:szCs w:val="20"/>
                <w:highlight w:val="none"/>
              </w:rPr>
              <w:t>Ⅲ</w:t>
            </w:r>
          </w:p>
        </w:tc>
        <w:tc>
          <w:tcPr>
            <w:tcW w:w="996" w:type="pct"/>
            <w:tcBorders>
              <w:tl2br w:val="nil"/>
              <w:tr2bl w:val="nil"/>
            </w:tcBorders>
            <w:vAlign w:val="center"/>
          </w:tcPr>
          <w:p w14:paraId="2CA4851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Ⅱ</w:t>
            </w:r>
          </w:p>
        </w:tc>
        <w:tc>
          <w:tcPr>
            <w:tcW w:w="1005" w:type="pct"/>
            <w:tcBorders>
              <w:tl2br w:val="nil"/>
              <w:tr2bl w:val="nil"/>
            </w:tcBorders>
            <w:vAlign w:val="center"/>
          </w:tcPr>
          <w:p w14:paraId="04CC4A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sz w:val="20"/>
                <w:szCs w:val="20"/>
                <w:highlight w:val="none"/>
              </w:rPr>
            </w:pPr>
            <w:r>
              <w:rPr>
                <w:rFonts w:ascii="Times New Roman" w:hAnsi="Times New Roman" w:eastAsia="Times New Roman" w:cs="Times New Roman"/>
                <w:sz w:val="20"/>
                <w:szCs w:val="20"/>
                <w:highlight w:val="none"/>
              </w:rPr>
              <w:t>Ⅰ</w:t>
            </w:r>
          </w:p>
        </w:tc>
      </w:tr>
      <w:tr w14:paraId="5724D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1003" w:type="pct"/>
            <w:tcBorders>
              <w:tl2br w:val="nil"/>
              <w:tr2bl w:val="nil"/>
            </w:tcBorders>
            <w:vAlign w:val="center"/>
          </w:tcPr>
          <w:p w14:paraId="44DBE86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spacing w:val="8"/>
                <w:highlight w:val="none"/>
              </w:rPr>
              <w:t>评价工作等级</w:t>
            </w:r>
          </w:p>
        </w:tc>
        <w:tc>
          <w:tcPr>
            <w:tcW w:w="996" w:type="pct"/>
            <w:tcBorders>
              <w:tl2br w:val="nil"/>
              <w:tr2bl w:val="nil"/>
            </w:tcBorders>
            <w:vAlign w:val="center"/>
          </w:tcPr>
          <w:p w14:paraId="00E986C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position w:val="-4"/>
                <w:highlight w:val="none"/>
              </w:rPr>
              <w:t>一</w:t>
            </w:r>
          </w:p>
        </w:tc>
        <w:tc>
          <w:tcPr>
            <w:tcW w:w="996" w:type="pct"/>
            <w:tcBorders>
              <w:tl2br w:val="nil"/>
              <w:tr2bl w:val="nil"/>
            </w:tcBorders>
            <w:vAlign w:val="center"/>
          </w:tcPr>
          <w:p w14:paraId="73769BD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highlight w:val="none"/>
              </w:rPr>
              <w:t>二</w:t>
            </w:r>
          </w:p>
        </w:tc>
        <w:tc>
          <w:tcPr>
            <w:tcW w:w="996" w:type="pct"/>
            <w:tcBorders>
              <w:tl2br w:val="nil"/>
              <w:tr2bl w:val="nil"/>
            </w:tcBorders>
            <w:vAlign w:val="center"/>
          </w:tcPr>
          <w:p w14:paraId="55F2AB4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highlight w:val="none"/>
              </w:rPr>
            </w:pPr>
            <w:r>
              <w:rPr>
                <w:position w:val="1"/>
                <w:highlight w:val="none"/>
              </w:rPr>
              <w:t>三</w:t>
            </w:r>
          </w:p>
        </w:tc>
        <w:tc>
          <w:tcPr>
            <w:tcW w:w="1005" w:type="pct"/>
            <w:tcBorders>
              <w:tl2br w:val="nil"/>
              <w:tr2bl w:val="nil"/>
            </w:tcBorders>
            <w:vAlign w:val="center"/>
          </w:tcPr>
          <w:p w14:paraId="7055B35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highlight w:val="none"/>
              </w:rPr>
            </w:pPr>
            <w:r>
              <w:rPr>
                <w:spacing w:val="6"/>
                <w:highlight w:val="none"/>
              </w:rPr>
              <w:t>简单分析</w:t>
            </w:r>
            <w:r>
              <w:rPr>
                <w:rFonts w:ascii="Times New Roman" w:hAnsi="Times New Roman" w:eastAsia="Times New Roman" w:cs="Times New Roman"/>
                <w:spacing w:val="6"/>
                <w:highlight w:val="none"/>
              </w:rPr>
              <w:t>*</w:t>
            </w:r>
          </w:p>
        </w:tc>
      </w:tr>
    </w:tbl>
    <w:p w14:paraId="02FC9268">
      <w:pPr>
        <w:keepNext w:val="0"/>
        <w:keepLines w:val="0"/>
        <w:pageBreakBefore w:val="0"/>
        <w:widowControl/>
        <w:suppressLineNumbers w:val="0"/>
        <w:kinsoku/>
        <w:wordWrap/>
        <w:overflowPunct/>
        <w:topLinePunct w:val="0"/>
        <w:autoSpaceDE/>
        <w:autoSpaceDN/>
        <w:bidi w:val="0"/>
        <w:adjustRightInd/>
        <w:snapToGrid/>
        <w:ind w:left="0"/>
        <w:jc w:val="left"/>
        <w:textAlignment w:val="auto"/>
        <w:rPr>
          <w:rFonts w:hint="eastAsia" w:ascii="Times New Roman" w:hAnsi="Times New Roman" w:eastAsia="宋体" w:cs="Times New Roman"/>
          <w:b/>
          <w:bCs/>
          <w:spacing w:val="-1"/>
          <w:kern w:val="0"/>
          <w:sz w:val="24"/>
          <w:szCs w:val="20"/>
          <w:highlight w:val="none"/>
          <w:lang w:val="en-US" w:eastAsia="zh-CN" w:bidi="ar-SA"/>
        </w:rPr>
      </w:pPr>
      <w:r>
        <w:rPr>
          <w:rFonts w:hint="eastAsia" w:ascii="Times New Roman" w:hAnsi="Times New Roman" w:eastAsia="宋体" w:cs="Times New Roman"/>
          <w:b/>
          <w:bCs/>
          <w:spacing w:val="-1"/>
          <w:kern w:val="0"/>
          <w:sz w:val="24"/>
          <w:szCs w:val="20"/>
          <w:highlight w:val="none"/>
          <w:lang w:val="en-US" w:eastAsia="zh-CN" w:bidi="ar-SA"/>
        </w:rPr>
        <w:t>（4）环境敏感目标概况</w:t>
      </w:r>
    </w:p>
    <w:p w14:paraId="5609B323">
      <w:pPr>
        <w:keepNext w:val="0"/>
        <w:keepLines w:val="0"/>
        <w:pageBreakBefore w:val="0"/>
        <w:widowControl/>
        <w:suppressLineNumbers w:val="0"/>
        <w:kinsoku/>
        <w:wordWrap/>
        <w:overflowPunct/>
        <w:topLinePunct w:val="0"/>
        <w:autoSpaceDE/>
        <w:autoSpaceDN/>
        <w:bidi w:val="0"/>
        <w:adjustRightInd/>
        <w:snapToGrid/>
        <w:ind w:left="0"/>
        <w:jc w:val="left"/>
        <w:textAlignment w:val="auto"/>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环境风险敏感目标详见第二章节中的表 2.6-1。</w:t>
      </w:r>
    </w:p>
    <w:p w14:paraId="7205FA04">
      <w:pPr>
        <w:pStyle w:val="7"/>
        <w:bidi w:val="0"/>
        <w:rPr>
          <w:rFonts w:hint="eastAsia"/>
          <w:highlight w:val="none"/>
          <w:lang w:val="en-US" w:eastAsia="zh-CN"/>
        </w:rPr>
      </w:pPr>
      <w:bookmarkStart w:id="206" w:name="_Toc11678"/>
      <w:r>
        <w:rPr>
          <w:rFonts w:hint="eastAsia"/>
          <w:highlight w:val="none"/>
          <w:lang w:val="en-US" w:eastAsia="zh-CN"/>
        </w:rPr>
        <w:t>6.9.2风险识别</w:t>
      </w:r>
      <w:bookmarkEnd w:id="206"/>
    </w:p>
    <w:p w14:paraId="7252260B">
      <w:pPr>
        <w:pStyle w:val="9"/>
        <w:bidi w:val="0"/>
        <w:rPr>
          <w:highlight w:val="none"/>
        </w:rPr>
      </w:pPr>
      <w:r>
        <w:rPr>
          <w:rFonts w:hint="eastAsia"/>
          <w:highlight w:val="none"/>
          <w:lang w:val="en-US" w:eastAsia="zh-CN"/>
        </w:rPr>
        <w:t>6.9.2.</w:t>
      </w:r>
      <w:r>
        <w:rPr>
          <w:rFonts w:hint="eastAsia"/>
          <w:highlight w:val="none"/>
        </w:rPr>
        <w:t>1</w:t>
      </w:r>
      <w:r>
        <w:rPr>
          <w:highlight w:val="none"/>
        </w:rPr>
        <w:t>生产单元风险识别</w:t>
      </w:r>
    </w:p>
    <w:p w14:paraId="5D4013D5">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auto"/>
        <w:rPr>
          <w:rFonts w:hint="default"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本项目生产单元不存在腐蚀性和有毒、有害的危险化学品，生产过程可能存在的风险事故为原材料平平加、聚乙二醇4000、聚酯切片、硅油的储存和使用风险事故，可能遇明火后持续处于高温火源状态下发生火灾；山梨醇如果大量泄漏会发生爆炸。危废暂存间危险废物泄漏至外环境进而造成地表水、地下水和土壤污染事故。废气环保设备故障，引发废气未经处理排放至外环境。</w:t>
      </w:r>
    </w:p>
    <w:p w14:paraId="10EFE3E3">
      <w:pPr>
        <w:pStyle w:val="9"/>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w:t>
      </w:r>
      <w:r>
        <w:rPr>
          <w:rFonts w:hint="eastAsia" w:cs="Times New Roman"/>
          <w:highlight w:val="none"/>
          <w:lang w:val="en-US" w:eastAsia="zh-CN"/>
        </w:rPr>
        <w:t>9</w:t>
      </w:r>
      <w:r>
        <w:rPr>
          <w:rFonts w:hint="eastAsia" w:ascii="Times New Roman" w:hAnsi="Times New Roman" w:eastAsia="宋体" w:cs="Times New Roman"/>
          <w:highlight w:val="none"/>
          <w:lang w:val="en-US" w:eastAsia="zh-CN"/>
        </w:rPr>
        <w:t>.2.1物料危险因素分析</w:t>
      </w:r>
    </w:p>
    <w:p w14:paraId="1D3B1B99">
      <w:pPr>
        <w:keepNext/>
        <w:keepLines/>
        <w:pageBreakBefore w:val="0"/>
        <w:widowControl w:val="0"/>
        <w:kinsoku/>
        <w:wordWrap/>
        <w:overflowPunct/>
        <w:topLinePunct w:val="0"/>
        <w:autoSpaceDE/>
        <w:autoSpaceDN/>
        <w:bidi w:val="0"/>
        <w:adjustRightInd/>
        <w:snapToGrid/>
        <w:ind w:firstLine="476" w:firstLineChars="200"/>
        <w:jc w:val="both"/>
        <w:textAlignment w:val="auto"/>
        <w:outlineLvl w:val="9"/>
        <w:rPr>
          <w:rFonts w:hint="eastAsia" w:ascii="Times New Roman" w:hAnsi="Times New Roman" w:eastAsia="宋体" w:cs="Times New Roman"/>
          <w:b w:val="0"/>
          <w:bCs w:val="0"/>
          <w:spacing w:val="-1"/>
          <w:kern w:val="0"/>
          <w:sz w:val="24"/>
          <w:szCs w:val="20"/>
          <w:highlight w:val="none"/>
          <w:lang w:val="en-US" w:eastAsia="zh-CN" w:bidi="ar-SA"/>
        </w:rPr>
      </w:pPr>
      <w:r>
        <w:rPr>
          <w:rFonts w:hint="eastAsia" w:ascii="Times New Roman" w:hAnsi="Times New Roman" w:eastAsia="宋体" w:cs="Times New Roman"/>
          <w:b w:val="0"/>
          <w:bCs w:val="0"/>
          <w:spacing w:val="-1"/>
          <w:kern w:val="0"/>
          <w:sz w:val="24"/>
          <w:szCs w:val="20"/>
          <w:highlight w:val="none"/>
          <w:lang w:val="en-US" w:eastAsia="zh-CN" w:bidi="ar-SA"/>
        </w:rPr>
        <w:t>本项目原辅材料情况，通过查阅《危险化学品名录》，生产过程中不涉及危险化学品。</w:t>
      </w:r>
      <w:r>
        <w:rPr>
          <w:rFonts w:hint="default" w:ascii="Times New Roman" w:hAnsi="Times New Roman" w:eastAsia="宋体" w:cs="Times New Roman"/>
          <w:b w:val="0"/>
          <w:bCs w:val="0"/>
          <w:spacing w:val="-1"/>
          <w:kern w:val="0"/>
          <w:sz w:val="24"/>
          <w:szCs w:val="20"/>
          <w:highlight w:val="none"/>
          <w:lang w:val="en-US" w:eastAsia="zh-TW" w:bidi="ar-SA"/>
        </w:rPr>
        <w:t>根据《建设项目环境风险评价技术导则》（HJ169-2018），本项目涉及的主要危险物质</w:t>
      </w:r>
      <w:r>
        <w:rPr>
          <w:rFonts w:hint="eastAsia" w:ascii="Times New Roman" w:hAnsi="Times New Roman" w:eastAsia="宋体" w:cs="Times New Roman"/>
          <w:b w:val="0"/>
          <w:bCs w:val="0"/>
          <w:spacing w:val="-1"/>
          <w:kern w:val="0"/>
          <w:sz w:val="24"/>
          <w:szCs w:val="20"/>
          <w:highlight w:val="none"/>
          <w:lang w:val="en-US" w:eastAsia="zh-CN" w:bidi="ar-SA"/>
        </w:rPr>
        <w:t>为</w:t>
      </w:r>
      <w:r>
        <w:rPr>
          <w:rFonts w:hint="default" w:ascii="Times New Roman" w:hAnsi="Times New Roman" w:eastAsia="宋体" w:cs="Times New Roman"/>
          <w:b w:val="0"/>
          <w:bCs w:val="0"/>
          <w:spacing w:val="-1"/>
          <w:kern w:val="0"/>
          <w:sz w:val="24"/>
          <w:szCs w:val="20"/>
          <w:highlight w:val="none"/>
          <w:lang w:val="en-US" w:eastAsia="zh-CN" w:bidi="ar-SA"/>
        </w:rPr>
        <w:t>废活性炭</w:t>
      </w:r>
      <w:r>
        <w:rPr>
          <w:rFonts w:hint="eastAsia" w:ascii="Times New Roman" w:hAnsi="Times New Roman" w:eastAsia="宋体" w:cs="Times New Roman"/>
          <w:b w:val="0"/>
          <w:bCs w:val="0"/>
          <w:spacing w:val="-1"/>
          <w:kern w:val="0"/>
          <w:sz w:val="24"/>
          <w:szCs w:val="20"/>
          <w:highlight w:val="none"/>
          <w:lang w:val="en-US" w:eastAsia="zh-CN" w:bidi="ar-SA"/>
        </w:rPr>
        <w:t>、废导热油、实验室废液。</w:t>
      </w:r>
    </w:p>
    <w:p w14:paraId="73169433">
      <w:pPr>
        <w:pStyle w:val="7"/>
        <w:bidi w:val="0"/>
        <w:rPr>
          <w:rFonts w:hint="eastAsia"/>
          <w:highlight w:val="none"/>
          <w:lang w:val="en-US" w:eastAsia="zh-CN"/>
        </w:rPr>
      </w:pPr>
      <w:bookmarkStart w:id="207" w:name="_Toc6203"/>
      <w:r>
        <w:rPr>
          <w:rFonts w:hint="eastAsia"/>
          <w:highlight w:val="none"/>
          <w:lang w:val="en-US" w:eastAsia="zh-CN"/>
        </w:rPr>
        <w:t>6.9.3环境风险分析</w:t>
      </w:r>
      <w:bookmarkEnd w:id="207"/>
    </w:p>
    <w:p w14:paraId="2945782A">
      <w:pPr>
        <w:rPr>
          <w:rFonts w:hint="default" w:ascii="Times New Roman" w:hAnsi="Times New Roman" w:eastAsia="宋体" w:cs="Times New Roman"/>
          <w:b/>
          <w:bCs/>
          <w:spacing w:val="-1"/>
          <w:kern w:val="0"/>
          <w:sz w:val="24"/>
          <w:szCs w:val="20"/>
          <w:highlight w:val="none"/>
          <w:lang w:val="en-US" w:eastAsia="zh-CN" w:bidi="ar-SA"/>
        </w:rPr>
      </w:pPr>
      <w:r>
        <w:rPr>
          <w:rFonts w:hint="eastAsia" w:ascii="Times New Roman" w:hAnsi="Times New Roman" w:eastAsia="宋体" w:cs="Times New Roman"/>
          <w:b/>
          <w:bCs/>
          <w:spacing w:val="-1"/>
          <w:kern w:val="0"/>
          <w:sz w:val="24"/>
          <w:szCs w:val="20"/>
          <w:highlight w:val="none"/>
          <w:lang w:val="en-US" w:eastAsia="zh-CN" w:bidi="ar-SA"/>
        </w:rPr>
        <w:t>1、火灾或爆炸</w:t>
      </w:r>
    </w:p>
    <w:p w14:paraId="33A12304">
      <w:pPr>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遇明火时</w:t>
      </w:r>
      <w:r>
        <w:rPr>
          <w:rFonts w:hint="eastAsia" w:ascii="Times New Roman" w:hAnsi="Times New Roman" w:eastAsia="宋体" w:cs="Times New Roman"/>
          <w:spacing w:val="-1"/>
          <w:kern w:val="0"/>
          <w:sz w:val="24"/>
          <w:szCs w:val="20"/>
          <w:highlight w:val="none"/>
          <w:lang w:val="en-US" w:eastAsia="zh-CN" w:bidi="ar-SA"/>
        </w:rPr>
        <w:t>，</w:t>
      </w:r>
      <w:r>
        <w:rPr>
          <w:rFonts w:hint="default" w:ascii="Times New Roman" w:hAnsi="Times New Roman" w:eastAsia="宋体" w:cs="Times New Roman"/>
          <w:spacing w:val="-1"/>
          <w:kern w:val="0"/>
          <w:sz w:val="24"/>
          <w:szCs w:val="20"/>
          <w:highlight w:val="none"/>
          <w:lang w:val="en-US" w:eastAsia="zh-CN" w:bidi="ar-SA"/>
        </w:rPr>
        <w:t>项目堆存的原料和原料包装物可能引发火灾、爆炸等事故。当发生火灾时，伴随将产生大量的CO、VOCs等污染物，对周边环境将产生一定的影响，以及在灭火过程中将产生大量的消防废水，若未及时拦截将对周边的环境水体或土壤造成一定影响。</w:t>
      </w:r>
    </w:p>
    <w:p w14:paraId="324418B0">
      <w:pPr>
        <w:rPr>
          <w:rFonts w:hint="default"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（1）</w:t>
      </w:r>
      <w:r>
        <w:rPr>
          <w:rFonts w:hint="default" w:ascii="Times New Roman" w:hAnsi="Times New Roman" w:eastAsia="宋体" w:cs="Times New Roman"/>
          <w:spacing w:val="-1"/>
          <w:kern w:val="0"/>
          <w:sz w:val="24"/>
          <w:szCs w:val="20"/>
          <w:highlight w:val="none"/>
          <w:lang w:val="en-US" w:eastAsia="zh-CN" w:bidi="ar-SA"/>
        </w:rPr>
        <w:t>大气环境影响</w:t>
      </w:r>
    </w:p>
    <w:p w14:paraId="2EAA1DC3">
      <w:pPr>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发生火灾对环境的污染影响主要来自物料燃烧释放的大量的有害气体。由于燃烧产生的有害气体释放量难以定量,本次评价主要定性分析火灾发生时产生的有害气体对周围环境的影响。火灾发生时虽不可避免的对厂区内人员安全与生产设施产生较大的不利影响，但火灾发生时有害气体对周围敏感点环境空气质量只产生暂时性影响，短时内会造成周围敏感点环境空气质量一定成程度的恶化,但不会对人体健康造成损害。</w:t>
      </w:r>
    </w:p>
    <w:p w14:paraId="60F58FB2">
      <w:pPr>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（2）水环境影响</w:t>
      </w:r>
    </w:p>
    <w:p w14:paraId="6437840E">
      <w:pPr>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发生火灾事故后，会产生大量的消防污水，如果下渗或者外排则会影响区域地下水和地表水环境，造成地下水和地表水污染。</w:t>
      </w:r>
    </w:p>
    <w:p w14:paraId="08AFEBA4">
      <w:pPr>
        <w:rPr>
          <w:rFonts w:hint="eastAsia" w:eastAsia="宋体" w:cs="Times New Roman"/>
          <w:spacing w:val="-1"/>
          <w:kern w:val="0"/>
          <w:sz w:val="24"/>
          <w:szCs w:val="20"/>
          <w:highlight w:val="none"/>
          <w:lang w:val="en-US" w:eastAsia="zh-CN" w:bidi="ar-SA"/>
        </w:rPr>
      </w:pPr>
      <w:r>
        <w:rPr>
          <w:rFonts w:hint="eastAsia" w:eastAsia="宋体" w:cs="Times New Roman"/>
          <w:spacing w:val="-1"/>
          <w:kern w:val="0"/>
          <w:sz w:val="24"/>
          <w:szCs w:val="20"/>
          <w:highlight w:val="none"/>
          <w:lang w:val="en-US" w:eastAsia="zh-CN" w:bidi="ar-SA"/>
        </w:rPr>
        <w:t>事故废水池的设置：</w:t>
      </w:r>
      <w:r>
        <w:rPr>
          <w:rFonts w:hint="eastAsia" w:eastAsia="宋体"/>
          <w:spacing w:val="-1"/>
          <w:kern w:val="0"/>
          <w:sz w:val="24"/>
          <w:szCs w:val="20"/>
          <w:highlight w:val="none"/>
        </w:rPr>
        <w:t>根据《建筑设计防火规范》（GB50016-2014）（2018年版）等相关规定，参照《水体污染防控紧急措 施设计导则》及《化工建设项目环境保护工程设计标准 》（GB/T50483-2019）中对事故应急池大小的规定：</w:t>
      </w:r>
    </w:p>
    <w:p w14:paraId="7EADE714">
      <w:pPr>
        <w:rPr>
          <w:rFonts w:hint="default" w:eastAsia="宋体"/>
          <w:spacing w:val="-1"/>
          <w:kern w:val="0"/>
          <w:sz w:val="24"/>
          <w:szCs w:val="20"/>
          <w:highlight w:val="none"/>
        </w:rPr>
      </w:pPr>
      <w:r>
        <w:rPr>
          <w:rFonts w:hint="default" w:eastAsia="宋体"/>
          <w:spacing w:val="-1"/>
          <w:kern w:val="0"/>
          <w:sz w:val="24"/>
          <w:szCs w:val="20"/>
          <w:highlight w:val="none"/>
        </w:rPr>
        <w:t>V</w:t>
      </w:r>
      <w:r>
        <w:rPr>
          <w:rFonts w:ascii="Times New Roman" w:hAnsi="Times New Roman" w:eastAsia="Times New Roman" w:cs="Times New Roman"/>
          <w:spacing w:val="-5"/>
          <w:sz w:val="24"/>
          <w:szCs w:val="24"/>
          <w:highlight w:val="none"/>
        </w:rPr>
        <w:t>——</w:t>
      </w:r>
      <w:r>
        <w:rPr>
          <w:rFonts w:hint="default" w:eastAsia="宋体"/>
          <w:spacing w:val="-1"/>
          <w:kern w:val="0"/>
          <w:sz w:val="24"/>
          <w:szCs w:val="20"/>
          <w:highlight w:val="none"/>
        </w:rPr>
        <w:t>事故池=（V1+V2-V3）max+V4+V5</w:t>
      </w:r>
    </w:p>
    <w:p w14:paraId="0765F285">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V1</w:t>
      </w:r>
      <w:r>
        <w:rPr>
          <w:rFonts w:ascii="Times New Roman" w:hAnsi="Times New Roman" w:eastAsia="Times New Roman" w:cs="Times New Roman"/>
          <w:spacing w:val="-5"/>
          <w:sz w:val="24"/>
          <w:szCs w:val="24"/>
          <w:highlight w:val="none"/>
        </w:rPr>
        <w:t>——</w:t>
      </w:r>
      <w:r>
        <w:rPr>
          <w:rFonts w:hint="eastAsia" w:eastAsia="宋体"/>
          <w:spacing w:val="-1"/>
          <w:kern w:val="0"/>
          <w:sz w:val="24"/>
          <w:szCs w:val="20"/>
          <w:highlight w:val="none"/>
        </w:rPr>
        <w:t>最大一个容器的设备（装置）的物料贮存量，m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 xml:space="preserve">   ；</w:t>
      </w:r>
    </w:p>
    <w:p w14:paraId="5D267016">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本项目建成后原材料中硅油最大贮存量为5t。</w:t>
      </w:r>
    </w:p>
    <w:p w14:paraId="1DECFA10">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V2</w:t>
      </w:r>
      <w:r>
        <w:rPr>
          <w:rFonts w:ascii="Times New Roman" w:hAnsi="Times New Roman" w:eastAsia="Times New Roman" w:cs="Times New Roman"/>
          <w:spacing w:val="-5"/>
          <w:sz w:val="24"/>
          <w:szCs w:val="24"/>
          <w:highlight w:val="none"/>
        </w:rPr>
        <w:t>——</w:t>
      </w:r>
      <w:r>
        <w:rPr>
          <w:rFonts w:hint="eastAsia" w:eastAsia="宋体"/>
          <w:spacing w:val="-1"/>
          <w:kern w:val="0"/>
          <w:sz w:val="24"/>
          <w:szCs w:val="20"/>
          <w:highlight w:val="none"/>
        </w:rPr>
        <w:t>在装置区或丙类仓库区一旦发生火灾爆炸及泄漏时的最大消防水量， 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 xml:space="preserve"> ；参照《泡沫灭火系统设计规范》(GB50151-2010）和《低倍数泡沫灭火系统设计规范》，在混合液供给强度为5~7L/(min.m</w:t>
      </w:r>
      <w:r>
        <w:rPr>
          <w:rFonts w:hint="eastAsia" w:eastAsia="宋体"/>
          <w:spacing w:val="-1"/>
          <w:kern w:val="0"/>
          <w:sz w:val="24"/>
          <w:szCs w:val="20"/>
          <w:highlight w:val="none"/>
          <w:vertAlign w:val="superscript"/>
        </w:rPr>
        <w:t>2</w:t>
      </w:r>
      <w:r>
        <w:rPr>
          <w:rFonts w:hint="eastAsia" w:eastAsia="宋体"/>
          <w:spacing w:val="-1"/>
          <w:kern w:val="0"/>
          <w:sz w:val="24"/>
          <w:szCs w:val="20"/>
          <w:highlight w:val="none"/>
        </w:rPr>
        <w:t>)、混合比为3%~6%、预燃时间60-120秒的情况下，灭火时间为3~5分钟。这种系统适用于扑救一般固体物质火灾和油类火灾。本项目泡沫混合液供给强度选择中间值6L/(min.m</w:t>
      </w:r>
      <w:r>
        <w:rPr>
          <w:rFonts w:hint="eastAsia" w:eastAsia="宋体"/>
          <w:spacing w:val="-1"/>
          <w:kern w:val="0"/>
          <w:sz w:val="24"/>
          <w:szCs w:val="20"/>
          <w:highlight w:val="none"/>
          <w:vertAlign w:val="superscript"/>
        </w:rPr>
        <w:t>2</w:t>
      </w:r>
      <w:r>
        <w:rPr>
          <w:rFonts w:hint="eastAsia" w:eastAsia="宋体"/>
          <w:spacing w:val="-1"/>
          <w:kern w:val="0"/>
          <w:sz w:val="24"/>
          <w:szCs w:val="20"/>
          <w:highlight w:val="none"/>
        </w:rPr>
        <w:t>）</w:t>
      </w:r>
      <w:r>
        <w:rPr>
          <w:rFonts w:hint="eastAsia" w:eastAsia="宋体"/>
          <w:spacing w:val="-1"/>
          <w:kern w:val="0"/>
          <w:sz w:val="24"/>
          <w:szCs w:val="20"/>
          <w:highlight w:val="none"/>
          <w:lang w:eastAsia="zh-CN"/>
        </w:rPr>
        <w:t>，</w:t>
      </w:r>
      <w:r>
        <w:rPr>
          <w:rFonts w:hint="eastAsia" w:eastAsia="宋体"/>
          <w:spacing w:val="-1"/>
          <w:kern w:val="0"/>
          <w:sz w:val="24"/>
          <w:szCs w:val="20"/>
          <w:highlight w:val="none"/>
        </w:rPr>
        <w:t>灭火时间按</w:t>
      </w:r>
      <w:r>
        <w:rPr>
          <w:rFonts w:hint="eastAsia" w:eastAsia="宋体"/>
          <w:spacing w:val="-1"/>
          <w:kern w:val="0"/>
          <w:sz w:val="24"/>
          <w:szCs w:val="20"/>
          <w:highlight w:val="none"/>
          <w:lang w:val="en-US" w:eastAsia="zh-CN"/>
        </w:rPr>
        <w:t>3</w:t>
      </w:r>
      <w:r>
        <w:rPr>
          <w:rFonts w:hint="eastAsia" w:eastAsia="宋体"/>
          <w:spacing w:val="-1"/>
          <w:kern w:val="0"/>
          <w:sz w:val="24"/>
          <w:szCs w:val="20"/>
          <w:highlight w:val="none"/>
        </w:rPr>
        <w:t>分钟扑灭。本项目原材料堆场面积约为900m</w:t>
      </w:r>
      <w:r>
        <w:rPr>
          <w:rFonts w:hint="eastAsia" w:eastAsia="宋体"/>
          <w:spacing w:val="-1"/>
          <w:kern w:val="0"/>
          <w:sz w:val="24"/>
          <w:szCs w:val="20"/>
          <w:highlight w:val="none"/>
          <w:vertAlign w:val="superscript"/>
        </w:rPr>
        <w:t>2</w:t>
      </w:r>
      <w:r>
        <w:rPr>
          <w:rFonts w:hint="eastAsia" w:eastAsia="宋体"/>
          <w:spacing w:val="-1"/>
          <w:kern w:val="0"/>
          <w:sz w:val="24"/>
          <w:szCs w:val="20"/>
          <w:highlight w:val="none"/>
        </w:rPr>
        <w:t>，泡沫混合液总用量=6L/min.m</w:t>
      </w:r>
      <w:r>
        <w:rPr>
          <w:rFonts w:hint="eastAsia" w:eastAsia="宋体"/>
          <w:spacing w:val="-1"/>
          <w:kern w:val="0"/>
          <w:sz w:val="24"/>
          <w:szCs w:val="20"/>
          <w:highlight w:val="none"/>
          <w:vertAlign w:val="superscript"/>
        </w:rPr>
        <w:t>2</w:t>
      </w:r>
      <w:r>
        <w:rPr>
          <w:rFonts w:hint="eastAsia" w:eastAsia="宋体"/>
          <w:spacing w:val="-1"/>
          <w:kern w:val="0"/>
          <w:sz w:val="24"/>
          <w:szCs w:val="20"/>
          <w:highlight w:val="none"/>
        </w:rPr>
        <w:t>×</w:t>
      </w:r>
      <w:r>
        <w:rPr>
          <w:rFonts w:hint="eastAsia" w:eastAsia="宋体"/>
          <w:spacing w:val="-1"/>
          <w:kern w:val="0"/>
          <w:sz w:val="24"/>
          <w:szCs w:val="20"/>
          <w:highlight w:val="none"/>
          <w:lang w:val="en-US" w:eastAsia="zh-CN"/>
        </w:rPr>
        <w:t>3</w:t>
      </w:r>
      <w:r>
        <w:rPr>
          <w:rFonts w:hint="eastAsia" w:eastAsia="宋体"/>
          <w:spacing w:val="-1"/>
          <w:kern w:val="0"/>
          <w:sz w:val="24"/>
          <w:szCs w:val="20"/>
          <w:highlight w:val="none"/>
        </w:rPr>
        <w:t>min×900m</w:t>
      </w:r>
      <w:r>
        <w:rPr>
          <w:rFonts w:hint="eastAsia" w:eastAsia="宋体"/>
          <w:spacing w:val="-1"/>
          <w:kern w:val="0"/>
          <w:sz w:val="24"/>
          <w:szCs w:val="20"/>
          <w:highlight w:val="none"/>
          <w:vertAlign w:val="superscript"/>
        </w:rPr>
        <w:t>2</w:t>
      </w:r>
      <w:r>
        <w:rPr>
          <w:rFonts w:hint="eastAsia" w:eastAsia="宋体"/>
          <w:spacing w:val="-1"/>
          <w:kern w:val="0"/>
          <w:sz w:val="24"/>
          <w:szCs w:val="20"/>
          <w:highlight w:val="none"/>
        </w:rPr>
        <w:t>=</w:t>
      </w:r>
      <w:r>
        <w:rPr>
          <w:rFonts w:hint="eastAsia" w:eastAsia="宋体"/>
          <w:spacing w:val="-1"/>
          <w:kern w:val="0"/>
          <w:sz w:val="24"/>
          <w:szCs w:val="20"/>
          <w:highlight w:val="none"/>
          <w:lang w:val="en-US" w:eastAsia="zh-CN"/>
        </w:rPr>
        <w:t>16.2</w:t>
      </w:r>
      <w:r>
        <w:rPr>
          <w:rFonts w:hint="eastAsia" w:eastAsia="宋体"/>
          <w:spacing w:val="-1"/>
          <w:kern w:val="0"/>
          <w:sz w:val="24"/>
          <w:szCs w:val="20"/>
          <w:highlight w:val="none"/>
        </w:rPr>
        <w:t>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w:t>
      </w:r>
    </w:p>
    <w:p w14:paraId="5FAA23E1">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V2消防用水量计算：泡沫混合液中水占比为 97%(泡沫原液占比3%)。水量=</w:t>
      </w:r>
      <w:r>
        <w:rPr>
          <w:rFonts w:hint="eastAsia" w:eastAsia="宋体"/>
          <w:spacing w:val="-1"/>
          <w:kern w:val="0"/>
          <w:sz w:val="24"/>
          <w:szCs w:val="20"/>
          <w:highlight w:val="none"/>
          <w:lang w:val="en-US" w:eastAsia="zh-CN"/>
        </w:rPr>
        <w:t>16.2</w:t>
      </w:r>
      <w:r>
        <w:rPr>
          <w:rFonts w:hint="eastAsia" w:eastAsia="宋体"/>
          <w:spacing w:val="-1"/>
          <w:kern w:val="0"/>
          <w:sz w:val="24"/>
          <w:szCs w:val="20"/>
          <w:highlight w:val="none"/>
        </w:rPr>
        <w:t>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×97%=</w:t>
      </w:r>
      <w:r>
        <w:rPr>
          <w:rFonts w:hint="eastAsia" w:eastAsia="宋体"/>
          <w:spacing w:val="-1"/>
          <w:kern w:val="0"/>
          <w:sz w:val="24"/>
          <w:szCs w:val="20"/>
          <w:highlight w:val="none"/>
          <w:lang w:val="en-US" w:eastAsia="zh-CN"/>
        </w:rPr>
        <w:t>15.714</w:t>
      </w:r>
      <w:r>
        <w:rPr>
          <w:rFonts w:hint="eastAsia" w:eastAsia="宋体"/>
          <w:spacing w:val="-1"/>
          <w:kern w:val="0"/>
          <w:sz w:val="24"/>
          <w:szCs w:val="20"/>
          <w:highlight w:val="none"/>
        </w:rPr>
        <w:t>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w:t>
      </w:r>
    </w:p>
    <w:p w14:paraId="7FB86C95">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 xml:space="preserve">V3 </w:t>
      </w:r>
      <w:r>
        <w:rPr>
          <w:rFonts w:ascii="Times New Roman" w:hAnsi="Times New Roman" w:eastAsia="Times New Roman" w:cs="Times New Roman"/>
          <w:spacing w:val="-5"/>
          <w:sz w:val="24"/>
          <w:szCs w:val="24"/>
          <w:highlight w:val="none"/>
        </w:rPr>
        <w:t>——</w:t>
      </w:r>
      <w:r>
        <w:rPr>
          <w:rFonts w:hint="eastAsia" w:eastAsia="宋体"/>
          <w:spacing w:val="-1"/>
          <w:kern w:val="0"/>
          <w:sz w:val="24"/>
          <w:szCs w:val="20"/>
          <w:highlight w:val="none"/>
        </w:rPr>
        <w:t>发生事故时可以转输到其他储存或处理设施的物料量，m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 xml:space="preserve"> </w:t>
      </w:r>
      <w:r>
        <w:rPr>
          <w:rFonts w:hint="eastAsia" w:eastAsia="宋体"/>
          <w:spacing w:val="-1"/>
          <w:kern w:val="0"/>
          <w:sz w:val="24"/>
          <w:szCs w:val="20"/>
          <w:highlight w:val="none"/>
          <w:lang w:eastAsia="zh-CN"/>
        </w:rPr>
        <w:t>，</w:t>
      </w:r>
      <w:r>
        <w:rPr>
          <w:rFonts w:hint="eastAsia" w:eastAsia="宋体"/>
          <w:spacing w:val="-1"/>
          <w:kern w:val="0"/>
          <w:sz w:val="24"/>
          <w:szCs w:val="20"/>
          <w:highlight w:val="none"/>
        </w:rPr>
        <w:t>项目按极端情况考虑，取0；</w:t>
      </w:r>
    </w:p>
    <w:p w14:paraId="55C93C83">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V4</w:t>
      </w:r>
      <w:r>
        <w:rPr>
          <w:rFonts w:ascii="Times New Roman" w:hAnsi="Times New Roman" w:eastAsia="Times New Roman" w:cs="Times New Roman"/>
          <w:spacing w:val="-5"/>
          <w:sz w:val="24"/>
          <w:szCs w:val="24"/>
          <w:highlight w:val="none"/>
        </w:rPr>
        <w:t>——</w:t>
      </w:r>
      <w:r>
        <w:rPr>
          <w:rFonts w:hint="eastAsia" w:eastAsia="宋体"/>
          <w:spacing w:val="-1"/>
          <w:kern w:val="0"/>
          <w:sz w:val="24"/>
          <w:szCs w:val="20"/>
          <w:highlight w:val="none"/>
        </w:rPr>
        <w:t>发生事故时仍必须进入该收集系统的生产废水量，m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 xml:space="preserve"> ；取0m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w:t>
      </w:r>
    </w:p>
    <w:p w14:paraId="5FDF4B8B">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V5</w:t>
      </w:r>
      <w:r>
        <w:rPr>
          <w:rFonts w:ascii="Times New Roman" w:hAnsi="Times New Roman" w:eastAsia="Times New Roman" w:cs="Times New Roman"/>
          <w:spacing w:val="-5"/>
          <w:sz w:val="24"/>
          <w:szCs w:val="24"/>
          <w:highlight w:val="none"/>
        </w:rPr>
        <w:t>——</w:t>
      </w:r>
      <w:r>
        <w:rPr>
          <w:rFonts w:hint="eastAsia" w:eastAsia="宋体"/>
          <w:spacing w:val="-1"/>
          <w:kern w:val="0"/>
          <w:sz w:val="24"/>
          <w:szCs w:val="20"/>
          <w:highlight w:val="none"/>
        </w:rPr>
        <w:t>为发生事故时可能进入该收集系统的最大降雨量，m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 xml:space="preserve"> ；项目主体均位于车间内，无露天设置部分，故不计初期雨水量。</w:t>
      </w:r>
    </w:p>
    <w:p w14:paraId="420F5A51">
      <w:pPr>
        <w:ind w:firstLine="476" w:firstLineChars="200"/>
        <w:rPr>
          <w:rFonts w:hint="eastAsia" w:eastAsia="宋体"/>
          <w:spacing w:val="-1"/>
          <w:kern w:val="0"/>
          <w:sz w:val="24"/>
          <w:szCs w:val="20"/>
          <w:highlight w:val="none"/>
        </w:rPr>
      </w:pPr>
      <w:r>
        <w:rPr>
          <w:rFonts w:hint="eastAsia" w:eastAsia="宋体"/>
          <w:spacing w:val="-1"/>
          <w:kern w:val="0"/>
          <w:sz w:val="24"/>
          <w:szCs w:val="20"/>
          <w:highlight w:val="none"/>
        </w:rPr>
        <w:t>综 上 ， 计 算 得 项 目 消 防 事 故 应 急 池 大 小V事故池=（V1+V2-V3） max+V4+V5=</w:t>
      </w:r>
      <w:r>
        <w:rPr>
          <w:rFonts w:hint="eastAsia" w:eastAsia="宋体"/>
          <w:spacing w:val="-1"/>
          <w:kern w:val="0"/>
          <w:sz w:val="24"/>
          <w:szCs w:val="20"/>
          <w:highlight w:val="none"/>
          <w:lang w:val="en-US" w:eastAsia="zh-CN"/>
        </w:rPr>
        <w:t>20.714</w:t>
      </w:r>
      <w:r>
        <w:rPr>
          <w:rFonts w:hint="eastAsia" w:eastAsia="宋体"/>
          <w:spacing w:val="-1"/>
          <w:kern w:val="0"/>
          <w:sz w:val="24"/>
          <w:szCs w:val="20"/>
          <w:highlight w:val="none"/>
        </w:rPr>
        <w:t>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。本项目取</w:t>
      </w:r>
      <w:r>
        <w:rPr>
          <w:rFonts w:hint="eastAsia" w:eastAsia="宋体"/>
          <w:spacing w:val="-1"/>
          <w:kern w:val="0"/>
          <w:sz w:val="24"/>
          <w:szCs w:val="20"/>
          <w:highlight w:val="none"/>
          <w:lang w:val="en-US" w:eastAsia="zh-CN"/>
        </w:rPr>
        <w:t>22</w:t>
      </w:r>
      <w:r>
        <w:rPr>
          <w:rFonts w:hint="eastAsia" w:eastAsia="宋体"/>
          <w:spacing w:val="-1"/>
          <w:kern w:val="0"/>
          <w:sz w:val="24"/>
          <w:szCs w:val="20"/>
          <w:highlight w:val="none"/>
        </w:rPr>
        <w:t>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w:t>
      </w:r>
    </w:p>
    <w:p w14:paraId="11B83334">
      <w:pPr>
        <w:ind w:firstLine="476" w:firstLineChars="200"/>
        <w:rPr>
          <w:rFonts w:hint="eastAsia" w:ascii="Times New Roman" w:hAnsi="Times New Roman" w:eastAsia="宋体" w:cs="Times New Roman"/>
          <w:spacing w:val="-1"/>
          <w:kern w:val="0"/>
          <w:sz w:val="24"/>
          <w:szCs w:val="20"/>
          <w:highlight w:val="none"/>
          <w:lang w:val="en-US" w:eastAsia="zh-CN" w:bidi="ar-SA"/>
        </w:rPr>
      </w:pPr>
      <w:r>
        <w:rPr>
          <w:rFonts w:hint="eastAsia" w:eastAsia="宋体"/>
          <w:spacing w:val="-1"/>
          <w:kern w:val="0"/>
          <w:sz w:val="24"/>
          <w:szCs w:val="20"/>
          <w:highlight w:val="none"/>
        </w:rPr>
        <w:t>本项目事故状态下主要考虑消防废水的收集处理，</w:t>
      </w:r>
      <w:r>
        <w:rPr>
          <w:rFonts w:hint="eastAsia" w:eastAsia="宋体"/>
          <w:spacing w:val="-1"/>
          <w:kern w:val="0"/>
          <w:sz w:val="24"/>
          <w:szCs w:val="20"/>
          <w:highlight w:val="none"/>
          <w:lang w:val="en-US" w:eastAsia="zh-CN"/>
        </w:rPr>
        <w:t>需</w:t>
      </w:r>
      <w:r>
        <w:rPr>
          <w:rFonts w:hint="eastAsia" w:eastAsia="宋体"/>
          <w:spacing w:val="-1"/>
          <w:kern w:val="0"/>
          <w:sz w:val="24"/>
          <w:szCs w:val="20"/>
          <w:highlight w:val="none"/>
        </w:rPr>
        <w:t>设置一座容积</w:t>
      </w:r>
      <w:r>
        <w:rPr>
          <w:rFonts w:hint="eastAsia" w:eastAsia="宋体"/>
          <w:spacing w:val="-1"/>
          <w:kern w:val="0"/>
          <w:sz w:val="24"/>
          <w:szCs w:val="20"/>
          <w:highlight w:val="none"/>
          <w:lang w:val="en-US" w:eastAsia="zh-CN"/>
        </w:rPr>
        <w:t>22</w:t>
      </w:r>
      <w:r>
        <w:rPr>
          <w:rFonts w:hint="eastAsia" w:eastAsia="宋体"/>
          <w:spacing w:val="-1"/>
          <w:kern w:val="0"/>
          <w:sz w:val="24"/>
          <w:szCs w:val="20"/>
          <w:highlight w:val="none"/>
        </w:rPr>
        <w:t>m</w:t>
      </w:r>
      <w:r>
        <w:rPr>
          <w:rFonts w:hint="eastAsia" w:eastAsia="宋体"/>
          <w:spacing w:val="-1"/>
          <w:kern w:val="0"/>
          <w:sz w:val="24"/>
          <w:szCs w:val="20"/>
          <w:highlight w:val="none"/>
          <w:vertAlign w:val="superscript"/>
        </w:rPr>
        <w:t>3</w:t>
      </w:r>
      <w:r>
        <w:rPr>
          <w:rFonts w:hint="eastAsia" w:eastAsia="宋体"/>
          <w:spacing w:val="-1"/>
          <w:kern w:val="0"/>
          <w:sz w:val="24"/>
          <w:szCs w:val="20"/>
          <w:highlight w:val="none"/>
        </w:rPr>
        <w:t>事故应急池</w:t>
      </w:r>
      <w:r>
        <w:rPr>
          <w:rFonts w:hint="eastAsia" w:eastAsia="宋体"/>
          <w:spacing w:val="-1"/>
          <w:kern w:val="0"/>
          <w:sz w:val="24"/>
          <w:szCs w:val="20"/>
          <w:highlight w:val="none"/>
          <w:lang w:eastAsia="zh-CN"/>
        </w:rPr>
        <w:t>（</w:t>
      </w:r>
      <w:r>
        <w:rPr>
          <w:rFonts w:hint="eastAsia" w:eastAsia="宋体"/>
          <w:spacing w:val="-1"/>
          <w:kern w:val="0"/>
          <w:sz w:val="24"/>
          <w:szCs w:val="20"/>
          <w:highlight w:val="none"/>
          <w:lang w:val="en-US" w:eastAsia="zh-CN"/>
        </w:rPr>
        <w:t>可依托园区事故应急池，若园区无事故应急池，需厂区自建</w:t>
      </w:r>
      <w:r>
        <w:rPr>
          <w:rFonts w:hint="eastAsia" w:eastAsia="宋体"/>
          <w:spacing w:val="-1"/>
          <w:kern w:val="0"/>
          <w:sz w:val="24"/>
          <w:szCs w:val="20"/>
          <w:highlight w:val="none"/>
          <w:lang w:eastAsia="zh-CN"/>
        </w:rPr>
        <w:t>）</w:t>
      </w:r>
      <w:r>
        <w:rPr>
          <w:rFonts w:hint="eastAsia" w:eastAsia="宋体"/>
          <w:spacing w:val="-1"/>
          <w:kern w:val="0"/>
          <w:sz w:val="24"/>
          <w:szCs w:val="20"/>
          <w:highlight w:val="none"/>
        </w:rPr>
        <w:t>，满足事故状态时最不利情况下各类废水的临时收集，若发生消防事故，含污染物的消防水进入事故池集中收集，待事故结束后，交由有处理资质的单位统一外运处理，不能直接排入外环境。在采取上述措施后，预计本项目发生物料泄漏或火灾泄漏不会对外界水环境及大气环境造成显著影响。</w:t>
      </w:r>
    </w:p>
    <w:p w14:paraId="185A1034">
      <w:pPr>
        <w:numPr>
          <w:ilvl w:val="0"/>
          <w:numId w:val="0"/>
        </w:numPr>
        <w:ind w:leftChars="200"/>
        <w:rPr>
          <w:rFonts w:hint="eastAsia" w:ascii="Times New Roman" w:hAnsi="Times New Roman" w:eastAsia="宋体" w:cs="Times New Roman"/>
          <w:b/>
          <w:bCs/>
          <w:spacing w:val="-1"/>
          <w:kern w:val="0"/>
          <w:sz w:val="24"/>
          <w:szCs w:val="20"/>
          <w:highlight w:val="none"/>
          <w:lang w:val="en-US" w:eastAsia="zh-CN" w:bidi="ar-SA"/>
        </w:rPr>
      </w:pPr>
      <w:r>
        <w:rPr>
          <w:rFonts w:hint="eastAsia" w:ascii="Times New Roman" w:hAnsi="Times New Roman" w:eastAsia="宋体" w:cs="Times New Roman"/>
          <w:b/>
          <w:bCs/>
          <w:spacing w:val="-1"/>
          <w:kern w:val="0"/>
          <w:sz w:val="24"/>
          <w:szCs w:val="20"/>
          <w:highlight w:val="none"/>
          <w:lang w:val="en-US" w:eastAsia="zh-CN" w:bidi="ar-SA"/>
        </w:rPr>
        <w:t>2、危险废物泄漏</w:t>
      </w:r>
    </w:p>
    <w:p w14:paraId="1D91F4DA">
      <w:pPr>
        <w:rPr>
          <w:rFonts w:hint="eastAsia"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TW" w:bidi="ar-SA"/>
        </w:rPr>
        <w:t>本项目涉及的主要危险物质</w:t>
      </w:r>
      <w:r>
        <w:rPr>
          <w:rFonts w:hint="eastAsia" w:ascii="Times New Roman" w:hAnsi="Times New Roman" w:eastAsia="宋体" w:cs="Times New Roman"/>
          <w:spacing w:val="-1"/>
          <w:kern w:val="0"/>
          <w:sz w:val="24"/>
          <w:szCs w:val="20"/>
          <w:highlight w:val="none"/>
          <w:lang w:val="en-US" w:eastAsia="zh-CN" w:bidi="ar-SA"/>
        </w:rPr>
        <w:t>为</w:t>
      </w:r>
      <w:r>
        <w:rPr>
          <w:rFonts w:hint="default" w:ascii="Times New Roman" w:hAnsi="Times New Roman" w:eastAsia="宋体" w:cs="Times New Roman"/>
          <w:spacing w:val="-1"/>
          <w:kern w:val="0"/>
          <w:sz w:val="24"/>
          <w:szCs w:val="20"/>
          <w:highlight w:val="none"/>
          <w:lang w:val="en-US" w:eastAsia="zh-CN" w:bidi="ar-SA"/>
        </w:rPr>
        <w:t>废活性炭</w:t>
      </w:r>
      <w:r>
        <w:rPr>
          <w:rFonts w:hint="eastAsia" w:ascii="Times New Roman" w:hAnsi="Times New Roman" w:eastAsia="宋体" w:cs="Times New Roman"/>
          <w:spacing w:val="-1"/>
          <w:kern w:val="0"/>
          <w:sz w:val="24"/>
          <w:szCs w:val="20"/>
          <w:highlight w:val="none"/>
          <w:lang w:val="en-US" w:eastAsia="zh-CN" w:bidi="ar-SA"/>
        </w:rPr>
        <w:t>、废导热油、实验室废液。本环评要求建设单位将危险废物收集暂存在厂区危险废物暂存间内，定期交由危废处置单位收集处置，在危险废物收集转运过程中，若操作不当将发生危险废物遗洒在厂区内路面，或暂存不当导致危险废物混入到其他物料中，随着雨水冲刷将到导致危险废物随雨水管网进入周边水体，最终可能会汇入新墙河。</w:t>
      </w:r>
    </w:p>
    <w:p w14:paraId="118E597B">
      <w:pPr>
        <w:pStyle w:val="8"/>
        <w:numPr>
          <w:ilvl w:val="0"/>
          <w:numId w:val="11"/>
        </w:numPr>
        <w:ind w:left="0" w:leftChars="0" w:firstLine="478" w:firstLineChars="200"/>
        <w:rPr>
          <w:rFonts w:hint="eastAsia" w:ascii="Times New Roman" w:hAnsi="Times New Roman" w:eastAsia="宋体" w:cs="Times New Roman"/>
          <w:b/>
          <w:bCs/>
          <w:spacing w:val="-1"/>
          <w:kern w:val="0"/>
          <w:sz w:val="24"/>
          <w:szCs w:val="20"/>
          <w:highlight w:val="none"/>
          <w:lang w:val="en-US" w:eastAsia="zh-CN" w:bidi="ar-SA"/>
        </w:rPr>
      </w:pPr>
      <w:r>
        <w:rPr>
          <w:rFonts w:hint="eastAsia" w:ascii="Times New Roman" w:hAnsi="Times New Roman" w:eastAsia="宋体" w:cs="Times New Roman"/>
          <w:b/>
          <w:bCs/>
          <w:spacing w:val="-1"/>
          <w:kern w:val="0"/>
          <w:sz w:val="24"/>
          <w:szCs w:val="20"/>
          <w:highlight w:val="none"/>
          <w:lang w:val="en-US" w:eastAsia="zh-CN" w:bidi="ar-SA"/>
        </w:rPr>
        <w:t>废气环保设备故障</w:t>
      </w:r>
    </w:p>
    <w:p w14:paraId="22272197">
      <w:pPr>
        <w:pStyle w:val="2"/>
        <w:spacing w:before="185" w:line="359" w:lineRule="auto"/>
        <w:ind w:left="3" w:right="61" w:firstLine="479"/>
        <w:rPr>
          <w:highlight w:val="none"/>
        </w:rPr>
      </w:pPr>
      <w:r>
        <w:rPr>
          <w:spacing w:val="-1"/>
          <w:highlight w:val="none"/>
        </w:rPr>
        <w:t>本项目生产过程中，废气的事故排放主要是颗粒物、</w:t>
      </w:r>
      <w:r>
        <w:rPr>
          <w:rFonts w:ascii="Times New Roman" w:hAnsi="Times New Roman" w:eastAsia="Times New Roman" w:cs="Times New Roman"/>
          <w:spacing w:val="-1"/>
          <w:highlight w:val="none"/>
        </w:rPr>
        <w:t>VOC</w:t>
      </w:r>
      <w:r>
        <w:rPr>
          <w:rFonts w:ascii="Times New Roman" w:hAnsi="Times New Roman" w:eastAsia="Times New Roman" w:cs="Times New Roman"/>
          <w:spacing w:val="-1"/>
          <w:position w:val="-1"/>
          <w:sz w:val="15"/>
          <w:szCs w:val="15"/>
          <w:highlight w:val="none"/>
        </w:rPr>
        <w:t>S</w:t>
      </w:r>
      <w:r>
        <w:rPr>
          <w:rFonts w:ascii="Times New Roman" w:hAnsi="Times New Roman" w:eastAsia="Times New Roman" w:cs="Times New Roman"/>
          <w:spacing w:val="-12"/>
          <w:position w:val="-1"/>
          <w:sz w:val="15"/>
          <w:szCs w:val="15"/>
          <w:highlight w:val="none"/>
        </w:rPr>
        <w:t xml:space="preserve"> </w:t>
      </w:r>
      <w:r>
        <w:rPr>
          <w:spacing w:val="-1"/>
          <w:highlight w:val="none"/>
        </w:rPr>
        <w:t>。当事故发生时，首先会引起生产车间有害气体浓度的增加，刺激工</w:t>
      </w:r>
      <w:r>
        <w:rPr>
          <w:spacing w:val="-2"/>
          <w:highlight w:val="none"/>
        </w:rPr>
        <w:t>作人员的呼吸道，对神经系</w:t>
      </w:r>
      <w:r>
        <w:rPr>
          <w:spacing w:val="-1"/>
          <w:highlight w:val="none"/>
        </w:rPr>
        <w:t>统造成轻微的影响，有些敏感的人，会引起头晕，喉咙、</w:t>
      </w:r>
      <w:r>
        <w:rPr>
          <w:spacing w:val="-2"/>
          <w:highlight w:val="none"/>
        </w:rPr>
        <w:t>鼻子痒，轻度疼痛。随着事</w:t>
      </w:r>
      <w:r>
        <w:rPr>
          <w:spacing w:val="-1"/>
          <w:highlight w:val="none"/>
        </w:rPr>
        <w:t>故发生时间的拉长，废气的扩散可以影响周围的人员，甚</w:t>
      </w:r>
      <w:r>
        <w:rPr>
          <w:spacing w:val="-2"/>
          <w:highlight w:val="none"/>
        </w:rPr>
        <w:t>至周围其他厂的工作人员。</w:t>
      </w:r>
    </w:p>
    <w:p w14:paraId="4136825D">
      <w:pPr>
        <w:pStyle w:val="2"/>
        <w:spacing w:line="359" w:lineRule="auto"/>
        <w:ind w:left="1" w:right="61" w:firstLine="480"/>
        <w:rPr>
          <w:rFonts w:hint="default" w:ascii="Times New Roman" w:hAnsi="Times New Roman" w:eastAsia="宋体" w:cs="Times New Roman"/>
          <w:b/>
          <w:bCs/>
          <w:spacing w:val="-1"/>
          <w:kern w:val="0"/>
          <w:sz w:val="24"/>
          <w:szCs w:val="20"/>
          <w:highlight w:val="none"/>
          <w:lang w:val="en-US" w:eastAsia="zh-CN" w:bidi="ar-SA"/>
        </w:rPr>
      </w:pPr>
      <w:r>
        <w:rPr>
          <w:spacing w:val="-1"/>
          <w:highlight w:val="none"/>
        </w:rPr>
        <w:t>事故发生时，应立即启动应急机制。停止不正常运行</w:t>
      </w:r>
      <w:r>
        <w:rPr>
          <w:spacing w:val="-2"/>
          <w:highlight w:val="none"/>
        </w:rPr>
        <w:t>设备，检查原因，马上进行</w:t>
      </w:r>
      <w:r>
        <w:rPr>
          <w:highlight w:val="none"/>
        </w:rPr>
        <w:t>修理。只要建设方措施采取及时，废气事故排放的影</w:t>
      </w:r>
      <w:r>
        <w:rPr>
          <w:spacing w:val="-1"/>
          <w:highlight w:val="none"/>
        </w:rPr>
        <w:t>响可控制在接受范围内。</w:t>
      </w:r>
    </w:p>
    <w:p w14:paraId="5D64200C">
      <w:pPr>
        <w:pStyle w:val="7"/>
        <w:bidi w:val="0"/>
        <w:rPr>
          <w:rFonts w:hint="eastAsia"/>
          <w:highlight w:val="none"/>
          <w:lang w:val="en-US" w:eastAsia="zh-CN"/>
        </w:rPr>
      </w:pPr>
      <w:bookmarkStart w:id="208" w:name="_Toc332351027"/>
      <w:bookmarkStart w:id="209" w:name="_Toc331145120"/>
      <w:bookmarkStart w:id="210" w:name="_Toc470166292"/>
      <w:bookmarkStart w:id="211" w:name="_Toc13737"/>
      <w:r>
        <w:rPr>
          <w:rFonts w:hint="eastAsia"/>
          <w:highlight w:val="none"/>
          <w:lang w:val="en-US" w:eastAsia="zh-CN"/>
        </w:rPr>
        <w:t>6.9.4</w:t>
      </w:r>
      <w:r>
        <w:rPr>
          <w:highlight w:val="none"/>
        </w:rPr>
        <w:t>环境风险防范措施</w:t>
      </w:r>
      <w:bookmarkEnd w:id="208"/>
      <w:bookmarkEnd w:id="209"/>
      <w:bookmarkEnd w:id="210"/>
      <w:bookmarkEnd w:id="211"/>
    </w:p>
    <w:p w14:paraId="3CCED8A4">
      <w:pPr>
        <w:spacing w:line="360" w:lineRule="auto"/>
        <w:ind w:firstLine="480" w:firstLineChars="200"/>
        <w:rPr>
          <w:rFonts w:hint="default" w:ascii="Times New Roman" w:hAnsi="Times New Roman" w:eastAsia="宋体" w:cs="Times New Roman"/>
          <w:bCs/>
          <w:color w:val="auto"/>
          <w:sz w:val="24"/>
          <w:szCs w:val="24"/>
          <w:highlight w:val="none"/>
          <w:u w:val="none" w:color="auto"/>
          <w:lang w:eastAsia="zh-TW"/>
        </w:rPr>
      </w:pPr>
      <w:r>
        <w:rPr>
          <w:rFonts w:hint="default" w:ascii="Times New Roman" w:hAnsi="Times New Roman" w:eastAsia="宋体" w:cs="Times New Roman"/>
          <w:bCs/>
          <w:color w:val="auto"/>
          <w:sz w:val="24"/>
          <w:szCs w:val="24"/>
          <w:highlight w:val="none"/>
          <w:u w:val="none" w:color="auto"/>
          <w:lang w:eastAsia="zh-TW"/>
        </w:rPr>
        <w:t>为使本项目环境风险减小到最低限度，必须加强安全环保管理，制定完备、有效的安全环保防范措施，尽可能降低火灾及泄漏事故发生的概率。</w:t>
      </w:r>
    </w:p>
    <w:p w14:paraId="4A7A1517">
      <w:pPr>
        <w:pStyle w:val="9"/>
        <w:bidi w:val="0"/>
        <w:rPr>
          <w:rFonts w:hint="default"/>
          <w:highlight w:val="none"/>
          <w:lang w:eastAsia="zh-TW"/>
        </w:rPr>
      </w:pPr>
      <w:r>
        <w:rPr>
          <w:rFonts w:hint="eastAsia"/>
          <w:highlight w:val="none"/>
          <w:lang w:val="en-US" w:eastAsia="zh-CN"/>
        </w:rPr>
        <w:t>6.9.4.1</w:t>
      </w:r>
      <w:r>
        <w:rPr>
          <w:rFonts w:hint="default"/>
          <w:highlight w:val="none"/>
          <w:lang w:eastAsia="zh-TW"/>
        </w:rPr>
        <w:t>平面布置</w:t>
      </w:r>
    </w:p>
    <w:p w14:paraId="1B3EEC45">
      <w:pPr>
        <w:spacing w:line="360" w:lineRule="auto"/>
        <w:ind w:firstLine="480" w:firstLineChars="200"/>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bCs/>
          <w:color w:val="auto"/>
          <w:sz w:val="24"/>
          <w:szCs w:val="24"/>
          <w:highlight w:val="none"/>
          <w:u w:val="none" w:color="auto"/>
          <w:lang w:eastAsia="zh-TW"/>
        </w:rPr>
        <w:t>项目在总平面布置方面，应严格执行相关规范</w:t>
      </w:r>
      <w:r>
        <w:rPr>
          <w:rFonts w:hint="default" w:ascii="Times New Roman" w:hAnsi="Times New Roman" w:eastAsia="宋体" w:cs="Times New Roman"/>
          <w:bCs/>
          <w:color w:val="auto"/>
          <w:sz w:val="24"/>
          <w:szCs w:val="24"/>
          <w:highlight w:val="none"/>
          <w:u w:val="none" w:color="auto"/>
        </w:rPr>
        <w:t>（</w:t>
      </w:r>
      <w:r>
        <w:rPr>
          <w:rFonts w:hint="default" w:ascii="Times New Roman" w:hAnsi="Times New Roman" w:eastAsia="宋体" w:cs="Times New Roman"/>
          <w:bCs/>
          <w:color w:val="auto"/>
          <w:sz w:val="24"/>
          <w:szCs w:val="24"/>
          <w:highlight w:val="none"/>
          <w:u w:val="none" w:color="auto"/>
          <w:lang w:eastAsia="zh-TW"/>
        </w:rPr>
        <w:t>防火、防爆</w:t>
      </w:r>
      <w:r>
        <w:rPr>
          <w:rFonts w:hint="default" w:ascii="Times New Roman" w:hAnsi="Times New Roman" w:eastAsia="宋体" w:cs="Times New Roman"/>
          <w:bCs/>
          <w:color w:val="auto"/>
          <w:sz w:val="24"/>
          <w:szCs w:val="24"/>
          <w:highlight w:val="none"/>
          <w:u w:val="none" w:color="auto"/>
        </w:rPr>
        <w:t>、化工企业总图布置等行业标准）</w:t>
      </w:r>
      <w:r>
        <w:rPr>
          <w:rFonts w:hint="default" w:ascii="Times New Roman" w:hAnsi="Times New Roman" w:eastAsia="宋体" w:cs="Times New Roman"/>
          <w:bCs/>
          <w:color w:val="auto"/>
          <w:sz w:val="24"/>
          <w:szCs w:val="24"/>
          <w:highlight w:val="none"/>
          <w:u w:val="none" w:color="auto"/>
          <w:lang w:eastAsia="zh-TW"/>
        </w:rPr>
        <w:t>要求，所有区域之间或</w:t>
      </w:r>
      <w:r>
        <w:rPr>
          <w:rFonts w:hint="default" w:ascii="Times New Roman" w:hAnsi="Times New Roman" w:eastAsia="宋体" w:cs="Times New Roman"/>
          <w:bCs/>
          <w:color w:val="auto"/>
          <w:sz w:val="24"/>
          <w:szCs w:val="24"/>
          <w:highlight w:val="none"/>
          <w:u w:val="none" w:color="auto"/>
          <w:lang w:eastAsia="zh-CN"/>
        </w:rPr>
        <w:t>与其他</w:t>
      </w:r>
      <w:r>
        <w:rPr>
          <w:rFonts w:hint="default" w:ascii="Times New Roman" w:hAnsi="Times New Roman" w:eastAsia="宋体" w:cs="Times New Roman"/>
          <w:bCs/>
          <w:color w:val="auto"/>
          <w:sz w:val="24"/>
          <w:szCs w:val="24"/>
          <w:highlight w:val="none"/>
          <w:u w:val="none" w:color="auto"/>
          <w:lang w:eastAsia="zh-TW"/>
        </w:rPr>
        <w:t>场所之间留有足够的防火间距，防止在火灾或爆炸时相互影响；</w:t>
      </w:r>
      <w:r>
        <w:rPr>
          <w:rFonts w:hint="default" w:ascii="Times New Roman" w:hAnsi="Times New Roman" w:eastAsia="宋体" w:cs="Times New Roman"/>
          <w:bCs/>
          <w:color w:val="auto"/>
          <w:sz w:val="24"/>
          <w:szCs w:val="24"/>
          <w:highlight w:val="none"/>
          <w:u w:val="none" w:color="auto"/>
        </w:rPr>
        <w:t>项目建设内容</w:t>
      </w:r>
      <w:r>
        <w:rPr>
          <w:rFonts w:hint="default" w:ascii="Times New Roman" w:hAnsi="Times New Roman" w:eastAsia="宋体" w:cs="Times New Roman"/>
          <w:color w:val="auto"/>
          <w:sz w:val="24"/>
          <w:szCs w:val="24"/>
          <w:highlight w:val="none"/>
          <w:u w:val="none" w:color="auto"/>
        </w:rPr>
        <w:t>对厂区内相关构筑物、设备进行</w:t>
      </w:r>
      <w:r>
        <w:rPr>
          <w:rFonts w:hint="eastAsia" w:ascii="Times New Roman" w:hAnsi="Times New Roman" w:eastAsia="宋体" w:cs="Times New Roman"/>
          <w:color w:val="auto"/>
          <w:sz w:val="24"/>
          <w:szCs w:val="24"/>
          <w:highlight w:val="none"/>
          <w:u w:val="none" w:color="auto"/>
          <w:lang w:val="en-US" w:eastAsia="zh-CN"/>
        </w:rPr>
        <w:t>合理</w:t>
      </w:r>
      <w:r>
        <w:rPr>
          <w:rFonts w:hint="default" w:ascii="Times New Roman" w:hAnsi="Times New Roman" w:eastAsia="宋体" w:cs="Times New Roman"/>
          <w:color w:val="auto"/>
          <w:sz w:val="24"/>
          <w:szCs w:val="24"/>
          <w:highlight w:val="none"/>
          <w:u w:val="none" w:color="auto"/>
        </w:rPr>
        <w:t>布局。构筑物部分区域建设防火墙，并预留出足够安全距离，使其符合化工企业总图布置规范和防火间距要求。</w:t>
      </w:r>
    </w:p>
    <w:p w14:paraId="0FA32C70">
      <w:pPr>
        <w:spacing w:line="360" w:lineRule="auto"/>
        <w:ind w:firstLine="480" w:firstLineChars="200"/>
        <w:rPr>
          <w:rFonts w:hint="eastAsia" w:ascii="Times New Roman" w:hAnsi="Times New Roman" w:eastAsia="宋体" w:cs="Times New Roman"/>
          <w:bCs/>
          <w:color w:val="auto"/>
          <w:sz w:val="24"/>
          <w:szCs w:val="24"/>
          <w:highlight w:val="none"/>
          <w:u w:val="none" w:color="auto"/>
          <w:lang w:val="en-US" w:eastAsia="zh-CN"/>
        </w:rPr>
      </w:pPr>
      <w:r>
        <w:rPr>
          <w:rFonts w:hint="default" w:ascii="Times New Roman" w:hAnsi="Times New Roman" w:eastAsia="宋体" w:cs="Times New Roman"/>
          <w:bCs/>
          <w:color w:val="auto"/>
          <w:sz w:val="24"/>
          <w:szCs w:val="24"/>
          <w:highlight w:val="none"/>
          <w:u w:val="none" w:color="auto"/>
          <w:lang w:eastAsia="zh-TW"/>
        </w:rPr>
        <w:t>严格按工艺处理物料特性，对厂区进行危险区划分。在车间总平面布置中配套建设应急救援设施、救援通道、应急疏散避难所等防护设施。按《安全标志》规定在装置区设置有关的安全标志。</w:t>
      </w:r>
    </w:p>
    <w:p w14:paraId="36831808">
      <w:pPr>
        <w:pStyle w:val="9"/>
        <w:bidi w:val="0"/>
        <w:rPr>
          <w:rFonts w:hint="default"/>
          <w:highlight w:val="none"/>
          <w:lang w:val="en-US" w:eastAsia="zh-CN"/>
        </w:rPr>
      </w:pPr>
      <w:bookmarkStart w:id="212" w:name="_Toc10818"/>
      <w:bookmarkStart w:id="213" w:name="_Toc18001"/>
      <w:bookmarkStart w:id="214" w:name="_Toc15975"/>
      <w:bookmarkStart w:id="215" w:name="_Toc31485"/>
      <w:r>
        <w:rPr>
          <w:rFonts w:hint="eastAsia"/>
          <w:highlight w:val="none"/>
          <w:lang w:val="en-US" w:eastAsia="zh-CN"/>
        </w:rPr>
        <w:t>6.9.4.2</w:t>
      </w:r>
      <w:r>
        <w:rPr>
          <w:rFonts w:hint="default"/>
          <w:highlight w:val="none"/>
          <w:lang w:val="en-US" w:eastAsia="zh-CN"/>
        </w:rPr>
        <w:t>操作安全防范措施</w:t>
      </w:r>
      <w:bookmarkEnd w:id="212"/>
      <w:bookmarkEnd w:id="213"/>
      <w:bookmarkEnd w:id="214"/>
      <w:bookmarkEnd w:id="215"/>
    </w:p>
    <w:p w14:paraId="3D997492">
      <w:pPr>
        <w:spacing w:line="360" w:lineRule="auto"/>
        <w:ind w:firstLine="480" w:firstLineChars="200"/>
        <w:rPr>
          <w:rFonts w:hint="default" w:ascii="Times New Roman" w:hAnsi="Times New Roman" w:eastAsia="宋体" w:cs="Times New Roman"/>
          <w:color w:val="auto"/>
          <w:sz w:val="24"/>
          <w:szCs w:val="24"/>
          <w:highlight w:val="none"/>
          <w:u w:val="none" w:color="auto"/>
          <w:lang w:eastAsia="zh-TW"/>
        </w:rPr>
      </w:pPr>
      <w:r>
        <w:rPr>
          <w:rFonts w:hint="eastAsia" w:ascii="Times New Roman" w:hAnsi="Times New Roman" w:eastAsia="宋体" w:cs="Times New Roman"/>
          <w:color w:val="auto"/>
          <w:sz w:val="24"/>
          <w:szCs w:val="24"/>
          <w:highlight w:val="none"/>
          <w:u w:val="none" w:color="auto"/>
          <w:lang w:val="en-US" w:eastAsia="zh-CN"/>
        </w:rPr>
        <w:t>1、</w:t>
      </w:r>
      <w:r>
        <w:rPr>
          <w:rFonts w:hint="default" w:ascii="Times New Roman" w:hAnsi="Times New Roman" w:eastAsia="宋体" w:cs="Times New Roman"/>
          <w:color w:val="auto"/>
          <w:sz w:val="24"/>
          <w:szCs w:val="24"/>
          <w:highlight w:val="none"/>
          <w:u w:val="none" w:color="auto"/>
          <w:lang w:eastAsia="zh-TW"/>
        </w:rPr>
        <w:t>生产区</w:t>
      </w:r>
    </w:p>
    <w:p w14:paraId="2A8CA741">
      <w:pPr>
        <w:spacing w:line="360" w:lineRule="auto"/>
        <w:ind w:firstLine="480" w:firstLineChars="200"/>
        <w:rPr>
          <w:rFonts w:hint="default" w:ascii="Times New Roman" w:hAnsi="Times New Roman" w:eastAsia="宋体" w:cs="Times New Roman"/>
          <w:color w:val="auto"/>
          <w:sz w:val="24"/>
          <w:szCs w:val="24"/>
          <w:highlight w:val="none"/>
          <w:u w:val="none" w:color="auto"/>
          <w:lang w:eastAsia="zh-TW"/>
        </w:rPr>
      </w:pPr>
      <w:r>
        <w:rPr>
          <w:rFonts w:hint="default" w:ascii="Times New Roman" w:hAnsi="Times New Roman" w:eastAsia="宋体" w:cs="Times New Roman"/>
          <w:color w:val="auto"/>
          <w:sz w:val="24"/>
          <w:szCs w:val="24"/>
          <w:highlight w:val="none"/>
          <w:u w:val="none" w:color="auto"/>
          <w:lang w:eastAsia="zh-TW"/>
        </w:rPr>
        <w:t>开机前应认真检查电源部位及各处传动部位，检查各进料管道有无滴漏现象，检查机器是否正常。操作人员在操作时必须集中精力，并注意随时观察各部位看有无异常，发现故障应立即停止作业，关闭电源，进行检修及排除异情。凡是操作人员不能排除的异情应立即告知维修部门，异情排除之后方可继续作业。</w:t>
      </w:r>
    </w:p>
    <w:p w14:paraId="1F6524A7">
      <w:pPr>
        <w:spacing w:line="360" w:lineRule="auto"/>
        <w:ind w:firstLine="480" w:firstLineChars="200"/>
        <w:rPr>
          <w:rFonts w:hint="default" w:ascii="Times New Roman" w:hAnsi="Times New Roman" w:eastAsia="宋体" w:cs="Times New Roman"/>
          <w:color w:val="auto"/>
          <w:sz w:val="24"/>
          <w:szCs w:val="24"/>
          <w:highlight w:val="none"/>
          <w:u w:val="none" w:color="auto"/>
          <w:lang w:eastAsia="zh-TW"/>
        </w:rPr>
      </w:pP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eastAsia="zh-TW"/>
        </w:rPr>
        <w:t>废气处理操作区</w:t>
      </w:r>
    </w:p>
    <w:p w14:paraId="6723B089">
      <w:pPr>
        <w:spacing w:line="360" w:lineRule="auto"/>
        <w:ind w:firstLine="480" w:firstLineChars="200"/>
        <w:rPr>
          <w:rFonts w:hint="default" w:ascii="Times New Roman" w:hAnsi="Times New Roman" w:eastAsia="宋体" w:cs="Times New Roman"/>
          <w:color w:val="auto"/>
          <w:sz w:val="24"/>
          <w:szCs w:val="24"/>
          <w:highlight w:val="none"/>
          <w:u w:val="none" w:color="auto"/>
          <w:lang w:eastAsia="zh-TW"/>
        </w:rPr>
      </w:pPr>
      <w:r>
        <w:rPr>
          <w:rFonts w:hint="default" w:ascii="Times New Roman" w:hAnsi="Times New Roman" w:eastAsia="宋体" w:cs="Times New Roman"/>
          <w:color w:val="auto"/>
          <w:sz w:val="24"/>
          <w:szCs w:val="24"/>
          <w:highlight w:val="none"/>
          <w:u w:val="none" w:color="auto"/>
          <w:lang w:eastAsia="zh-TW"/>
        </w:rPr>
        <w:t>废气处理设施关键部件配备备用件，并应设置应急电系统。并密切注意废气产生状况的波动。保持净化设备的密闭、安全、可靠性能，特别要注意设备的耐磨性和废气系统防火防爆保证。操作人员应培训后上岗，熟练在正常和异常情况中的处理操作技能。</w:t>
      </w:r>
    </w:p>
    <w:p w14:paraId="06019D35">
      <w:pPr>
        <w:spacing w:line="360" w:lineRule="auto"/>
        <w:ind w:firstLine="480" w:firstLineChars="200"/>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val="en-US" w:eastAsia="zh-CN"/>
        </w:rPr>
        <w:t>3、</w:t>
      </w:r>
      <w:r>
        <w:rPr>
          <w:rFonts w:hint="eastAsia" w:ascii="Times New Roman" w:hAnsi="Times New Roman" w:eastAsia="宋体" w:cs="Times New Roman"/>
          <w:color w:val="auto"/>
          <w:sz w:val="24"/>
          <w:szCs w:val="24"/>
          <w:highlight w:val="none"/>
          <w:u w:val="none" w:color="auto"/>
          <w:lang w:eastAsia="zh-CN"/>
        </w:rPr>
        <w:t>进行安全化管理来改善设备、工艺和操作的安全性;完善标准及操作规程，加强运行期间的日常监督和管理，定期进行安全检查;在生产车间及库房应禁止吸烟或使用明火，防止意外事故发生。</w:t>
      </w:r>
    </w:p>
    <w:p w14:paraId="2A443329">
      <w:pPr>
        <w:spacing w:line="360" w:lineRule="auto"/>
        <w:ind w:firstLine="480" w:firstLineChars="200"/>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eastAsia="zh-CN"/>
        </w:rPr>
        <w:t>5、加强对粉尘的收集及处置设施等环保设备的巡检监管，并制定相应的操作规程和责任分工，定期对除尘系统的各类设备进行保养、检查和维修，出现除尘器故障失效应及时维修更换，确保集气系统和布袋除尘设备的正常运行，定期清扫收集地面的粉尘。</w:t>
      </w:r>
    </w:p>
    <w:p w14:paraId="77891A7F">
      <w:pPr>
        <w:spacing w:line="360" w:lineRule="auto"/>
        <w:ind w:firstLine="480" w:firstLineChars="200"/>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val="en-US" w:eastAsia="zh-CN"/>
        </w:rPr>
        <w:t>6、</w:t>
      </w:r>
      <w:r>
        <w:rPr>
          <w:rFonts w:hint="eastAsia" w:ascii="Times New Roman" w:hAnsi="Times New Roman" w:eastAsia="宋体" w:cs="Times New Roman"/>
          <w:color w:val="auto"/>
          <w:sz w:val="24"/>
          <w:szCs w:val="24"/>
          <w:highlight w:val="none"/>
          <w:u w:val="none" w:color="auto"/>
          <w:lang w:eastAsia="zh-CN"/>
        </w:rPr>
        <w:t>加强职工的岗位操作培训，提高职工的安全意识和风险防范能力，规范操作，将安全隐患降到最低。</w:t>
      </w:r>
    </w:p>
    <w:p w14:paraId="0102D2BB">
      <w:pPr>
        <w:spacing w:line="360" w:lineRule="auto"/>
        <w:ind w:firstLine="480" w:firstLineChars="200"/>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val="en-US" w:eastAsia="zh-CN"/>
        </w:rPr>
        <w:t>7、万一出现燃烧火灾、粉尘爆炸、除尘器彻底失效或风机无法正常运行等严重的环境风险事故，应停止生产，待影响清除或设备修复正常后再恢复生产对外逸的粉尘，应尽量采取办法清扫回收，而不能以大量清水冲洗，防止对水体造成影响。</w:t>
      </w:r>
    </w:p>
    <w:p w14:paraId="0AF04B37">
      <w:pPr>
        <w:pStyle w:val="9"/>
        <w:bidi w:val="0"/>
        <w:rPr>
          <w:rFonts w:hint="default"/>
          <w:highlight w:val="none"/>
          <w:lang w:val="en-US" w:eastAsia="zh-CN"/>
        </w:rPr>
      </w:pPr>
      <w:bookmarkStart w:id="216" w:name="_Toc20458"/>
      <w:bookmarkStart w:id="217" w:name="_Toc25972"/>
      <w:bookmarkStart w:id="218" w:name="_Toc5946"/>
      <w:bookmarkStart w:id="219" w:name="_Toc26999"/>
      <w:r>
        <w:rPr>
          <w:rFonts w:hint="eastAsia"/>
          <w:highlight w:val="none"/>
          <w:lang w:val="en-US" w:eastAsia="zh-CN"/>
        </w:rPr>
        <w:t>6.9.4.3</w:t>
      </w:r>
      <w:r>
        <w:rPr>
          <w:rFonts w:hint="default"/>
          <w:highlight w:val="none"/>
          <w:lang w:val="en-US" w:eastAsia="zh-CN"/>
        </w:rPr>
        <w:t>仓储区防范措施</w:t>
      </w:r>
      <w:bookmarkEnd w:id="216"/>
      <w:bookmarkEnd w:id="217"/>
      <w:bookmarkEnd w:id="218"/>
      <w:bookmarkEnd w:id="219"/>
    </w:p>
    <w:p w14:paraId="208DB96F">
      <w:pPr>
        <w:spacing w:line="360" w:lineRule="auto"/>
        <w:ind w:firstLine="480" w:firstLineChars="200"/>
        <w:rPr>
          <w:rFonts w:hint="default" w:ascii="Times New Roman" w:hAnsi="Times New Roman" w:eastAsia="宋体" w:cs="Times New Roman"/>
          <w:bCs/>
          <w:color w:val="auto"/>
          <w:sz w:val="24"/>
          <w:szCs w:val="24"/>
          <w:highlight w:val="none"/>
          <w:u w:val="none" w:color="auto"/>
          <w:lang w:eastAsia="zh-TW"/>
        </w:rPr>
      </w:pPr>
      <w:r>
        <w:rPr>
          <w:rFonts w:hint="default" w:ascii="Times New Roman" w:hAnsi="Times New Roman" w:eastAsia="宋体" w:cs="Times New Roman"/>
          <w:bCs/>
          <w:color w:val="auto"/>
          <w:sz w:val="24"/>
          <w:szCs w:val="24"/>
          <w:highlight w:val="none"/>
          <w:u w:val="none" w:color="auto"/>
          <w:lang w:eastAsia="zh-TW"/>
        </w:rPr>
        <w:t>（1）安全防范措施</w:t>
      </w:r>
    </w:p>
    <w:p w14:paraId="6D2D28DB">
      <w:pPr>
        <w:spacing w:line="360" w:lineRule="auto"/>
        <w:ind w:firstLine="480" w:firstLineChars="200"/>
        <w:rPr>
          <w:rFonts w:hint="default" w:ascii="Times New Roman" w:hAnsi="Times New Roman" w:eastAsia="宋体" w:cs="Times New Roman"/>
          <w:bCs/>
          <w:color w:val="auto"/>
          <w:sz w:val="24"/>
          <w:szCs w:val="24"/>
          <w:highlight w:val="none"/>
          <w:u w:val="none" w:color="auto"/>
          <w:lang w:eastAsia="zh-TW"/>
        </w:rPr>
      </w:pPr>
      <w:r>
        <w:rPr>
          <w:rFonts w:hint="default" w:ascii="Times New Roman" w:hAnsi="Times New Roman" w:eastAsia="宋体" w:cs="Times New Roman"/>
          <w:bCs/>
          <w:color w:val="auto"/>
          <w:sz w:val="24"/>
          <w:szCs w:val="24"/>
          <w:highlight w:val="none"/>
          <w:u w:val="none" w:color="auto"/>
          <w:lang w:eastAsia="zh-TW"/>
        </w:rPr>
        <w:t>a）</w:t>
      </w:r>
      <w:r>
        <w:rPr>
          <w:rFonts w:hint="eastAsia" w:ascii="Times New Roman" w:hAnsi="Times New Roman" w:eastAsia="宋体" w:cs="Times New Roman"/>
          <w:bCs/>
          <w:color w:val="auto"/>
          <w:sz w:val="24"/>
          <w:szCs w:val="24"/>
          <w:highlight w:val="none"/>
          <w:u w:val="none" w:color="auto"/>
          <w:lang w:val="en-US" w:eastAsia="zh-CN"/>
        </w:rPr>
        <w:t>原材料</w:t>
      </w:r>
      <w:r>
        <w:rPr>
          <w:rFonts w:hint="default" w:ascii="Times New Roman" w:hAnsi="Times New Roman" w:eastAsia="宋体" w:cs="Times New Roman"/>
          <w:bCs/>
          <w:color w:val="auto"/>
          <w:sz w:val="24"/>
          <w:szCs w:val="24"/>
          <w:highlight w:val="none"/>
          <w:u w:val="none" w:color="auto"/>
          <w:lang w:eastAsia="zh-TW"/>
        </w:rPr>
        <w:t>应储存在阴凉、通风的库房中，</w:t>
      </w:r>
      <w:r>
        <w:rPr>
          <w:rFonts w:hint="eastAsia" w:ascii="Times New Roman" w:hAnsi="Times New Roman" w:eastAsia="宋体" w:cs="Times New Roman"/>
          <w:bCs/>
          <w:color w:val="auto"/>
          <w:sz w:val="24"/>
          <w:szCs w:val="24"/>
          <w:highlight w:val="none"/>
          <w:u w:val="none" w:color="auto"/>
        </w:rPr>
        <w:t>储存</w:t>
      </w:r>
      <w:r>
        <w:rPr>
          <w:rFonts w:hint="eastAsia" w:ascii="Times New Roman" w:hAnsi="Times New Roman" w:eastAsia="宋体" w:cs="Times New Roman"/>
          <w:bCs/>
          <w:color w:val="auto"/>
          <w:sz w:val="24"/>
          <w:szCs w:val="24"/>
          <w:highlight w:val="none"/>
          <w:u w:val="none" w:color="auto"/>
          <w:lang w:val="en-US" w:eastAsia="zh-CN"/>
        </w:rPr>
        <w:t>时</w:t>
      </w:r>
      <w:r>
        <w:rPr>
          <w:rFonts w:hint="eastAsia" w:ascii="Times New Roman" w:hAnsi="Times New Roman" w:eastAsia="宋体" w:cs="Times New Roman"/>
          <w:bCs/>
          <w:color w:val="auto"/>
          <w:sz w:val="24"/>
          <w:szCs w:val="24"/>
          <w:highlight w:val="none"/>
          <w:u w:val="none" w:color="auto"/>
        </w:rPr>
        <w:t>避免阳光直射</w:t>
      </w:r>
      <w:r>
        <w:rPr>
          <w:rFonts w:hint="eastAsia" w:ascii="Times New Roman" w:hAnsi="Times New Roman" w:eastAsia="宋体" w:cs="Times New Roman"/>
          <w:bCs/>
          <w:color w:val="auto"/>
          <w:sz w:val="24"/>
          <w:szCs w:val="24"/>
          <w:highlight w:val="none"/>
          <w:u w:val="none" w:color="auto"/>
          <w:lang w:eastAsia="zh-CN"/>
        </w:rPr>
        <w:t>。</w:t>
      </w:r>
      <w:r>
        <w:rPr>
          <w:rFonts w:hint="default" w:ascii="Times New Roman" w:hAnsi="Times New Roman" w:eastAsia="宋体" w:cs="Times New Roman"/>
          <w:bCs/>
          <w:color w:val="auto"/>
          <w:sz w:val="24"/>
          <w:szCs w:val="24"/>
          <w:highlight w:val="none"/>
          <w:u w:val="none" w:color="auto"/>
          <w:lang w:eastAsia="zh-TW"/>
        </w:rPr>
        <w:t>根据物料的用量、使用频率设置合适的仓储量。定期对原辅材料使用过程中的相关人员，如联络员、仓管员、直接使用人员进行过程监查，定期对上述人员进行相关知识教育和岗位职责培训。</w:t>
      </w:r>
    </w:p>
    <w:p w14:paraId="66349B9A">
      <w:pPr>
        <w:spacing w:line="360" w:lineRule="auto"/>
        <w:ind w:firstLine="480" w:firstLineChars="200"/>
        <w:rPr>
          <w:rFonts w:hint="default" w:ascii="Times New Roman" w:hAnsi="Times New Roman" w:eastAsia="宋体" w:cs="Times New Roman"/>
          <w:bCs/>
          <w:color w:val="auto"/>
          <w:sz w:val="24"/>
          <w:szCs w:val="24"/>
          <w:highlight w:val="none"/>
          <w:u w:val="none" w:color="auto"/>
          <w:lang w:eastAsia="zh-TW"/>
        </w:rPr>
      </w:pPr>
      <w:r>
        <w:rPr>
          <w:rFonts w:hint="default" w:ascii="Times New Roman" w:hAnsi="Times New Roman" w:eastAsia="宋体" w:cs="Times New Roman"/>
          <w:bCs/>
          <w:color w:val="auto"/>
          <w:sz w:val="24"/>
          <w:szCs w:val="24"/>
          <w:highlight w:val="none"/>
          <w:u w:val="none" w:color="auto"/>
          <w:lang w:eastAsia="zh-TW"/>
        </w:rPr>
        <w:t>b）生产区域有烟雾报警器，以便及时采取措施，消除事故隐患。</w:t>
      </w:r>
    </w:p>
    <w:p w14:paraId="6CBC94E0">
      <w:pPr>
        <w:spacing w:line="360" w:lineRule="auto"/>
        <w:ind w:firstLine="480" w:firstLineChars="200"/>
        <w:rPr>
          <w:rFonts w:hint="eastAsia" w:ascii="Times New Roman" w:hAnsi="Times New Roman" w:eastAsia="宋体" w:cs="Times New Roman"/>
          <w:bCs/>
          <w:color w:val="auto"/>
          <w:sz w:val="24"/>
          <w:szCs w:val="24"/>
          <w:highlight w:val="none"/>
          <w:u w:val="none" w:color="auto"/>
          <w:lang w:val="en-US" w:eastAsia="zh-CN"/>
        </w:rPr>
      </w:pPr>
      <w:r>
        <w:rPr>
          <w:rFonts w:hint="default" w:ascii="Times New Roman" w:hAnsi="Times New Roman" w:eastAsia="宋体" w:cs="Times New Roman"/>
          <w:bCs/>
          <w:color w:val="auto"/>
          <w:sz w:val="24"/>
          <w:szCs w:val="24"/>
          <w:highlight w:val="none"/>
          <w:u w:val="none" w:color="auto"/>
          <w:lang w:eastAsia="zh-TW"/>
        </w:rPr>
        <w:t>c）为防止原料泄漏，</w:t>
      </w:r>
      <w:r>
        <w:rPr>
          <w:rFonts w:hint="eastAsia" w:ascii="Times New Roman" w:hAnsi="Times New Roman" w:eastAsia="宋体" w:cs="Times New Roman"/>
          <w:bCs/>
          <w:color w:val="auto"/>
          <w:sz w:val="24"/>
          <w:szCs w:val="24"/>
          <w:highlight w:val="none"/>
          <w:u w:val="none" w:color="auto"/>
          <w:lang w:val="en-US" w:eastAsia="zh-CN"/>
        </w:rPr>
        <w:t>液态物料（山梨醇和硅油）储存区</w:t>
      </w:r>
      <w:r>
        <w:rPr>
          <w:rFonts w:hint="eastAsia" w:eastAsia="宋体" w:cs="Times New Roman"/>
          <w:bCs/>
          <w:color w:val="auto"/>
          <w:sz w:val="24"/>
          <w:szCs w:val="24"/>
          <w:highlight w:val="none"/>
          <w:u w:val="none" w:color="auto"/>
          <w:lang w:val="en-US" w:eastAsia="zh-CN"/>
        </w:rPr>
        <w:t>，地面进行重点防渗，</w:t>
      </w:r>
      <w:r>
        <w:rPr>
          <w:rFonts w:hint="default" w:ascii="Times New Roman" w:hAnsi="Times New Roman" w:eastAsia="宋体" w:cs="Times New Roman"/>
          <w:bCs/>
          <w:color w:val="auto"/>
          <w:sz w:val="24"/>
          <w:szCs w:val="24"/>
          <w:highlight w:val="none"/>
          <w:u w:val="none" w:color="auto"/>
          <w:lang w:eastAsia="zh-TW"/>
        </w:rPr>
        <w:t>设立</w:t>
      </w:r>
      <w:r>
        <w:rPr>
          <w:rFonts w:hint="default" w:ascii="Times New Roman" w:hAnsi="Times New Roman" w:eastAsia="宋体" w:cs="Times New Roman"/>
          <w:bCs/>
          <w:color w:val="auto"/>
          <w:sz w:val="24"/>
          <w:szCs w:val="24"/>
          <w:highlight w:val="none"/>
          <w:u w:val="none" w:color="auto"/>
        </w:rPr>
        <w:t>周边事故水收集沟</w:t>
      </w:r>
      <w:r>
        <w:rPr>
          <w:rFonts w:hint="eastAsia" w:ascii="Times New Roman" w:hAnsi="Times New Roman" w:eastAsia="宋体" w:cs="Times New Roman"/>
          <w:bCs/>
          <w:color w:val="auto"/>
          <w:sz w:val="24"/>
          <w:szCs w:val="24"/>
          <w:highlight w:val="none"/>
          <w:u w:val="none" w:color="auto"/>
          <w:lang w:eastAsia="zh-CN"/>
        </w:rPr>
        <w:t>，</w:t>
      </w:r>
      <w:r>
        <w:rPr>
          <w:rFonts w:hint="eastAsia" w:ascii="Times New Roman" w:hAnsi="Times New Roman" w:eastAsia="宋体" w:cs="Times New Roman"/>
          <w:bCs/>
          <w:color w:val="auto"/>
          <w:sz w:val="24"/>
          <w:szCs w:val="24"/>
          <w:highlight w:val="none"/>
          <w:u w:val="none" w:color="auto"/>
          <w:lang w:val="en-US" w:eastAsia="zh-CN"/>
        </w:rPr>
        <w:t>方便将收集可能泄漏</w:t>
      </w:r>
      <w:r>
        <w:rPr>
          <w:rFonts w:hint="default" w:ascii="Times New Roman" w:hAnsi="Times New Roman" w:eastAsia="宋体" w:cs="Times New Roman"/>
          <w:bCs/>
          <w:color w:val="auto"/>
          <w:sz w:val="24"/>
          <w:szCs w:val="24"/>
          <w:highlight w:val="none"/>
          <w:u w:val="none" w:color="auto"/>
          <w:lang w:eastAsia="zh-TW"/>
        </w:rPr>
        <w:t>的物料，并及时回收。库区四周应建防火墙。</w:t>
      </w:r>
      <w:r>
        <w:rPr>
          <w:rFonts w:hint="eastAsia" w:ascii="Times New Roman" w:hAnsi="Times New Roman" w:eastAsia="宋体" w:cs="Times New Roman"/>
          <w:bCs/>
          <w:color w:val="auto"/>
          <w:sz w:val="24"/>
          <w:szCs w:val="24"/>
          <w:highlight w:val="none"/>
          <w:u w:val="none" w:color="auto"/>
          <w:lang w:val="en-US" w:eastAsia="zh-CN"/>
        </w:rPr>
        <w:t>项目原材料山梨醇</w:t>
      </w:r>
      <w:r>
        <w:rPr>
          <w:rFonts w:hint="default" w:ascii="Times New Roman" w:hAnsi="Times New Roman" w:eastAsia="宋体" w:cs="Times New Roman"/>
          <w:bCs/>
          <w:color w:val="auto"/>
          <w:sz w:val="24"/>
          <w:szCs w:val="24"/>
          <w:highlight w:val="none"/>
          <w:u w:val="none" w:color="auto"/>
          <w:lang w:val="en-US" w:eastAsia="zh-CN"/>
        </w:rPr>
        <w:t>本身不属于危险品，</w:t>
      </w:r>
      <w:r>
        <w:rPr>
          <w:rFonts w:hint="eastAsia" w:ascii="Times New Roman" w:hAnsi="Times New Roman" w:eastAsia="宋体" w:cs="Times New Roman"/>
          <w:bCs/>
          <w:color w:val="auto"/>
          <w:sz w:val="24"/>
          <w:szCs w:val="24"/>
          <w:highlight w:val="none"/>
          <w:u w:val="none" w:color="auto"/>
          <w:lang w:val="en-US" w:eastAsia="zh-CN"/>
        </w:rPr>
        <w:t>如有过量山梨醇散入空气，会导致爆炸，因此使用过程中防止泄漏，做好防渗漏和防火措施，在避光及通风良好处放入密封容器内储存（本项目采用吨桶）。</w:t>
      </w:r>
    </w:p>
    <w:p w14:paraId="0AD7B931">
      <w:pPr>
        <w:spacing w:line="360" w:lineRule="auto"/>
        <w:ind w:firstLine="480" w:firstLineChars="200"/>
        <w:rPr>
          <w:rFonts w:hint="eastAsia"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w:t>
      </w:r>
      <w:r>
        <w:rPr>
          <w:rFonts w:hint="eastAsia" w:eastAsia="宋体" w:cs="Times New Roman"/>
          <w:bCs/>
          <w:color w:val="auto"/>
          <w:sz w:val="24"/>
          <w:szCs w:val="24"/>
          <w:highlight w:val="none"/>
          <w:u w:val="none" w:color="auto"/>
          <w:lang w:val="en-US" w:eastAsia="zh-CN"/>
        </w:rPr>
        <w:t>2</w:t>
      </w:r>
      <w:r>
        <w:rPr>
          <w:rFonts w:hint="eastAsia" w:ascii="Times New Roman" w:hAnsi="Times New Roman" w:eastAsia="宋体" w:cs="Times New Roman"/>
          <w:bCs/>
          <w:color w:val="auto"/>
          <w:sz w:val="24"/>
          <w:szCs w:val="24"/>
          <w:highlight w:val="none"/>
          <w:u w:val="none" w:color="auto"/>
          <w:lang w:val="en-US" w:eastAsia="zh-CN"/>
        </w:rPr>
        <w:t>）个人防护措施：</w:t>
      </w:r>
    </w:p>
    <w:p w14:paraId="28003ECF">
      <w:pPr>
        <w:spacing w:line="360" w:lineRule="auto"/>
        <w:ind w:firstLine="480" w:firstLineChars="200"/>
        <w:rPr>
          <w:rFonts w:hint="default"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穿着适当的个人防护装置，设置眼部清洗设备及定影浴，保持通风良好，保证较低浓度。眼部保护:使用防滑护目镜，</w:t>
      </w:r>
      <w:r>
        <w:rPr>
          <w:rFonts w:hint="eastAsia" w:ascii="Times New Roman" w:hAnsi="Times New Roman" w:eastAsia="宋体" w:cs="Times New Roman"/>
          <w:bCs/>
          <w:color w:val="auto"/>
          <w:sz w:val="24"/>
          <w:szCs w:val="24"/>
          <w:highlight w:val="none"/>
          <w:u w:val="none" w:color="auto"/>
        </w:rPr>
        <w:t>避免长时间接触皮肤和眼睛</w:t>
      </w:r>
      <w:r>
        <w:rPr>
          <w:rFonts w:hint="eastAsia" w:ascii="Times New Roman" w:hAnsi="Times New Roman" w:eastAsia="宋体" w:cs="Times New Roman"/>
          <w:bCs/>
          <w:color w:val="auto"/>
          <w:sz w:val="24"/>
          <w:szCs w:val="24"/>
          <w:highlight w:val="none"/>
          <w:u w:val="none" w:color="auto"/>
          <w:lang w:val="en-US" w:eastAsia="zh-CN"/>
        </w:rPr>
        <w:t>。</w:t>
      </w:r>
      <w:r>
        <w:rPr>
          <w:rFonts w:hint="eastAsia" w:ascii="Times New Roman" w:hAnsi="Times New Roman" w:eastAsia="宋体" w:cs="Times New Roman"/>
          <w:bCs/>
          <w:color w:val="auto"/>
          <w:sz w:val="24"/>
          <w:szCs w:val="24"/>
          <w:highlight w:val="none"/>
          <w:u w:val="none" w:color="auto"/>
        </w:rPr>
        <w:t xml:space="preserve">手防护：戴橡胶手套 </w:t>
      </w:r>
      <w:r>
        <w:rPr>
          <w:rFonts w:hint="eastAsia" w:ascii="Times New Roman" w:hAnsi="Times New Roman" w:eastAsia="宋体" w:cs="Times New Roman"/>
          <w:bCs/>
          <w:color w:val="auto"/>
          <w:sz w:val="24"/>
          <w:szCs w:val="24"/>
          <w:highlight w:val="none"/>
          <w:u w:val="none" w:color="auto"/>
          <w:lang w:eastAsia="zh-CN"/>
        </w:rPr>
        <w:t>。</w:t>
      </w:r>
      <w:r>
        <w:rPr>
          <w:rFonts w:hint="eastAsia" w:ascii="Times New Roman" w:hAnsi="Times New Roman" w:eastAsia="宋体" w:cs="Times New Roman"/>
          <w:bCs/>
          <w:color w:val="auto"/>
          <w:sz w:val="24"/>
          <w:szCs w:val="24"/>
          <w:highlight w:val="none"/>
          <w:u w:val="none" w:color="auto"/>
        </w:rPr>
        <w:t>身体防护：穿防静电工作服</w:t>
      </w:r>
      <w:r>
        <w:rPr>
          <w:rFonts w:hint="eastAsia" w:ascii="Times New Roman" w:hAnsi="Times New Roman" w:eastAsia="宋体" w:cs="Times New Roman"/>
          <w:bCs/>
          <w:color w:val="auto"/>
          <w:sz w:val="24"/>
          <w:szCs w:val="24"/>
          <w:highlight w:val="none"/>
          <w:u w:val="none" w:color="auto"/>
          <w:lang w:eastAsia="zh-CN"/>
        </w:rPr>
        <w:t>。</w:t>
      </w:r>
      <w:r>
        <w:rPr>
          <w:rFonts w:hint="default" w:ascii="Times New Roman" w:hAnsi="Times New Roman" w:eastAsia="宋体" w:cs="Times New Roman"/>
          <w:bCs/>
          <w:color w:val="auto"/>
          <w:sz w:val="24"/>
          <w:szCs w:val="24"/>
          <w:highlight w:val="none"/>
          <w:u w:val="none" w:color="auto"/>
          <w:lang w:val="en-US" w:eastAsia="zh-CN"/>
        </w:rPr>
        <w:t>可使用任何方法熄灭周围明火。</w:t>
      </w:r>
    </w:p>
    <w:p w14:paraId="0C5B9F05">
      <w:pPr>
        <w:pStyle w:val="9"/>
        <w:bidi w:val="0"/>
        <w:rPr>
          <w:rFonts w:hint="eastAsia"/>
          <w:highlight w:val="none"/>
        </w:rPr>
      </w:pPr>
      <w:r>
        <w:rPr>
          <w:rFonts w:hint="eastAsia"/>
          <w:highlight w:val="none"/>
          <w:lang w:val="en-US" w:eastAsia="zh-CN"/>
        </w:rPr>
        <w:t>6.9.4.4</w:t>
      </w:r>
      <w:r>
        <w:rPr>
          <w:rFonts w:hint="eastAsia"/>
          <w:highlight w:val="none"/>
        </w:rPr>
        <w:t>危险废物储存系统风险防范措施</w:t>
      </w:r>
    </w:p>
    <w:p w14:paraId="5681C036">
      <w:pPr>
        <w:spacing w:line="360" w:lineRule="auto"/>
        <w:ind w:firstLine="480" w:firstLineChars="200"/>
        <w:rPr>
          <w:rFonts w:hint="eastAsia"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项目危废暂存间地面均须进行硬化、防渗、防腐处理。危险废物暂存点必须 按《危险废物贮存污染控制标准》（GB18597-2023）进行设置，做好“三防 ”措施，设置明显的专用标志。定期委托有资质单位进行收运和处理，危险废物的转移实行《危险废物转移管理办法》（2022.1. 1）。</w:t>
      </w:r>
    </w:p>
    <w:p w14:paraId="596A1A9D">
      <w:pPr>
        <w:pStyle w:val="9"/>
        <w:bidi w:val="0"/>
        <w:rPr>
          <w:highlight w:val="none"/>
        </w:rPr>
      </w:pPr>
      <w:r>
        <w:rPr>
          <w:rFonts w:hint="eastAsia"/>
          <w:highlight w:val="none"/>
          <w:lang w:val="en-US" w:eastAsia="zh-CN"/>
        </w:rPr>
        <w:t>6.9.4.5</w:t>
      </w:r>
      <w:r>
        <w:rPr>
          <w:highlight w:val="none"/>
        </w:rPr>
        <w:t>废气事故排放风险防范措施</w:t>
      </w:r>
    </w:p>
    <w:p w14:paraId="50CFCB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在现实许多企业由于设备长期运行失效而出现环保事故排放可以说是屡见不鲜。故建设单位应认真做好设备的保养，定期维护、保修工作，使处理设施达到预期效果。为确保不发生事故性废气排放，建议建设单位采取一定的事故性防范保护措施。</w:t>
      </w:r>
    </w:p>
    <w:p w14:paraId="75D7E12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A 、各生产环节严格执行生产管理的有关规定，加强设备的检修及保养，提 高管理人员素质，并设置机器事故应急措施及管理制度，确保设备长期处于良好状态，使设备达到预期的处理效果。</w:t>
      </w:r>
    </w:p>
    <w:p w14:paraId="1518EA6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B 、现场作业人员定时记录废气处理状况，如对废气处理设施系统、抽风机等设备进行点检工作，并派专人巡视，遇不良工作状况立即停止车间相关作业，维修正常后再开始作业，杜绝事故性废气直排，并及时呈报单位主管。待检修完毕再通知生产车间相关工序。</w:t>
      </w:r>
    </w:p>
    <w:p w14:paraId="1C1F9980">
      <w:pPr>
        <w:pStyle w:val="9"/>
        <w:pageBreakBefore w:val="0"/>
        <w:widowControl w:val="0"/>
        <w:kinsoku/>
        <w:wordWrap/>
        <w:overflowPunct/>
        <w:topLinePunct w:val="0"/>
        <w:autoSpaceDE/>
        <w:autoSpaceDN/>
        <w:bidi w:val="0"/>
        <w:adjustRightInd/>
        <w:snapToGrid/>
        <w:spacing w:beforeLines="0" w:afterLines="0" w:line="360" w:lineRule="auto"/>
        <w:ind w:left="0"/>
        <w:jc w:val="both"/>
        <w:textAlignment w:val="auto"/>
        <w:rPr>
          <w:rFonts w:hint="eastAsia"/>
          <w:highlight w:val="none"/>
          <w:lang w:val="en-US" w:eastAsia="zh-CN"/>
        </w:rPr>
      </w:pPr>
      <w:bookmarkStart w:id="220" w:name="_Toc332050105"/>
      <w:bookmarkStart w:id="221" w:name="_Toc332351030"/>
      <w:bookmarkStart w:id="222" w:name="_Toc331145123"/>
      <w:bookmarkStart w:id="223" w:name="_Toc331146227"/>
      <w:bookmarkStart w:id="224" w:name="_Toc332269567"/>
      <w:r>
        <w:rPr>
          <w:rFonts w:hint="eastAsia"/>
          <w:highlight w:val="none"/>
          <w:lang w:val="en-US" w:eastAsia="zh-CN"/>
        </w:rPr>
        <w:t>6.9.4.6火灾及事故废水环境风险防范措施</w:t>
      </w:r>
    </w:p>
    <w:p w14:paraId="5D0231C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本项目原材料堆放区部分原材料及危废暂存间废导热油遇明火可能会发生火灾或爆炸，为了扑灭初期火灾和小型火灾，本项目在所有建筑物内的必要部位配置泡沫灭火器。消防废水引入事故应急池，项目需建设22m</w:t>
      </w:r>
      <w:r>
        <w:rPr>
          <w:rFonts w:hint="eastAsia" w:ascii="Times New Roman" w:hAnsi="Times New Roman" w:eastAsia="宋体" w:cs="Times New Roman"/>
          <w:bCs/>
          <w:color w:val="auto"/>
          <w:sz w:val="24"/>
          <w:szCs w:val="24"/>
          <w:highlight w:val="none"/>
          <w:u w:val="none" w:color="auto"/>
          <w:vertAlign w:val="superscript"/>
          <w:lang w:val="en-US" w:eastAsia="zh-CN"/>
        </w:rPr>
        <w:t>3</w:t>
      </w:r>
      <w:r>
        <w:rPr>
          <w:rFonts w:hint="eastAsia" w:ascii="Times New Roman" w:hAnsi="Times New Roman" w:eastAsia="宋体" w:cs="Times New Roman"/>
          <w:bCs/>
          <w:color w:val="auto"/>
          <w:sz w:val="24"/>
          <w:szCs w:val="24"/>
          <w:highlight w:val="none"/>
          <w:u w:val="none" w:color="auto"/>
          <w:lang w:val="en-US" w:eastAsia="zh-CN"/>
        </w:rPr>
        <w:t>事故应急池。</w:t>
      </w:r>
    </w:p>
    <w:p w14:paraId="4412B20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bCs/>
          <w:color w:val="auto"/>
          <w:sz w:val="24"/>
          <w:szCs w:val="24"/>
          <w:highlight w:val="none"/>
          <w:u w:val="none" w:color="auto"/>
          <w:lang w:val="en-US" w:eastAsia="zh-CN"/>
        </w:rPr>
      </w:pPr>
      <w:r>
        <w:rPr>
          <w:rFonts w:hint="eastAsia" w:ascii="Times New Roman" w:hAnsi="Times New Roman" w:eastAsia="宋体" w:cs="Times New Roman"/>
          <w:bCs/>
          <w:color w:val="auto"/>
          <w:sz w:val="24"/>
          <w:szCs w:val="24"/>
          <w:highlight w:val="none"/>
          <w:u w:val="none" w:color="auto"/>
          <w:lang w:val="en-US" w:eastAsia="zh-CN"/>
        </w:rPr>
        <w:t xml:space="preserve">当发生火灾、爆炸事故和物料泄漏事故，物料可能通过地表径流，进入雨水收集沟，最终排入外环境。因此，建设项目雨水排放口必须设置切换装置，并设置自动化联动系统，如发生火灾、爆炸事故，应立即启动切换装置，关闭雨水排放口，以免对附近水体造成重大影响。 </w:t>
      </w:r>
    </w:p>
    <w:p w14:paraId="7794ECA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Cs/>
          <w:color w:val="auto"/>
          <w:sz w:val="24"/>
          <w:szCs w:val="24"/>
          <w:highlight w:val="none"/>
          <w:u w:val="none" w:color="auto"/>
          <w:lang w:val="en-US" w:eastAsia="zh-CN"/>
        </w:rPr>
      </w:pPr>
      <w:r>
        <w:rPr>
          <w:rFonts w:hint="default" w:ascii="Times New Roman" w:hAnsi="Times New Roman" w:eastAsia="宋体" w:cs="Times New Roman"/>
          <w:bCs/>
          <w:color w:val="auto"/>
          <w:sz w:val="24"/>
          <w:szCs w:val="24"/>
          <w:highlight w:val="none"/>
          <w:u w:val="none" w:color="auto"/>
          <w:lang w:val="en-US" w:eastAsia="zh-CN"/>
        </w:rPr>
        <w:t>建设项目事故废水必须进入</w:t>
      </w:r>
      <w:r>
        <w:rPr>
          <w:rFonts w:hint="eastAsia" w:ascii="Times New Roman" w:hAnsi="Times New Roman" w:eastAsia="宋体" w:cs="Times New Roman"/>
          <w:bCs/>
          <w:color w:val="auto"/>
          <w:sz w:val="24"/>
          <w:szCs w:val="24"/>
          <w:highlight w:val="none"/>
          <w:u w:val="none" w:color="auto"/>
          <w:lang w:val="en-US" w:eastAsia="zh-CN"/>
        </w:rPr>
        <w:t>事故应急池</w:t>
      </w:r>
      <w:r>
        <w:rPr>
          <w:rFonts w:hint="default" w:ascii="Times New Roman" w:hAnsi="Times New Roman" w:eastAsia="宋体" w:cs="Times New Roman"/>
          <w:bCs/>
          <w:color w:val="auto"/>
          <w:sz w:val="24"/>
          <w:szCs w:val="24"/>
          <w:highlight w:val="none"/>
          <w:u w:val="none" w:color="auto"/>
          <w:lang w:val="en-US" w:eastAsia="zh-CN"/>
        </w:rPr>
        <w:t>处理或委外处置，杜绝将此类废水直接排入工业园污水排放管网。</w:t>
      </w:r>
    </w:p>
    <w:p w14:paraId="3EDC9D77">
      <w:pPr>
        <w:pStyle w:val="9"/>
        <w:pageBreakBefore w:val="0"/>
        <w:widowControl w:val="0"/>
        <w:kinsoku/>
        <w:wordWrap/>
        <w:overflowPunct/>
        <w:topLinePunct w:val="0"/>
        <w:autoSpaceDE/>
        <w:autoSpaceDN/>
        <w:bidi w:val="0"/>
        <w:adjustRightInd/>
        <w:snapToGrid/>
        <w:spacing w:beforeLines="0" w:afterLines="0" w:line="360" w:lineRule="auto"/>
        <w:ind w:left="0"/>
        <w:jc w:val="both"/>
        <w:textAlignment w:val="auto"/>
        <w:rPr>
          <w:highlight w:val="none"/>
        </w:rPr>
      </w:pPr>
      <w:r>
        <w:rPr>
          <w:rFonts w:hint="eastAsia"/>
          <w:highlight w:val="none"/>
          <w:lang w:val="en-US" w:eastAsia="zh-CN"/>
        </w:rPr>
        <w:t>6.9.4.7</w:t>
      </w:r>
      <w:r>
        <w:rPr>
          <w:highlight w:val="none"/>
        </w:rPr>
        <w:t>风险管理措施</w:t>
      </w:r>
      <w:bookmarkEnd w:id="220"/>
      <w:bookmarkEnd w:id="221"/>
      <w:bookmarkEnd w:id="222"/>
      <w:bookmarkEnd w:id="223"/>
      <w:bookmarkEnd w:id="224"/>
    </w:p>
    <w:p w14:paraId="6FA17C5A">
      <w:pPr>
        <w:keepNext w:val="0"/>
        <w:keepLines w:val="0"/>
        <w:pageBreakBefore w:val="0"/>
        <w:widowControl w:val="0"/>
        <w:kinsoku/>
        <w:wordWrap/>
        <w:overflowPunct/>
        <w:topLinePunct w:val="0"/>
        <w:autoSpaceDE/>
        <w:autoSpaceDN/>
        <w:bidi w:val="0"/>
        <w:adjustRightInd/>
        <w:snapToGrid/>
        <w:spacing w:line="360" w:lineRule="auto"/>
        <w:ind w:left="0" w:firstLine="472"/>
        <w:jc w:val="both"/>
        <w:textAlignment w:val="auto"/>
        <w:rPr>
          <w:rFonts w:ascii="宋体" w:hAnsi="宋体" w:eastAsia="宋体" w:cs="宋体"/>
          <w:spacing w:val="-1"/>
          <w:sz w:val="24"/>
          <w:szCs w:val="24"/>
          <w:highlight w:val="none"/>
        </w:rPr>
      </w:pPr>
      <w:bookmarkStart w:id="225" w:name="_Toc332269568"/>
      <w:bookmarkStart w:id="226" w:name="_Toc331145124"/>
      <w:bookmarkStart w:id="227" w:name="_Toc332351031"/>
      <w:bookmarkStart w:id="228" w:name="_Toc331146228"/>
      <w:bookmarkStart w:id="229" w:name="_Toc332050106"/>
      <w:r>
        <w:rPr>
          <w:rFonts w:ascii="宋体" w:hAnsi="宋体" w:eastAsia="宋体" w:cs="宋体"/>
          <w:spacing w:val="-1"/>
          <w:sz w:val="24"/>
          <w:szCs w:val="24"/>
          <w:highlight w:val="none"/>
        </w:rPr>
        <w:t>为保证企业及人民生命财产的安全，防止突发性重大化学事故发生，并在发生事故时，能迅速有序地开展救援工作，尽最大努力减少事故的危害和损失。</w:t>
      </w:r>
      <w:r>
        <w:rPr>
          <w:rFonts w:hint="eastAsia" w:ascii="宋体" w:hAnsi="宋体" w:eastAsia="宋体" w:cs="宋体"/>
          <w:spacing w:val="-1"/>
          <w:sz w:val="24"/>
          <w:szCs w:val="24"/>
          <w:highlight w:val="none"/>
          <w:lang w:val="en-US" w:eastAsia="zh-CN"/>
        </w:rPr>
        <w:t>环评建议企业</w:t>
      </w:r>
      <w:r>
        <w:rPr>
          <w:rFonts w:ascii="宋体" w:hAnsi="宋体" w:eastAsia="宋体" w:cs="宋体"/>
          <w:spacing w:val="-1"/>
          <w:sz w:val="24"/>
          <w:szCs w:val="24"/>
          <w:highlight w:val="none"/>
        </w:rPr>
        <w:t>在安全、环保管理方面建立完善的规章制度和组织机构，</w:t>
      </w:r>
      <w:bookmarkStart w:id="230" w:name="_Toc275786977"/>
      <w:r>
        <w:rPr>
          <w:rFonts w:ascii="宋体" w:hAnsi="宋体" w:eastAsia="宋体" w:cs="宋体"/>
          <w:spacing w:val="-1"/>
          <w:sz w:val="24"/>
          <w:szCs w:val="24"/>
          <w:highlight w:val="none"/>
        </w:rPr>
        <w:t>组建安全环保管理机构，建立班长岗位责任制、定期巡检和维护责任制度等，明确主要环境风险防控岗位责任人和责任机构</w:t>
      </w:r>
      <w:bookmarkEnd w:id="230"/>
      <w:r>
        <w:rPr>
          <w:rFonts w:ascii="宋体" w:hAnsi="宋体" w:eastAsia="宋体" w:cs="宋体"/>
          <w:spacing w:val="-1"/>
          <w:sz w:val="24"/>
          <w:szCs w:val="24"/>
          <w:highlight w:val="none"/>
        </w:rPr>
        <w:t>，并在公司定期开展环境风险宣传工作和风险应急教育培训和演练。</w:t>
      </w:r>
      <w:r>
        <w:rPr>
          <w:rFonts w:hint="eastAsia" w:ascii="宋体" w:hAnsi="宋体" w:eastAsia="宋体" w:cs="宋体"/>
          <w:spacing w:val="-1"/>
          <w:sz w:val="24"/>
          <w:szCs w:val="24"/>
          <w:highlight w:val="none"/>
        </w:rPr>
        <w:t>建立应急预案，并与当地的应急预案衔接，一旦出现事故可借助社会救援，使损失和对环境的污染降到最低。</w:t>
      </w:r>
    </w:p>
    <w:p w14:paraId="71C9B9E6">
      <w:pPr>
        <w:keepNext w:val="0"/>
        <w:keepLines w:val="0"/>
        <w:pageBreakBefore w:val="0"/>
        <w:widowControl w:val="0"/>
        <w:kinsoku/>
        <w:wordWrap/>
        <w:overflowPunct/>
        <w:topLinePunct w:val="0"/>
        <w:autoSpaceDE/>
        <w:autoSpaceDN/>
        <w:bidi w:val="0"/>
        <w:adjustRightInd/>
        <w:snapToGrid/>
        <w:spacing w:line="360" w:lineRule="auto"/>
        <w:ind w:left="0" w:firstLine="472"/>
        <w:jc w:val="both"/>
        <w:textAlignment w:val="auto"/>
        <w:rPr>
          <w:rFonts w:ascii="宋体" w:hAnsi="宋体" w:eastAsia="宋体" w:cs="宋体"/>
          <w:spacing w:val="-1"/>
          <w:sz w:val="24"/>
          <w:szCs w:val="24"/>
          <w:highlight w:val="none"/>
        </w:rPr>
      </w:pPr>
      <w:r>
        <w:rPr>
          <w:rFonts w:ascii="宋体" w:hAnsi="宋体" w:eastAsia="宋体" w:cs="宋体"/>
          <w:spacing w:val="-1"/>
          <w:sz w:val="24"/>
          <w:szCs w:val="24"/>
          <w:highlight w:val="none"/>
        </w:rPr>
        <w:t>评价建议，本项目建成后应将之及时纳入厂区现有的风险防范管理体系中，建立完善的风险防范管理制度和组织机构，并对生产员工开展宣传教育和培训演练工作，减少或避免环境风险事故的发生。</w:t>
      </w:r>
    </w:p>
    <w:bookmarkEnd w:id="225"/>
    <w:bookmarkEnd w:id="226"/>
    <w:bookmarkEnd w:id="227"/>
    <w:bookmarkEnd w:id="228"/>
    <w:bookmarkEnd w:id="229"/>
    <w:p w14:paraId="4EC8D84B">
      <w:pPr>
        <w:pStyle w:val="56"/>
        <w:bidi w:val="0"/>
        <w:rPr>
          <w:rFonts w:hint="default" w:ascii="Times New Roman" w:hAnsi="Times New Roman" w:eastAsia="宋体" w:cs="Times New Roman"/>
          <w:color w:val="auto"/>
          <w:highlight w:val="none"/>
          <w:u w:val="none" w:color="auto"/>
          <w:lang w:eastAsia="zh-CN"/>
        </w:rPr>
      </w:pPr>
      <w:bookmarkStart w:id="231" w:name="_Toc28844"/>
      <w:bookmarkStart w:id="232" w:name="_Toc27339"/>
      <w:bookmarkStart w:id="233" w:name="_Toc20388408"/>
      <w:bookmarkStart w:id="234" w:name="_Toc27014"/>
      <w:bookmarkStart w:id="235" w:name="_Toc25978"/>
      <w:bookmarkStart w:id="236" w:name="_Toc17920"/>
      <w:bookmarkStart w:id="237" w:name="_Toc4011"/>
      <w:r>
        <w:rPr>
          <w:rFonts w:hint="default" w:ascii="Times New Roman" w:hAnsi="Times New Roman" w:eastAsia="宋体" w:cs="Times New Roman"/>
          <w:color w:val="auto"/>
          <w:szCs w:val="22"/>
          <w:highlight w:val="none"/>
          <w:u w:val="none" w:color="auto"/>
          <w:lang w:val="en-US" w:eastAsia="zh-CN"/>
        </w:rPr>
        <w:t>6.</w:t>
      </w:r>
      <w:r>
        <w:rPr>
          <w:rFonts w:hint="eastAsia" w:cs="Times New Roman"/>
          <w:color w:val="auto"/>
          <w:szCs w:val="22"/>
          <w:highlight w:val="none"/>
          <w:u w:val="none" w:color="auto"/>
          <w:lang w:val="en-US" w:eastAsia="zh-CN"/>
        </w:rPr>
        <w:t>9.5</w:t>
      </w:r>
      <w:r>
        <w:rPr>
          <w:rFonts w:hint="default" w:ascii="Times New Roman" w:hAnsi="Times New Roman" w:eastAsia="宋体" w:cs="Times New Roman"/>
          <w:color w:val="auto"/>
          <w:szCs w:val="22"/>
          <w:highlight w:val="none"/>
          <w:u w:val="none" w:color="auto"/>
          <w:lang w:eastAsia="zh-CN"/>
        </w:rPr>
        <w:t>风险分析结论</w:t>
      </w:r>
      <w:bookmarkEnd w:id="231"/>
      <w:bookmarkEnd w:id="232"/>
      <w:bookmarkEnd w:id="233"/>
      <w:bookmarkEnd w:id="234"/>
      <w:bookmarkEnd w:id="235"/>
      <w:bookmarkEnd w:id="236"/>
      <w:bookmarkEnd w:id="237"/>
    </w:p>
    <w:p w14:paraId="1FF34DF0">
      <w:pPr>
        <w:spacing w:line="360" w:lineRule="auto"/>
        <w:ind w:firstLine="480" w:firstLineChars="200"/>
        <w:rPr>
          <w:rFonts w:hint="default" w:ascii="Times New Roman" w:hAnsi="Times New Roman" w:eastAsia="宋体" w:cs="Times New Roman"/>
          <w:bCs/>
          <w:color w:val="auto"/>
          <w:sz w:val="24"/>
          <w:szCs w:val="24"/>
          <w:highlight w:val="none"/>
          <w:u w:val="none" w:color="auto"/>
        </w:rPr>
      </w:pPr>
      <w:r>
        <w:rPr>
          <w:rFonts w:hint="default" w:ascii="Times New Roman" w:hAnsi="Times New Roman" w:eastAsia="宋体" w:cs="Times New Roman"/>
          <w:bCs/>
          <w:color w:val="auto"/>
          <w:sz w:val="24"/>
          <w:szCs w:val="24"/>
          <w:highlight w:val="none"/>
          <w:u w:val="none" w:color="auto"/>
        </w:rPr>
        <w:t>通过对生产设施风险识别和生产过程所涉及的物质风险识别，确定本项目的风险类型主要为泄漏、火灾</w:t>
      </w:r>
      <w:r>
        <w:rPr>
          <w:rFonts w:hint="default" w:ascii="Times New Roman" w:hAnsi="Times New Roman" w:eastAsia="宋体" w:cs="Times New Roman"/>
          <w:bCs/>
          <w:color w:val="auto"/>
          <w:sz w:val="24"/>
          <w:szCs w:val="24"/>
          <w:highlight w:val="none"/>
          <w:u w:val="none" w:color="auto"/>
          <w:lang w:val="en-US" w:eastAsia="zh-CN"/>
        </w:rPr>
        <w:t>/爆炸</w:t>
      </w:r>
      <w:r>
        <w:rPr>
          <w:rFonts w:hint="eastAsia" w:ascii="Times New Roman" w:hAnsi="Times New Roman" w:eastAsia="宋体" w:cs="Times New Roman"/>
          <w:bCs/>
          <w:color w:val="auto"/>
          <w:sz w:val="24"/>
          <w:szCs w:val="24"/>
          <w:highlight w:val="none"/>
          <w:u w:val="none" w:color="auto"/>
          <w:lang w:val="en-US" w:eastAsia="zh-CN"/>
        </w:rPr>
        <w:t>、废气治理设备故障</w:t>
      </w:r>
      <w:r>
        <w:rPr>
          <w:rFonts w:hint="default" w:ascii="Times New Roman" w:hAnsi="Times New Roman" w:eastAsia="宋体" w:cs="Times New Roman"/>
          <w:bCs/>
          <w:color w:val="auto"/>
          <w:sz w:val="24"/>
          <w:szCs w:val="24"/>
          <w:highlight w:val="none"/>
          <w:u w:val="none" w:color="auto"/>
        </w:rPr>
        <w:t>等。为了防范事故和减少危害，建设项目从厂区总平面布置、生产操作和原料储运安全防范等方面编制了详细的风险防范措施</w:t>
      </w:r>
      <w:r>
        <w:rPr>
          <w:rFonts w:hint="eastAsia" w:ascii="Times New Roman" w:hAnsi="Times New Roman" w:eastAsia="宋体" w:cs="Times New Roman"/>
          <w:bCs/>
          <w:color w:val="auto"/>
          <w:sz w:val="24"/>
          <w:szCs w:val="24"/>
          <w:highlight w:val="none"/>
          <w:u w:val="none" w:color="auto"/>
          <w:lang w:eastAsia="zh-CN"/>
        </w:rPr>
        <w:t>，</w:t>
      </w:r>
      <w:r>
        <w:rPr>
          <w:rFonts w:hint="default" w:ascii="Times New Roman" w:hAnsi="Times New Roman" w:eastAsia="宋体" w:cs="Times New Roman"/>
          <w:bCs/>
          <w:color w:val="auto"/>
          <w:sz w:val="24"/>
          <w:szCs w:val="24"/>
          <w:highlight w:val="none"/>
          <w:u w:val="none" w:color="auto"/>
        </w:rPr>
        <w:t>以控制事故和减少对环境造成的危害。</w:t>
      </w:r>
    </w:p>
    <w:p w14:paraId="493AFA0C">
      <w:pPr>
        <w:spacing w:line="360" w:lineRule="auto"/>
        <w:ind w:firstLine="480" w:firstLineChars="200"/>
        <w:rPr>
          <w:rFonts w:hint="default" w:ascii="Times New Roman" w:hAnsi="Times New Roman" w:eastAsia="宋体" w:cs="Times New Roman"/>
          <w:i w:val="0"/>
          <w:iCs w:val="0"/>
          <w:caps w:val="0"/>
          <w:color w:val="000000" w:themeColor="text1"/>
          <w:spacing w:val="0"/>
          <w:sz w:val="21"/>
          <w:szCs w:val="21"/>
          <w:highlight w:val="none"/>
          <w:shd w:val="clear" w:fill="FFFFFF"/>
          <w:lang w:val="en-US" w:eastAsia="zh-CN"/>
          <w14:textFill>
            <w14:solidFill>
              <w14:schemeClr w14:val="tx1"/>
            </w14:solidFill>
          </w14:textFill>
        </w:rPr>
      </w:pPr>
      <w:r>
        <w:rPr>
          <w:rFonts w:hint="default" w:ascii="Times New Roman" w:hAnsi="Times New Roman" w:eastAsia="宋体" w:cs="Times New Roman"/>
          <w:bCs/>
          <w:color w:val="auto"/>
          <w:sz w:val="24"/>
          <w:szCs w:val="24"/>
          <w:highlight w:val="none"/>
          <w:u w:val="none" w:color="auto"/>
        </w:rPr>
        <w:t>综上所述，项目在采取严格安全防范措施、落实相关风险防范措施后，其风险水平总体上是可以接受的。项目在各环境风险防范措施落实到位的情况下，相应风险防范措施具有有效性，将可大大降低项目的环境风险，最大程度减少对环境可能造成的危害。</w:t>
      </w:r>
    </w:p>
    <w:p w14:paraId="3235A195">
      <w:pPr>
        <w:pStyle w:val="5"/>
        <w:pageBreakBefore w:val="0"/>
        <w:widowControl w:val="0"/>
        <w:kinsoku/>
        <w:wordWrap/>
        <w:overflowPunct/>
        <w:topLinePunct w:val="0"/>
        <w:autoSpaceDE/>
        <w:autoSpaceDN/>
        <w:bidi w:val="0"/>
        <w:adjustRightInd/>
        <w:snapToGrid/>
        <w:spacing w:afterAutospacing="0" w:line="360" w:lineRule="auto"/>
        <w:textAlignment w:val="auto"/>
        <w:rPr>
          <w:highlight w:val="none"/>
        </w:rPr>
      </w:pPr>
      <w:bookmarkStart w:id="238" w:name="_Toc7656"/>
      <w:bookmarkStart w:id="239" w:name="_Toc488833087"/>
      <w:r>
        <w:rPr>
          <w:highlight w:val="none"/>
        </w:rPr>
        <w:t>7、环境保护措施及其可行性论证</w:t>
      </w:r>
      <w:bookmarkEnd w:id="238"/>
      <w:bookmarkEnd w:id="239"/>
    </w:p>
    <w:p w14:paraId="0AE83424">
      <w:pPr>
        <w:pStyle w:val="6"/>
        <w:pageBreakBefore w:val="0"/>
        <w:widowControl w:val="0"/>
        <w:kinsoku/>
        <w:wordWrap/>
        <w:overflowPunct/>
        <w:topLinePunct w:val="0"/>
        <w:autoSpaceDE/>
        <w:autoSpaceDN/>
        <w:bidi w:val="0"/>
        <w:adjustRightInd/>
        <w:snapToGrid/>
        <w:spacing w:afterAutospacing="0" w:line="360" w:lineRule="auto"/>
        <w:textAlignment w:val="auto"/>
        <w:rPr>
          <w:highlight w:val="none"/>
        </w:rPr>
      </w:pPr>
      <w:bookmarkStart w:id="240" w:name="_Toc15466"/>
      <w:r>
        <w:rPr>
          <w:rFonts w:hint="eastAsia"/>
          <w:highlight w:val="none"/>
          <w:lang w:val="en-US" w:eastAsia="zh-CN"/>
        </w:rPr>
        <w:t>7</w:t>
      </w:r>
      <w:r>
        <w:rPr>
          <w:highlight w:val="none"/>
        </w:rPr>
        <w:t>.1</w:t>
      </w:r>
      <w:r>
        <w:rPr>
          <w:rFonts w:hint="eastAsia"/>
          <w:highlight w:val="none"/>
          <w:lang w:val="en-US" w:eastAsia="zh-CN"/>
        </w:rPr>
        <w:t xml:space="preserve"> </w:t>
      </w:r>
      <w:r>
        <w:rPr>
          <w:highlight w:val="none"/>
        </w:rPr>
        <w:t>施工期环境保护措施可行性分析</w:t>
      </w:r>
      <w:bookmarkEnd w:id="240"/>
    </w:p>
    <w:p w14:paraId="64765431">
      <w:pPr>
        <w:pStyle w:val="50"/>
        <w:rPr>
          <w:rFonts w:hint="eastAsia"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本项目利用已建成建筑，施工期主要是环境影响是</w:t>
      </w:r>
      <w:r>
        <w:rPr>
          <w:rFonts w:hint="eastAsia" w:ascii="Times New Roman" w:hAnsi="Times New Roman" w:eastAsia="宋体" w:cs="Times New Roman"/>
          <w:color w:val="auto"/>
          <w:highlight w:val="none"/>
          <w:u w:val="none" w:color="auto"/>
          <w:lang w:val="en-US" w:eastAsia="zh-CN"/>
        </w:rPr>
        <w:t>。施工期主要内容为厂房改造装修以及安装工程。厂房改造主要是对厂房进行分区隔断及设备基础建设及设备安装。</w:t>
      </w:r>
    </w:p>
    <w:p w14:paraId="5DD7328F">
      <w:pPr>
        <w:pStyle w:val="50"/>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大气环境的影响主要来自建筑材料装卸产生的扬尘、厂房改造装饰及交通运输产生的扬尘；汽车产生的废气等。</w:t>
      </w:r>
      <w:r>
        <w:rPr>
          <w:rFonts w:hint="default" w:ascii="Times New Roman" w:hAnsi="Times New Roman" w:eastAsia="宋体" w:cs="Times New Roman"/>
          <w:color w:val="auto"/>
          <w:highlight w:val="none"/>
          <w:u w:val="none" w:color="auto"/>
          <w:lang w:val="en-US" w:eastAsia="zh-CN"/>
        </w:rPr>
        <w:t>施工期噪声主要来源于 施工机械，其噪声源强在 80~90dB(A)左右，由于本项目施工作业主要在室内进行，施工设备噪声对外环境的影响经采用相应的减振降噪措施及厂房隔声后对外环境影响很小。由于工程量较少，工期较短，因此该项目施工过程产生的废气和粉尘、废水、 固废产生量较少，对周边环境影响很小。</w:t>
      </w:r>
    </w:p>
    <w:p w14:paraId="71B61AAC">
      <w:pPr>
        <w:pStyle w:val="5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为将项目施工期对外环境的影响降至最低，环评要求的减缓及防治措施如下：</w:t>
      </w:r>
    </w:p>
    <w:p w14:paraId="30D10B3C">
      <w:pPr>
        <w:pStyle w:val="5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（1）加强施工机械的维护和保养，避免由于设备性能差而导致机械噪声增大的 现象发生。</w:t>
      </w:r>
    </w:p>
    <w:p w14:paraId="73277B7A">
      <w:pPr>
        <w:pStyle w:val="5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（2）设备选型时，在满足施工需要的前提条件下，尽可能选取噪声低、振动小、 能耗小的先进设备。</w:t>
      </w:r>
    </w:p>
    <w:p w14:paraId="7FC079B1">
      <w:pPr>
        <w:pStyle w:val="5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（3）运输材料与设备的车辆在城区行使时，实行禁鸣。</w:t>
      </w:r>
    </w:p>
    <w:p w14:paraId="052A0E35">
      <w:pPr>
        <w:pStyle w:val="50"/>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4）加强车辆管理，运输车辆遮盖篷布，颠簸路段控制车速，对路面进行清扫，最大程度减少废气对周边的影响。生活废水依托租赁厂区的建成配套设施排入园区管网；施工人员生活垃圾依托当地环卫部门及时清运处理；施工中建筑垃圾产生的建筑垃圾不能随意丢弃，应该运送至政府指定的建筑垃圾消纳场进行处理。</w:t>
      </w:r>
    </w:p>
    <w:p w14:paraId="50050726">
      <w:pPr>
        <w:pStyle w:val="5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上述措施在一定程度上控制了施工噪声的污染，同时措施可行，对周边环境影响很小。</w:t>
      </w:r>
    </w:p>
    <w:p w14:paraId="09A78C80">
      <w:pPr>
        <w:pStyle w:val="6"/>
        <w:bidi w:val="0"/>
        <w:rPr>
          <w:highlight w:val="none"/>
        </w:rPr>
      </w:pPr>
      <w:bookmarkStart w:id="241" w:name="_Toc27439"/>
      <w:r>
        <w:rPr>
          <w:rFonts w:hint="eastAsia"/>
          <w:highlight w:val="none"/>
          <w:lang w:val="en-US" w:eastAsia="zh-CN"/>
        </w:rPr>
        <w:t>7</w:t>
      </w:r>
      <w:r>
        <w:rPr>
          <w:highlight w:val="none"/>
        </w:rPr>
        <w:t>.2</w:t>
      </w:r>
      <w:r>
        <w:rPr>
          <w:rFonts w:hint="eastAsia"/>
          <w:highlight w:val="none"/>
          <w:lang w:val="en-US" w:eastAsia="zh-CN"/>
        </w:rPr>
        <w:t xml:space="preserve"> </w:t>
      </w:r>
      <w:r>
        <w:rPr>
          <w:highlight w:val="none"/>
        </w:rPr>
        <w:t>营运期大气环境污染防治措施及可行性</w:t>
      </w:r>
      <w:bookmarkEnd w:id="241"/>
    </w:p>
    <w:p w14:paraId="728F36A5">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eastAsia="宋体" w:cs="Times New Roman"/>
          <w:b/>
          <w:bCs/>
          <w:color w:val="000000"/>
          <w:kern w:val="0"/>
          <w:sz w:val="24"/>
          <w:szCs w:val="24"/>
          <w:highlight w:val="none"/>
          <w:lang w:val="en-US" w:eastAsia="zh-CN" w:bidi="ar"/>
        </w:rPr>
      </w:pPr>
      <w:r>
        <w:rPr>
          <w:rFonts w:hint="eastAsia" w:cs="Times New Roman"/>
          <w:b/>
          <w:bCs/>
          <w:color w:val="000000"/>
          <w:kern w:val="0"/>
          <w:sz w:val="24"/>
          <w:szCs w:val="24"/>
          <w:highlight w:val="none"/>
          <w:lang w:val="en-US" w:eastAsia="zh-CN" w:bidi="ar"/>
        </w:rPr>
        <w:t>1、有机废气处理措施方案选择</w:t>
      </w:r>
    </w:p>
    <w:p w14:paraId="5679314B">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eastAsia" w:ascii="Times New Roman" w:hAnsi="Times New Roman" w:eastAsia="宋体" w:cs="Times New Roman"/>
          <w:color w:val="FF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根据《排污许可证申请与核发技术规范专用化学产品制造工业》(HJ1103-2020)表9中“制革工业用整理剂、助剂/皮革化学品--生产/反应单元”</w:t>
      </w:r>
      <w:r>
        <w:rPr>
          <w:rFonts w:hint="eastAsia" w:ascii="Times New Roman" w:hAnsi="Times New Roman" w:eastAsia="宋体" w:cs="Times New Roman"/>
          <w:color w:val="auto"/>
          <w:kern w:val="0"/>
          <w:sz w:val="24"/>
          <w:szCs w:val="24"/>
          <w:highlight w:val="none"/>
          <w:lang w:val="en-US" w:eastAsia="zh-CN" w:bidi="ar"/>
        </w:rPr>
        <w:t>污染防治设施为“罐体密闭;脱硫;活性炭吸附;冷凝;其他”，根据附录C，专用化学产品制造工业所有挥发性有机物污染防治可行技术为“冷凝、吸收、吸附、燃烧(直接燃烧、热力燃烧.催化燃烧)、冷凝-吸附、冷凝-吸附-燃烧”，本项目</w:t>
      </w:r>
      <w:r>
        <w:rPr>
          <w:rFonts w:hint="eastAsia" w:cs="Times New Roman"/>
          <w:color w:val="auto"/>
          <w:kern w:val="0"/>
          <w:sz w:val="24"/>
          <w:szCs w:val="24"/>
          <w:highlight w:val="none"/>
          <w:lang w:val="en-US" w:eastAsia="zh-CN" w:bidi="ar"/>
        </w:rPr>
        <w:t>助剂粉剂冷却工序有机废气治理措施</w:t>
      </w:r>
      <w:r>
        <w:rPr>
          <w:rFonts w:hint="eastAsia" w:ascii="Times New Roman" w:hAnsi="Times New Roman" w:eastAsia="宋体" w:cs="Times New Roman"/>
          <w:color w:val="auto"/>
          <w:kern w:val="0"/>
          <w:sz w:val="24"/>
          <w:szCs w:val="24"/>
          <w:highlight w:val="none"/>
          <w:lang w:val="en-US" w:eastAsia="zh-CN" w:bidi="ar"/>
        </w:rPr>
        <w:t>选用“二级活性炭吸附</w:t>
      </w:r>
      <w:r>
        <w:rPr>
          <w:rFonts w:hint="eastAsia" w:ascii="Times New Roman" w:hAnsi="Times New Roman" w:eastAsia="宋体" w:cs="Times New Roman"/>
          <w:color w:val="auto"/>
          <w:highlight w:val="none"/>
          <w:u w:val="none" w:color="auto"/>
          <w:lang w:eastAsia="zh-CN"/>
        </w:rPr>
        <w:t>箱</w:t>
      </w:r>
      <w:r>
        <w:rPr>
          <w:rFonts w:hint="eastAsia" w:cs="Times New Roman"/>
          <w:color w:val="auto"/>
          <w:highlight w:val="none"/>
          <w:u w:val="none" w:color="auto"/>
          <w:lang w:val="en-US" w:eastAsia="zh-CN"/>
        </w:rPr>
        <w:t>+15米排气筒</w:t>
      </w:r>
      <w:r>
        <w:rPr>
          <w:rFonts w:hint="eastAsia" w:ascii="Times New Roman" w:hAnsi="Times New Roman" w:eastAsia="宋体" w:cs="Times New Roman"/>
          <w:color w:val="auto"/>
          <w:kern w:val="0"/>
          <w:sz w:val="24"/>
          <w:szCs w:val="24"/>
          <w:highlight w:val="none"/>
          <w:lang w:val="en-US" w:eastAsia="zh-CN" w:bidi="ar"/>
        </w:rPr>
        <w:t>”属于附录C可行性技术。</w:t>
      </w:r>
    </w:p>
    <w:p w14:paraId="4D5F1DB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outlineLvl w:val="9"/>
        <w:rPr>
          <w:rFonts w:hint="eastAsia" w:eastAsia="宋体"/>
          <w:b/>
          <w:bCs/>
          <w:spacing w:val="-4"/>
          <w:sz w:val="30"/>
          <w:szCs w:val="30"/>
          <w:highlight w:val="none"/>
          <w:lang w:eastAsia="zh-CN"/>
        </w:rPr>
      </w:pPr>
      <w:r>
        <w:rPr>
          <w:rFonts w:hint="eastAsia" w:cs="Times New Roman"/>
          <w:b/>
          <w:bCs/>
          <w:color w:val="000000"/>
          <w:kern w:val="0"/>
          <w:sz w:val="24"/>
          <w:szCs w:val="24"/>
          <w:highlight w:val="none"/>
          <w:lang w:val="en-US" w:eastAsia="zh-CN" w:bidi="ar"/>
        </w:rPr>
        <w:t xml:space="preserve">   表7.2-1排污许可技术规范废气污染防治可行技术参考表</w:t>
      </w:r>
      <w:r>
        <w:rPr>
          <w:rFonts w:hint="eastAsia" w:eastAsia="宋体"/>
          <w:b/>
          <w:bCs/>
          <w:spacing w:val="-4"/>
          <w:sz w:val="30"/>
          <w:szCs w:val="30"/>
          <w:highlight w:val="none"/>
          <w:lang w:eastAsia="zh-CN"/>
        </w:rPr>
        <w:drawing>
          <wp:inline distT="0" distB="0" distL="114300" distR="114300">
            <wp:extent cx="5218430" cy="1342390"/>
            <wp:effectExtent l="0" t="0" r="0" b="0"/>
            <wp:docPr id="7" name="图片 7" descr="06c2a86f5c4ce1af34305fe7b19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6c2a86f5c4ce1af34305fe7b194382"/>
                    <pic:cNvPicPr>
                      <a:picLocks noChangeAspect="1"/>
                    </pic:cNvPicPr>
                  </pic:nvPicPr>
                  <pic:blipFill>
                    <a:blip r:embed="rId38"/>
                    <a:srcRect l="869" t="25980"/>
                    <a:stretch>
                      <a:fillRect/>
                    </a:stretch>
                  </pic:blipFill>
                  <pic:spPr>
                    <a:xfrm>
                      <a:off x="0" y="0"/>
                      <a:ext cx="5218430" cy="1342390"/>
                    </a:xfrm>
                    <a:prstGeom prst="rect">
                      <a:avLst/>
                    </a:prstGeom>
                  </pic:spPr>
                </pic:pic>
              </a:graphicData>
            </a:graphic>
          </wp:inline>
        </w:drawing>
      </w:r>
    </w:p>
    <w:p w14:paraId="694836DE">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both"/>
        <w:textAlignment w:val="auto"/>
        <w:outlineLvl w:val="9"/>
        <w:rPr>
          <w:rFonts w:hint="eastAsia" w:eastAsia="宋体" w:cs="Times New Roman"/>
          <w:b/>
          <w:bCs/>
          <w:spacing w:val="-3"/>
          <w:sz w:val="30"/>
          <w:szCs w:val="30"/>
          <w:highlight w:val="none"/>
          <w:lang w:val="en-US" w:eastAsia="zh-CN"/>
        </w:rPr>
      </w:pPr>
      <w:r>
        <w:rPr>
          <w:rFonts w:hint="default" w:ascii="Times New Roman" w:hAnsi="Times New Roman" w:cs="Times New Roman" w:eastAsiaTheme="minorEastAsia"/>
          <w:b/>
          <w:bCs/>
          <w:spacing w:val="-3"/>
          <w:sz w:val="21"/>
          <w:szCs w:val="21"/>
          <w:highlight w:val="none"/>
          <w:lang w:val="en-US" w:eastAsia="zh-CN"/>
        </w:rPr>
        <w:t>注:摘自《排污许可证申请与核发技术规范专用化学品产品制造工业》(HJ1103-2020)附录C。</w:t>
      </w:r>
    </w:p>
    <w:p w14:paraId="25A38CFD">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2、处理效果及可行性分析</w:t>
      </w:r>
    </w:p>
    <w:p w14:paraId="4337F553">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eastAsia" w:cs="Times New Roman"/>
          <w:b/>
          <w:bCs/>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根据《主要污染物总量减排核算技术指南》</w:t>
      </w:r>
      <w:r>
        <w:rPr>
          <w:rFonts w:hint="eastAsia" w:cs="Times New Roman"/>
          <w:color w:val="000000"/>
          <w:kern w:val="0"/>
          <w:sz w:val="24"/>
          <w:szCs w:val="24"/>
          <w:highlight w:val="none"/>
          <w:lang w:val="en-US" w:eastAsia="zh-CN" w:bidi="ar"/>
        </w:rPr>
        <w:t>（2022年修订）</w:t>
      </w:r>
      <w:r>
        <w:rPr>
          <w:rFonts w:hint="default" w:ascii="Times New Roman" w:hAnsi="Times New Roman" w:eastAsia="宋体" w:cs="Times New Roman"/>
          <w:color w:val="000000"/>
          <w:kern w:val="0"/>
          <w:sz w:val="24"/>
          <w:szCs w:val="24"/>
          <w:highlight w:val="none"/>
          <w:lang w:val="en-US" w:eastAsia="zh-CN" w:bidi="ar"/>
        </w:rPr>
        <w:t>，一次性活性炭吸附（集中再生并活化）VOCs去除效率为50%，</w:t>
      </w:r>
      <w:r>
        <w:rPr>
          <w:rFonts w:hint="eastAsia" w:cs="Times New Roman"/>
          <w:color w:val="000000"/>
          <w:kern w:val="0"/>
          <w:sz w:val="24"/>
          <w:szCs w:val="24"/>
          <w:highlight w:val="none"/>
          <w:lang w:val="en-US" w:eastAsia="zh-CN" w:bidi="ar"/>
        </w:rPr>
        <w:t>本项目采用</w:t>
      </w:r>
      <w:r>
        <w:rPr>
          <w:rFonts w:hint="default" w:ascii="Times New Roman" w:hAnsi="Times New Roman" w:eastAsia="宋体" w:cs="Times New Roman"/>
          <w:color w:val="000000"/>
          <w:kern w:val="0"/>
          <w:sz w:val="24"/>
          <w:szCs w:val="24"/>
          <w:highlight w:val="none"/>
          <w:lang w:val="en-US" w:eastAsia="zh-CN" w:bidi="ar"/>
        </w:rPr>
        <w:t>二级活性炭吸附效率则为75%。</w:t>
      </w:r>
      <w:r>
        <w:rPr>
          <w:rFonts w:hint="eastAsia" w:cs="Times New Roman"/>
          <w:color w:val="000000"/>
          <w:kern w:val="0"/>
          <w:sz w:val="24"/>
          <w:szCs w:val="24"/>
          <w:highlight w:val="none"/>
          <w:lang w:val="en-US" w:eastAsia="zh-CN" w:bidi="ar"/>
        </w:rPr>
        <w:t>有机废气经二级活性炭吸附箱处理后，通过15米排气筒高空排放。</w:t>
      </w:r>
    </w:p>
    <w:p w14:paraId="435C7C74">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0" w:firstLineChars="0"/>
        <w:jc w:val="center"/>
        <w:textAlignment w:val="auto"/>
        <w:outlineLvl w:val="9"/>
        <w:rPr>
          <w:rFonts w:hint="default" w:cs="Times New Roman"/>
          <w:b/>
          <w:bCs/>
          <w:color w:val="000000"/>
          <w:kern w:val="0"/>
          <w:sz w:val="24"/>
          <w:szCs w:val="24"/>
          <w:highlight w:val="none"/>
          <w:lang w:val="en-US" w:eastAsia="zh-CN" w:bidi="ar"/>
        </w:rPr>
      </w:pPr>
      <w:r>
        <w:rPr>
          <w:rFonts w:hint="eastAsia" w:cs="Times New Roman"/>
          <w:b/>
          <w:bCs/>
          <w:color w:val="000000"/>
          <w:kern w:val="0"/>
          <w:sz w:val="24"/>
          <w:szCs w:val="24"/>
          <w:highlight w:val="none"/>
          <w:lang w:val="en-US" w:eastAsia="zh-CN" w:bidi="ar"/>
        </w:rPr>
        <w:t>表7.2-2</w:t>
      </w:r>
      <w:r>
        <w:rPr>
          <w:rFonts w:hint="default" w:cs="Times New Roman"/>
          <w:b/>
          <w:bCs/>
          <w:color w:val="000000"/>
          <w:kern w:val="0"/>
          <w:sz w:val="24"/>
          <w:szCs w:val="24"/>
          <w:highlight w:val="none"/>
          <w:lang w:val="en-US" w:eastAsia="zh-CN" w:bidi="ar"/>
        </w:rPr>
        <w:t>《</w:t>
      </w:r>
      <w:r>
        <w:rPr>
          <w:rFonts w:hint="eastAsia" w:cs="Times New Roman"/>
          <w:b/>
          <w:bCs/>
          <w:color w:val="000000"/>
          <w:kern w:val="0"/>
          <w:sz w:val="24"/>
          <w:szCs w:val="24"/>
          <w:highlight w:val="none"/>
          <w:lang w:val="en-US" w:eastAsia="zh-CN" w:bidi="ar"/>
        </w:rPr>
        <w:t xml:space="preserve"> </w:t>
      </w:r>
      <w:r>
        <w:rPr>
          <w:rFonts w:hint="default" w:cs="Times New Roman"/>
          <w:b/>
          <w:bCs/>
          <w:color w:val="000000"/>
          <w:kern w:val="0"/>
          <w:sz w:val="24"/>
          <w:szCs w:val="24"/>
          <w:highlight w:val="none"/>
          <w:lang w:val="en-US" w:eastAsia="zh-CN" w:bidi="ar"/>
        </w:rPr>
        <w:t>主要污染物总量减排核算技术指南》</w:t>
      </w:r>
      <w:r>
        <w:rPr>
          <w:rFonts w:hint="eastAsia" w:cs="Times New Roman"/>
          <w:b/>
          <w:bCs/>
          <w:color w:val="000000"/>
          <w:kern w:val="0"/>
          <w:sz w:val="24"/>
          <w:szCs w:val="24"/>
          <w:highlight w:val="none"/>
          <w:lang w:val="en-US" w:eastAsia="zh-CN" w:bidi="ar"/>
        </w:rPr>
        <w:t>VOCs去除效率</w:t>
      </w:r>
    </w:p>
    <w:p w14:paraId="28FCAD6B">
      <w:pPr>
        <w:pStyle w:val="2"/>
        <w:keepNext w:val="0"/>
        <w:keepLines w:val="0"/>
        <w:pageBreakBefore w:val="0"/>
        <w:widowControl/>
        <w:kinsoku/>
        <w:wordWrap/>
        <w:overflowPunct/>
        <w:topLinePunct w:val="0"/>
        <w:autoSpaceDE/>
        <w:autoSpaceDN/>
        <w:bidi w:val="0"/>
        <w:adjustRightInd/>
        <w:snapToGrid w:val="0"/>
        <w:spacing w:before="0" w:line="360" w:lineRule="auto"/>
        <w:ind w:left="0" w:right="0" w:firstLine="0" w:firstLineChars="0"/>
        <w:jc w:val="center"/>
        <w:textAlignment w:val="auto"/>
        <w:outlineLvl w:val="9"/>
        <w:rPr>
          <w:rFonts w:hint="default" w:ascii="Times New Roman" w:hAnsi="Times New Roman" w:eastAsia="宋体" w:cs="Times New Roman"/>
          <w:b/>
          <w:bCs/>
          <w:color w:val="000000"/>
          <w:kern w:val="0"/>
          <w:sz w:val="24"/>
          <w:szCs w:val="24"/>
          <w:highlight w:val="none"/>
          <w:lang w:val="en-US" w:eastAsia="zh-CN" w:bidi="ar"/>
        </w:rPr>
      </w:pPr>
      <w:r>
        <w:rPr>
          <w:rFonts w:hint="eastAsia" w:eastAsia="宋体" w:cs="Times New Roman"/>
          <w:b/>
          <w:bCs/>
          <w:spacing w:val="-3"/>
          <w:sz w:val="30"/>
          <w:szCs w:val="30"/>
          <w:highlight w:val="none"/>
          <w:lang w:val="en-US" w:eastAsia="zh-CN"/>
        </w:rPr>
        <w:drawing>
          <wp:inline distT="0" distB="0" distL="114300" distR="114300">
            <wp:extent cx="5228590" cy="1053465"/>
            <wp:effectExtent l="0" t="0" r="0" b="0"/>
            <wp:docPr id="9" name="图片 9" descr="134dc4d7aa685e6f192924e87d5c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4dc4d7aa685e6f192924e87d5c686"/>
                    <pic:cNvPicPr>
                      <a:picLocks noChangeAspect="1"/>
                    </pic:cNvPicPr>
                  </pic:nvPicPr>
                  <pic:blipFill>
                    <a:blip r:embed="rId39"/>
                    <a:srcRect r="783"/>
                    <a:stretch>
                      <a:fillRect/>
                    </a:stretch>
                  </pic:blipFill>
                  <pic:spPr>
                    <a:xfrm>
                      <a:off x="0" y="0"/>
                      <a:ext cx="5228590" cy="1053465"/>
                    </a:xfrm>
                    <a:prstGeom prst="rect">
                      <a:avLst/>
                    </a:prstGeom>
                  </pic:spPr>
                </pic:pic>
              </a:graphicData>
            </a:graphic>
          </wp:inline>
        </w:drawing>
      </w:r>
    </w:p>
    <w:p w14:paraId="32D36FEA">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3、活性炭吸附工艺原理</w:t>
      </w:r>
    </w:p>
    <w:p w14:paraId="241782A9">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活性炭净化有机废气的原理:当气体分子运动到固体表面时，由于气体分子与固体表面分子之间相互作用，使气体分子暂时停留在固体表面，形成气体分子在固体表面浓度增大，这种现象称为气体在固体表面上的吸附。被吸附物质称为吸附质，吸附质的固体物质称为吸附剂。而活性炭吸附法是以活性炭作为吸附剂，把废气中有机物溶剂的蒸汽吸附到固相表面进行吸附浓缩，从而达到净化废气的方法，活性炭是一种具有非极性表面、疏水性、亲有机物的吸附剂。所以活性炭常常被用来吸附回收空气中的有机溶剂和恶臭物质</w:t>
      </w:r>
      <w:r>
        <w:rPr>
          <w:rFonts w:hint="eastAsia" w:cs="Times New Roman"/>
          <w:color w:val="000000"/>
          <w:kern w:val="0"/>
          <w:sz w:val="24"/>
          <w:szCs w:val="24"/>
          <w:highlight w:val="none"/>
          <w:lang w:val="en-US" w:eastAsia="zh-CN" w:bidi="ar"/>
        </w:rPr>
        <w:t>。</w:t>
      </w:r>
    </w:p>
    <w:p w14:paraId="5D808E7B">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eastAsia="宋体" w:cs="Times New Roman"/>
          <w:b/>
          <w:bCs/>
          <w:color w:val="000000"/>
          <w:kern w:val="0"/>
          <w:sz w:val="24"/>
          <w:szCs w:val="24"/>
          <w:highlight w:val="none"/>
          <w:lang w:val="en-US" w:eastAsia="zh-CN" w:bidi="ar"/>
        </w:rPr>
      </w:pPr>
      <w:r>
        <w:rPr>
          <w:rFonts w:hint="eastAsia" w:cs="Times New Roman"/>
          <w:b/>
          <w:bCs/>
          <w:color w:val="000000"/>
          <w:kern w:val="0"/>
          <w:sz w:val="24"/>
          <w:szCs w:val="24"/>
          <w:highlight w:val="none"/>
          <w:lang w:val="en-US" w:eastAsia="zh-CN" w:bidi="ar"/>
        </w:rPr>
        <w:t>4、挥发性有机物无组织排放治理措施</w:t>
      </w:r>
    </w:p>
    <w:p w14:paraId="3BDBB3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根据工程内容，</w:t>
      </w:r>
      <w:r>
        <w:rPr>
          <w:rFonts w:hint="eastAsia" w:eastAsia="宋体" w:cs="Times New Roman"/>
          <w:color w:val="auto"/>
          <w:sz w:val="24"/>
          <w:szCs w:val="24"/>
          <w:highlight w:val="none"/>
          <w:u w:val="none" w:color="auto"/>
          <w:lang w:val="en-US" w:eastAsia="zh-CN"/>
        </w:rPr>
        <w:t>本项目助剂粉剂生产的原材料经</w:t>
      </w:r>
      <w:r>
        <w:rPr>
          <w:rFonts w:hint="eastAsia" w:ascii="宋体" w:hAnsi="宋体" w:eastAsia="宋体" w:cs="宋体"/>
          <w:spacing w:val="-1"/>
          <w:sz w:val="24"/>
          <w:szCs w:val="24"/>
          <w:highlight w:val="none"/>
          <w:lang w:val="en-US" w:eastAsia="zh-CN"/>
        </w:rPr>
        <w:t>加热溶解、搅拌混合过程中发生了化学反应，生成了防染粉。因加热、搅拌过程是密闭操作，</w:t>
      </w:r>
      <w:r>
        <w:rPr>
          <w:rFonts w:hint="default" w:ascii="Times New Roman" w:hAnsi="Times New Roman" w:eastAsia="宋体" w:cs="Times New Roman"/>
          <w:color w:val="auto"/>
          <w:sz w:val="24"/>
          <w:szCs w:val="24"/>
          <w:highlight w:val="none"/>
          <w:u w:val="none" w:color="auto"/>
        </w:rPr>
        <w:t>挥发性有机物的无组织废气主要来</w:t>
      </w:r>
      <w:r>
        <w:rPr>
          <w:rFonts w:hint="eastAsia" w:eastAsia="宋体" w:cs="Times New Roman"/>
          <w:color w:val="auto"/>
          <w:sz w:val="24"/>
          <w:szCs w:val="24"/>
          <w:highlight w:val="none"/>
          <w:u w:val="none" w:color="auto"/>
          <w:lang w:val="en-US" w:eastAsia="zh-CN"/>
        </w:rPr>
        <w:t>自于助剂粉剂冷却放料工序。</w:t>
      </w:r>
    </w:p>
    <w:p w14:paraId="21C52F90">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u w:val="none" w:color="auto"/>
          <w:lang w:eastAsia="zh-CN"/>
        </w:rPr>
      </w:pPr>
      <w:r>
        <w:rPr>
          <w:rFonts w:hint="default" w:ascii="Times New Roman" w:hAnsi="Times New Roman" w:eastAsia="宋体" w:cs="Times New Roman"/>
          <w:color w:val="auto"/>
          <w:sz w:val="24"/>
          <w:szCs w:val="24"/>
          <w:highlight w:val="none"/>
          <w:u w:val="none" w:color="auto"/>
        </w:rPr>
        <w:t>根据《挥发性有机物无组织排放控制标准》（GB37822-2019）中对无组织挥发性有机物的控制要求，结合本项目实际情况，项目采取如下措施</w:t>
      </w:r>
      <w:r>
        <w:rPr>
          <w:rFonts w:hint="default" w:ascii="Times New Roman" w:hAnsi="Times New Roman" w:eastAsia="宋体" w:cs="Times New Roman"/>
          <w:color w:val="auto"/>
          <w:sz w:val="24"/>
          <w:szCs w:val="24"/>
          <w:highlight w:val="none"/>
          <w:u w:val="none" w:color="auto"/>
          <w:lang w:eastAsia="zh-CN"/>
        </w:rPr>
        <w:t>：</w:t>
      </w:r>
    </w:p>
    <w:p w14:paraId="3AE7B1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1</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工艺过程挥发性有机物无组织排放控制要求</w:t>
      </w:r>
    </w:p>
    <w:p w14:paraId="051542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eastAsia" w:eastAsia="宋体" w:cs="Times New Roman"/>
          <w:color w:val="auto"/>
          <w:sz w:val="24"/>
          <w:szCs w:val="24"/>
          <w:highlight w:val="none"/>
          <w:u w:val="none" w:color="auto"/>
          <w:lang w:val="en-US" w:eastAsia="zh-CN"/>
        </w:rPr>
        <w:t>A、</w:t>
      </w:r>
      <w:r>
        <w:rPr>
          <w:rFonts w:hint="default" w:ascii="Times New Roman" w:hAnsi="Times New Roman" w:eastAsia="宋体" w:cs="Times New Roman"/>
          <w:color w:val="auto"/>
          <w:sz w:val="24"/>
          <w:szCs w:val="24"/>
          <w:highlight w:val="none"/>
          <w:u w:val="none" w:color="auto"/>
        </w:rPr>
        <w:t>在</w:t>
      </w:r>
      <w:r>
        <w:rPr>
          <w:rFonts w:hint="eastAsia" w:eastAsia="宋体" w:cs="Times New Roman"/>
          <w:color w:val="auto"/>
          <w:sz w:val="24"/>
          <w:szCs w:val="24"/>
          <w:highlight w:val="none"/>
          <w:u w:val="none" w:color="auto"/>
          <w:lang w:val="en-US" w:eastAsia="zh-CN"/>
        </w:rPr>
        <w:t>固体助剂</w:t>
      </w:r>
      <w:r>
        <w:rPr>
          <w:rFonts w:hint="default" w:ascii="Times New Roman" w:hAnsi="Times New Roman" w:eastAsia="宋体" w:cs="Times New Roman"/>
          <w:color w:val="auto"/>
          <w:sz w:val="24"/>
          <w:szCs w:val="24"/>
          <w:highlight w:val="none"/>
          <w:u w:val="none" w:color="auto"/>
        </w:rPr>
        <w:t>密闭</w:t>
      </w:r>
      <w:r>
        <w:rPr>
          <w:rFonts w:hint="eastAsia" w:eastAsia="宋体" w:cs="Times New Roman"/>
          <w:color w:val="auto"/>
          <w:sz w:val="24"/>
          <w:szCs w:val="24"/>
          <w:highlight w:val="none"/>
          <w:u w:val="none" w:color="auto"/>
          <w:lang w:val="en-US" w:eastAsia="zh-CN"/>
        </w:rPr>
        <w:t>车</w:t>
      </w:r>
      <w:r>
        <w:rPr>
          <w:rFonts w:hint="default" w:ascii="Times New Roman" w:hAnsi="Times New Roman" w:eastAsia="宋体" w:cs="Times New Roman"/>
          <w:color w:val="auto"/>
          <w:sz w:val="24"/>
          <w:szCs w:val="24"/>
          <w:highlight w:val="none"/>
          <w:u w:val="none" w:color="auto"/>
        </w:rPr>
        <w:t>间内</w:t>
      </w:r>
      <w:r>
        <w:rPr>
          <w:rFonts w:hint="eastAsia" w:eastAsia="宋体" w:cs="Times New Roman"/>
          <w:color w:val="auto"/>
          <w:sz w:val="24"/>
          <w:szCs w:val="24"/>
          <w:highlight w:val="none"/>
          <w:u w:val="none" w:color="auto"/>
          <w:lang w:eastAsia="zh-CN"/>
        </w:rPr>
        <w:t>，</w:t>
      </w:r>
      <w:r>
        <w:rPr>
          <w:rFonts w:hint="eastAsia" w:ascii="宋体" w:hAnsi="宋体" w:eastAsia="宋体" w:cs="宋体"/>
          <w:spacing w:val="-1"/>
          <w:sz w:val="24"/>
          <w:szCs w:val="24"/>
          <w:highlight w:val="none"/>
        </w:rPr>
        <w:t>将称取的原料放入密</w:t>
      </w:r>
      <w:r>
        <w:rPr>
          <w:rFonts w:hint="eastAsia" w:ascii="宋体" w:hAnsi="宋体" w:eastAsia="宋体" w:cs="宋体"/>
          <w:spacing w:val="-1"/>
          <w:sz w:val="24"/>
          <w:szCs w:val="24"/>
          <w:highlight w:val="none"/>
          <w:lang w:val="en-US" w:eastAsia="zh-CN"/>
        </w:rPr>
        <w:t>封</w:t>
      </w:r>
      <w:r>
        <w:rPr>
          <w:rFonts w:hint="eastAsia" w:ascii="宋体" w:hAnsi="宋体" w:eastAsia="宋体" w:cs="宋体"/>
          <w:spacing w:val="-1"/>
          <w:sz w:val="24"/>
          <w:szCs w:val="24"/>
          <w:highlight w:val="none"/>
        </w:rPr>
        <w:t>的</w:t>
      </w:r>
      <w:r>
        <w:rPr>
          <w:rFonts w:hint="eastAsia" w:ascii="宋体" w:hAnsi="宋体" w:eastAsia="宋体" w:cs="宋体"/>
          <w:spacing w:val="-1"/>
          <w:sz w:val="24"/>
          <w:szCs w:val="24"/>
          <w:highlight w:val="none"/>
          <w:lang w:val="en-US" w:eastAsia="zh-CN"/>
        </w:rPr>
        <w:t>多功能混合搅拌罐，密闭抽真空，</w:t>
      </w:r>
      <w:r>
        <w:rPr>
          <w:rFonts w:hint="eastAsia" w:ascii="宋体" w:hAnsi="宋体" w:eastAsia="宋体" w:cs="宋体"/>
          <w:spacing w:val="-1"/>
          <w:sz w:val="24"/>
          <w:szCs w:val="24"/>
          <w:highlight w:val="none"/>
        </w:rPr>
        <w:t>始终保持负压</w:t>
      </w:r>
      <w:r>
        <w:rPr>
          <w:rFonts w:hint="eastAsia" w:ascii="宋体" w:hAnsi="宋体" w:eastAsia="宋体" w:cs="宋体"/>
          <w:spacing w:val="-1"/>
          <w:sz w:val="24"/>
          <w:szCs w:val="24"/>
          <w:highlight w:val="none"/>
          <w:lang w:eastAsia="zh-CN"/>
        </w:rPr>
        <w:t>，</w:t>
      </w:r>
      <w:r>
        <w:rPr>
          <w:rFonts w:hint="eastAsia" w:eastAsia="宋体" w:cs="Times New Roman"/>
          <w:color w:val="auto"/>
          <w:sz w:val="24"/>
          <w:szCs w:val="24"/>
          <w:highlight w:val="none"/>
          <w:u w:val="none" w:color="auto"/>
          <w:lang w:val="en-US" w:eastAsia="zh-CN"/>
        </w:rPr>
        <w:t>密闭搅拌釜内</w:t>
      </w:r>
      <w:r>
        <w:rPr>
          <w:rFonts w:hint="default" w:ascii="Times New Roman" w:hAnsi="Times New Roman" w:eastAsia="宋体" w:cs="Times New Roman"/>
          <w:color w:val="auto"/>
          <w:sz w:val="24"/>
          <w:szCs w:val="24"/>
          <w:highlight w:val="none"/>
          <w:u w:val="none" w:color="auto"/>
        </w:rPr>
        <w:t>操作，</w:t>
      </w:r>
      <w:r>
        <w:rPr>
          <w:rFonts w:hint="eastAsia" w:eastAsia="宋体" w:cs="Times New Roman"/>
          <w:color w:val="auto"/>
          <w:sz w:val="24"/>
          <w:szCs w:val="24"/>
          <w:highlight w:val="none"/>
          <w:u w:val="none" w:color="auto"/>
          <w:lang w:val="en-US" w:eastAsia="zh-CN"/>
        </w:rPr>
        <w:t>密闭房间内采用整体抽风的方式</w:t>
      </w:r>
      <w:r>
        <w:rPr>
          <w:rFonts w:hint="default" w:ascii="Times New Roman" w:hAnsi="Times New Roman" w:eastAsia="宋体" w:cs="Times New Roman"/>
          <w:color w:val="auto"/>
          <w:sz w:val="24"/>
          <w:szCs w:val="24"/>
          <w:highlight w:val="none"/>
          <w:u w:val="none" w:color="auto"/>
        </w:rPr>
        <w:t>收集气体，反应废气排至收集系统</w:t>
      </w:r>
      <w:r>
        <w:rPr>
          <w:rFonts w:hint="eastAsia" w:eastAsia="宋体" w:cs="Times New Roman"/>
          <w:color w:val="auto"/>
          <w:sz w:val="24"/>
          <w:szCs w:val="24"/>
          <w:highlight w:val="none"/>
          <w:u w:val="none" w:color="auto"/>
          <w:lang w:val="en-US" w:eastAsia="zh-CN"/>
        </w:rPr>
        <w:t>经二级活性炭吸附箱</w:t>
      </w:r>
      <w:r>
        <w:rPr>
          <w:rFonts w:hint="default" w:ascii="Times New Roman" w:hAnsi="Times New Roman" w:eastAsia="宋体" w:cs="Times New Roman"/>
          <w:color w:val="auto"/>
          <w:sz w:val="24"/>
          <w:szCs w:val="24"/>
          <w:highlight w:val="none"/>
          <w:u w:val="none" w:color="auto"/>
        </w:rPr>
        <w:t>进行处理；</w:t>
      </w:r>
    </w:p>
    <w:p w14:paraId="24BF82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bCs/>
          <w:color w:val="000000"/>
          <w:kern w:val="0"/>
          <w:sz w:val="24"/>
          <w:szCs w:val="24"/>
          <w:highlight w:val="none"/>
          <w:lang w:val="en-US" w:eastAsia="zh-CN" w:bidi="ar"/>
        </w:rPr>
      </w:pPr>
      <w:r>
        <w:rPr>
          <w:rFonts w:hint="default" w:ascii="Times New Roman" w:hAnsi="Times New Roman" w:eastAsia="宋体" w:cs="Times New Roman"/>
          <w:color w:val="auto"/>
          <w:sz w:val="24"/>
          <w:szCs w:val="24"/>
          <w:highlight w:val="none"/>
          <w:u w:val="none" w:color="auto"/>
        </w:rPr>
        <w:t>B、在反应期间，反应设备的进料口、出料口、检修口、搅拌口、观察孔等开口（孔）在不操作时应保持密闭；密闭设施上的开口应设置封盖，封盖与密闭体应设密封垫，开口在不使用时应密封。</w:t>
      </w:r>
    </w:p>
    <w:p w14:paraId="748122CE">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eastAsia="宋体" w:cs="Times New Roman"/>
          <w:b/>
          <w:bCs/>
          <w:color w:val="000000"/>
          <w:kern w:val="0"/>
          <w:sz w:val="24"/>
          <w:szCs w:val="24"/>
          <w:highlight w:val="none"/>
          <w:lang w:val="en-US" w:eastAsia="zh-CN" w:bidi="ar"/>
        </w:rPr>
      </w:pPr>
      <w:r>
        <w:rPr>
          <w:rFonts w:hint="eastAsia" w:cs="Times New Roman"/>
          <w:b/>
          <w:bCs/>
          <w:color w:val="000000"/>
          <w:kern w:val="0"/>
          <w:sz w:val="24"/>
          <w:szCs w:val="24"/>
          <w:highlight w:val="none"/>
          <w:lang w:val="en-US" w:eastAsia="zh-CN" w:bidi="ar"/>
        </w:rPr>
        <w:t>5</w:t>
      </w:r>
      <w:r>
        <w:rPr>
          <w:rFonts w:hint="eastAsia" w:ascii="Times New Roman" w:hAnsi="Times New Roman" w:eastAsia="宋体" w:cs="Times New Roman"/>
          <w:b/>
          <w:bCs/>
          <w:color w:val="000000"/>
          <w:kern w:val="0"/>
          <w:sz w:val="24"/>
          <w:szCs w:val="24"/>
          <w:highlight w:val="none"/>
          <w:lang w:val="en-US" w:eastAsia="zh-CN" w:bidi="ar"/>
        </w:rPr>
        <w:t>、粉尘排放</w:t>
      </w:r>
      <w:r>
        <w:rPr>
          <w:rFonts w:hint="default" w:ascii="Times New Roman" w:hAnsi="Times New Roman" w:eastAsia="宋体" w:cs="Times New Roman"/>
          <w:b/>
          <w:bCs/>
          <w:color w:val="000000"/>
          <w:kern w:val="0"/>
          <w:sz w:val="24"/>
          <w:szCs w:val="24"/>
          <w:highlight w:val="none"/>
          <w:lang w:val="en-US" w:eastAsia="zh-CN" w:bidi="ar"/>
        </w:rPr>
        <w:t>治理措施</w:t>
      </w:r>
    </w:p>
    <w:p w14:paraId="0BA2B067">
      <w:pPr>
        <w:keepNext w:val="0"/>
        <w:keepLines w:val="0"/>
        <w:widowControl/>
        <w:suppressLineNumbers w:val="0"/>
        <w:jc w:val="left"/>
        <w:rPr>
          <w:rFonts w:hint="eastAsia" w:eastAsia="宋体" w:cs="Times New Roman"/>
          <w:color w:val="auto"/>
          <w:sz w:val="24"/>
          <w:szCs w:val="24"/>
          <w:highlight w:val="none"/>
          <w:u w:val="none" w:color="auto"/>
          <w:lang w:val="en-US" w:eastAsia="zh-CN"/>
        </w:rPr>
      </w:pPr>
      <w:r>
        <w:rPr>
          <w:rFonts w:hint="eastAsia" w:ascii="Times New Roman" w:hAnsi="Times New Roman" w:eastAsia="宋体" w:cs="Times New Roman"/>
          <w:color w:val="000000"/>
          <w:kern w:val="0"/>
          <w:sz w:val="24"/>
          <w:szCs w:val="24"/>
          <w:highlight w:val="none"/>
          <w:lang w:val="en-US" w:eastAsia="zh-CN" w:bidi="ar"/>
        </w:rPr>
        <w:t>本项目投料及打粉过程产生的粉尘经集气罩收集统一进布袋除尘器处理后无组织排放在车间内，不设置集中风网式外排气筒，粉尘收集效率为90%，布袋除尘器处理效率为99%。布袋除尘器处理后的粉尘经收集后返回车间重新回用于生产，未收集到的少量粉尘逸散于车间内，部分沉降于车间地面，形成固态废物，定期清扫作为辅料进行回收利用。</w:t>
      </w:r>
      <w:r>
        <w:rPr>
          <w:rFonts w:hint="eastAsia" w:ascii="Times New Roman" w:hAnsi="Times New Roman" w:eastAsia="宋体" w:cs="Times New Roman"/>
          <w:color w:val="auto"/>
          <w:sz w:val="24"/>
          <w:szCs w:val="24"/>
          <w:highlight w:val="none"/>
          <w:u w:val="none" w:color="auto"/>
          <w:lang w:val="en-US" w:eastAsia="zh-CN"/>
        </w:rPr>
        <w:t xml:space="preserve">沉降率以 </w:t>
      </w:r>
      <w:r>
        <w:rPr>
          <w:rFonts w:hint="eastAsia" w:eastAsia="宋体" w:cs="Times New Roman"/>
          <w:color w:val="auto"/>
          <w:sz w:val="24"/>
          <w:szCs w:val="24"/>
          <w:highlight w:val="none"/>
          <w:u w:val="none" w:color="auto"/>
          <w:lang w:val="en-US" w:eastAsia="zh-CN"/>
        </w:rPr>
        <w:t>90</w:t>
      </w:r>
      <w:r>
        <w:rPr>
          <w:rFonts w:hint="eastAsia" w:ascii="Times New Roman" w:hAnsi="Times New Roman" w:eastAsia="宋体" w:cs="Times New Roman"/>
          <w:color w:val="auto"/>
          <w:sz w:val="24"/>
          <w:szCs w:val="24"/>
          <w:highlight w:val="none"/>
          <w:u w:val="none" w:color="auto"/>
          <w:lang w:val="en-US" w:eastAsia="zh-CN"/>
        </w:rPr>
        <w:t>%计，沉降的粉尘量约0.</w:t>
      </w:r>
      <w:r>
        <w:rPr>
          <w:rFonts w:hint="eastAsia" w:eastAsia="宋体" w:cs="Times New Roman"/>
          <w:color w:val="auto"/>
          <w:sz w:val="24"/>
          <w:szCs w:val="24"/>
          <w:highlight w:val="none"/>
          <w:u w:val="none" w:color="auto"/>
          <w:lang w:val="en-US" w:eastAsia="zh-CN"/>
        </w:rPr>
        <w:t>2205</w:t>
      </w:r>
      <w:r>
        <w:rPr>
          <w:rFonts w:hint="eastAsia" w:ascii="Times New Roman" w:hAnsi="Times New Roman" w:eastAsia="宋体" w:cs="Times New Roman"/>
          <w:color w:val="auto"/>
          <w:sz w:val="24"/>
          <w:szCs w:val="24"/>
          <w:highlight w:val="none"/>
          <w:u w:val="none" w:color="auto"/>
          <w:lang w:val="en-US" w:eastAsia="zh-CN"/>
        </w:rPr>
        <w:t>t/a，粉尘无组织排放量约0.</w:t>
      </w:r>
      <w:r>
        <w:rPr>
          <w:rFonts w:hint="eastAsia" w:eastAsia="宋体" w:cs="Times New Roman"/>
          <w:color w:val="auto"/>
          <w:sz w:val="24"/>
          <w:szCs w:val="24"/>
          <w:highlight w:val="none"/>
          <w:u w:val="none" w:color="auto"/>
          <w:lang w:val="en-US" w:eastAsia="zh-CN"/>
        </w:rPr>
        <w:t>0245</w:t>
      </w:r>
      <w:r>
        <w:rPr>
          <w:rFonts w:hint="eastAsia" w:ascii="Times New Roman" w:hAnsi="Times New Roman" w:eastAsia="宋体" w:cs="Times New Roman"/>
          <w:color w:val="auto"/>
          <w:sz w:val="24"/>
          <w:szCs w:val="24"/>
          <w:highlight w:val="none"/>
          <w:u w:val="none" w:color="auto"/>
          <w:lang w:val="en-US" w:eastAsia="zh-CN"/>
        </w:rPr>
        <w:t>t/a，粉尘无组织排放</w:t>
      </w:r>
      <w:r>
        <w:rPr>
          <w:rFonts w:hint="default" w:ascii="Times New Roman" w:hAnsi="Times New Roman" w:eastAsia="宋体" w:cs="Times New Roman"/>
          <w:i w:val="0"/>
          <w:iCs w:val="0"/>
          <w:color w:val="000000"/>
          <w:kern w:val="0"/>
          <w:sz w:val="24"/>
          <w:szCs w:val="24"/>
          <w:highlight w:val="none"/>
          <w:u w:val="none"/>
          <w:lang w:val="en-US" w:eastAsia="zh-CN" w:bidi="ar"/>
        </w:rPr>
        <w:t>速率0.01 kg/h</w:t>
      </w:r>
      <w:r>
        <w:rPr>
          <w:rFonts w:hint="eastAsia" w:ascii="Times New Roman" w:hAnsi="Times New Roman" w:eastAsia="宋体" w:cs="Times New Roman"/>
          <w:color w:val="auto"/>
          <w:sz w:val="24"/>
          <w:szCs w:val="24"/>
          <w:highlight w:val="none"/>
          <w:u w:val="none" w:color="auto"/>
          <w:lang w:val="en-US" w:eastAsia="zh-CN"/>
        </w:rPr>
        <w:t>。</w:t>
      </w:r>
    </w:p>
    <w:p w14:paraId="2D8F865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eastAsia="宋体" w:cs="Times New Roman"/>
          <w:color w:val="000000"/>
          <w:kern w:val="0"/>
          <w:sz w:val="24"/>
          <w:szCs w:val="24"/>
          <w:highlight w:val="none"/>
          <w:lang w:val="en-US" w:eastAsia="zh-CN" w:bidi="ar"/>
        </w:rPr>
      </w:pPr>
      <w:r>
        <w:rPr>
          <w:rFonts w:hint="eastAsia" w:cs="Times New Roman"/>
          <w:color w:val="000000"/>
          <w:kern w:val="0"/>
          <w:sz w:val="24"/>
          <w:szCs w:val="24"/>
          <w:highlight w:val="none"/>
          <w:lang w:val="en-US" w:eastAsia="zh-CN" w:bidi="ar"/>
        </w:rPr>
        <w:t>无组织排放的粉尘</w:t>
      </w:r>
      <w:r>
        <w:rPr>
          <w:rFonts w:hint="default" w:ascii="Times New Roman" w:hAnsi="Times New Roman" w:eastAsia="宋体" w:cs="Times New Roman"/>
          <w:color w:val="000000"/>
          <w:kern w:val="0"/>
          <w:sz w:val="24"/>
          <w:szCs w:val="24"/>
          <w:highlight w:val="none"/>
          <w:lang w:val="en-US" w:eastAsia="zh-CN" w:bidi="ar"/>
        </w:rPr>
        <w:t>对其采用加强车间通风等措施。根据估算模式对其进行的</w:t>
      </w:r>
      <w:r>
        <w:rPr>
          <w:rFonts w:hint="eastAsia" w:cs="Times New Roman"/>
          <w:color w:val="000000"/>
          <w:kern w:val="0"/>
          <w:sz w:val="24"/>
          <w:szCs w:val="24"/>
          <w:highlight w:val="none"/>
          <w:lang w:val="en-US" w:eastAsia="zh-CN" w:bidi="ar"/>
        </w:rPr>
        <w:t>大气预测</w:t>
      </w:r>
      <w:r>
        <w:rPr>
          <w:rFonts w:hint="default" w:ascii="Times New Roman" w:hAnsi="Times New Roman" w:eastAsia="宋体" w:cs="Times New Roman"/>
          <w:color w:val="000000"/>
          <w:kern w:val="0"/>
          <w:sz w:val="24"/>
          <w:szCs w:val="24"/>
          <w:highlight w:val="none"/>
          <w:lang w:val="en-US" w:eastAsia="zh-CN" w:bidi="ar"/>
        </w:rPr>
        <w:t>可知，项目运营期无组织排放的粉尘最大落地浓度小于相应的环境标准限值。</w:t>
      </w:r>
      <w:r>
        <w:rPr>
          <w:rFonts w:hint="eastAsia" w:cs="Times New Roman"/>
          <w:color w:val="000000"/>
          <w:kern w:val="0"/>
          <w:sz w:val="24"/>
          <w:szCs w:val="24"/>
          <w:highlight w:val="none"/>
          <w:lang w:val="en-US" w:eastAsia="zh-CN" w:bidi="ar"/>
        </w:rPr>
        <w:t>因此本项目粉尘排放治理措施可行，对周围环境产生影响较小。</w:t>
      </w:r>
    </w:p>
    <w:p w14:paraId="6D31F910">
      <w:pPr>
        <w:pStyle w:val="6"/>
        <w:bidi w:val="0"/>
        <w:rPr>
          <w:rFonts w:hint="default"/>
          <w:highlight w:val="none"/>
        </w:rPr>
      </w:pPr>
      <w:bookmarkStart w:id="242" w:name="_Toc23282"/>
      <w:r>
        <w:rPr>
          <w:rFonts w:hint="default"/>
          <w:highlight w:val="none"/>
          <w:lang w:val="en-US" w:eastAsia="zh-CN"/>
        </w:rPr>
        <w:t>7</w:t>
      </w:r>
      <w:r>
        <w:rPr>
          <w:rFonts w:hint="default"/>
          <w:highlight w:val="none"/>
        </w:rPr>
        <w:t>.3</w:t>
      </w:r>
      <w:r>
        <w:rPr>
          <w:rFonts w:hint="default"/>
          <w:highlight w:val="none"/>
          <w:lang w:val="en-US" w:eastAsia="zh-CN"/>
        </w:rPr>
        <w:t xml:space="preserve"> </w:t>
      </w:r>
      <w:r>
        <w:rPr>
          <w:rFonts w:hint="default"/>
          <w:highlight w:val="none"/>
        </w:rPr>
        <w:t>营运期地表水环境污染防治措施及可行性分析</w:t>
      </w:r>
      <w:bookmarkEnd w:id="242"/>
    </w:p>
    <w:p w14:paraId="27D4CF0C">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default" w:cs="Times New Roman" w:eastAsiaTheme="minorEastAsia"/>
          <w:b/>
          <w:bCs/>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b/>
          <w:bCs/>
          <w:color w:val="000000" w:themeColor="text1"/>
          <w:kern w:val="0"/>
          <w:sz w:val="24"/>
          <w:szCs w:val="24"/>
          <w:highlight w:val="none"/>
          <w:lang w:val="en-US" w:eastAsia="zh-CN" w:bidi="ar-SA"/>
          <w14:textFill>
            <w14:solidFill>
              <w14:schemeClr w14:val="tx1"/>
            </w14:solidFill>
          </w14:textFill>
        </w:rPr>
        <w:t>1、废水污染源情况分析</w:t>
      </w:r>
    </w:p>
    <w:p w14:paraId="5F7DED91">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default"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（1）生产用水</w:t>
      </w:r>
    </w:p>
    <w:p w14:paraId="2D3EAB12">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项目酶制剂水剂生产需要添加纯水，助剂水剂生产添加自来水进行复配。因此，</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生产用水全部进入产品。</w:t>
      </w:r>
    </w:p>
    <w:p w14:paraId="5DA28A58">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outlineLvl w:val="9"/>
        <w:rPr>
          <w:rFonts w:hint="default" w:ascii="Times New Roman" w:hAnsi="Times New Roman" w:cs="Times New Roman" w:eastAsiaTheme="minorEastAsia"/>
          <w:b w:val="0"/>
          <w:bCs w:val="0"/>
          <w:sz w:val="24"/>
          <w:szCs w:val="24"/>
          <w:highlight w:val="yellow"/>
          <w:lang w:val="en-US" w:eastAsia="zh-CN"/>
        </w:rPr>
      </w:pPr>
      <w:r>
        <w:rPr>
          <w:rFonts w:hint="eastAsia" w:ascii="Times New Roman" w:hAnsi="Times New Roman" w:cs="Times New Roman" w:eastAsiaTheme="minorEastAsia"/>
          <w:b w:val="0"/>
          <w:bCs w:val="0"/>
          <w:sz w:val="24"/>
          <w:szCs w:val="24"/>
          <w:highlight w:val="yellow"/>
          <w:lang w:val="en-US" w:eastAsia="zh-CN"/>
        </w:rPr>
        <w:t>（</w:t>
      </w:r>
      <w:r>
        <w:rPr>
          <w:rFonts w:hint="eastAsia" w:cs="Times New Roman" w:eastAsiaTheme="minorEastAsia"/>
          <w:b w:val="0"/>
          <w:bCs w:val="0"/>
          <w:sz w:val="24"/>
          <w:szCs w:val="24"/>
          <w:highlight w:val="yellow"/>
          <w:lang w:val="en-US" w:eastAsia="zh-CN"/>
        </w:rPr>
        <w:t>2</w:t>
      </w:r>
      <w:r>
        <w:rPr>
          <w:rFonts w:hint="eastAsia" w:ascii="Times New Roman" w:hAnsi="Times New Roman" w:cs="Times New Roman" w:eastAsiaTheme="minorEastAsia"/>
          <w:b w:val="0"/>
          <w:bCs w:val="0"/>
          <w:sz w:val="24"/>
          <w:szCs w:val="24"/>
          <w:highlight w:val="yellow"/>
          <w:lang w:val="en-US" w:eastAsia="zh-CN"/>
        </w:rPr>
        <w:t>）</w:t>
      </w:r>
      <w:r>
        <w:rPr>
          <w:rFonts w:hint="eastAsia" w:cs="Times New Roman" w:eastAsiaTheme="minorEastAsia"/>
          <w:b w:val="0"/>
          <w:bCs w:val="0"/>
          <w:sz w:val="24"/>
          <w:szCs w:val="24"/>
          <w:highlight w:val="yellow"/>
          <w:lang w:val="en-US" w:eastAsia="zh-CN"/>
        </w:rPr>
        <w:t>搅拌罐</w:t>
      </w:r>
      <w:r>
        <w:rPr>
          <w:rFonts w:hint="default" w:ascii="Times New Roman" w:hAnsi="Times New Roman" w:cs="Times New Roman" w:eastAsiaTheme="minorEastAsia"/>
          <w:b w:val="0"/>
          <w:bCs w:val="0"/>
          <w:sz w:val="24"/>
          <w:szCs w:val="24"/>
          <w:highlight w:val="yellow"/>
          <w:lang w:val="en-US" w:eastAsia="zh-CN"/>
        </w:rPr>
        <w:t>清洗用水</w:t>
      </w:r>
    </w:p>
    <w:p w14:paraId="234497B5">
      <w:pPr>
        <w:pStyle w:val="42"/>
        <w:keepNext w:val="0"/>
        <w:keepLines w:val="0"/>
        <w:pageBreakBefore w:val="0"/>
        <w:widowControl w:val="0"/>
        <w:numPr>
          <w:ilvl w:val="0"/>
          <w:numId w:val="0"/>
        </w:numPr>
        <w:kinsoku/>
        <w:wordWrap/>
        <w:overflowPunct/>
        <w:topLinePunct w:val="0"/>
        <w:autoSpaceDE/>
        <w:autoSpaceDN/>
        <w:bidi w:val="0"/>
        <w:adjustRightInd w:val="0"/>
        <w:snapToGrid w:val="0"/>
        <w:ind w:leftChars="0" w:firstLine="0" w:firstLineChars="0"/>
        <w:jc w:val="center"/>
        <w:textAlignment w:val="auto"/>
        <w:outlineLvl w:val="9"/>
        <w:rPr>
          <w:rFonts w:hint="eastAsia" w:ascii="Times New Roman" w:hAnsi="Times New Roman" w:cs="Times New Roman" w:eastAsiaTheme="minorEastAsia"/>
          <w:b/>
          <w:bCs/>
          <w:color w:val="000000" w:themeColor="text1"/>
          <w:kern w:val="0"/>
          <w:sz w:val="24"/>
          <w:szCs w:val="24"/>
          <w:highlight w:val="yellow"/>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highlight w:val="yellow"/>
          <w:lang w:val="en-US" w:eastAsia="zh-CN" w:bidi="ar-SA"/>
          <w14:textFill>
            <w14:solidFill>
              <w14:schemeClr w14:val="tx1"/>
            </w14:solidFill>
          </w14:textFill>
        </w:rPr>
        <w:t>表</w:t>
      </w:r>
      <w:r>
        <w:rPr>
          <w:rFonts w:hint="eastAsia" w:ascii="Times New Roman" w:cs="Times New Roman" w:eastAsiaTheme="minorEastAsia"/>
          <w:b/>
          <w:bCs/>
          <w:color w:val="000000" w:themeColor="text1"/>
          <w:kern w:val="0"/>
          <w:sz w:val="24"/>
          <w:szCs w:val="24"/>
          <w:highlight w:val="yellow"/>
          <w:lang w:val="en-US" w:eastAsia="zh-CN" w:bidi="ar-SA"/>
          <w14:textFill>
            <w14:solidFill>
              <w14:schemeClr w14:val="tx1"/>
            </w14:solidFill>
          </w14:textFill>
        </w:rPr>
        <w:t>7.3</w:t>
      </w:r>
      <w:r>
        <w:rPr>
          <w:rFonts w:hint="eastAsia" w:ascii="Times New Roman" w:hAnsi="Times New Roman" w:cs="Times New Roman" w:eastAsiaTheme="minorEastAsia"/>
          <w:b/>
          <w:bCs/>
          <w:color w:val="000000" w:themeColor="text1"/>
          <w:kern w:val="0"/>
          <w:sz w:val="24"/>
          <w:szCs w:val="24"/>
          <w:highlight w:val="yellow"/>
          <w:lang w:val="en-US" w:eastAsia="zh-CN" w:bidi="ar-SA"/>
          <w14:textFill>
            <w14:solidFill>
              <w14:schemeClr w14:val="tx1"/>
            </w14:solidFill>
          </w14:textFill>
        </w:rPr>
        <w:t>-1 搅拌罐清洗用水统计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344"/>
        <w:gridCol w:w="655"/>
        <w:gridCol w:w="430"/>
        <w:gridCol w:w="430"/>
        <w:gridCol w:w="1576"/>
        <w:gridCol w:w="1334"/>
        <w:gridCol w:w="1140"/>
        <w:gridCol w:w="1178"/>
      </w:tblGrid>
      <w:tr w14:paraId="3B18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718904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序号</w:t>
            </w:r>
          </w:p>
        </w:tc>
        <w:tc>
          <w:tcPr>
            <w:tcW w:w="789" w:type="pct"/>
            <w:noWrap/>
            <w:vAlign w:val="center"/>
          </w:tcPr>
          <w:p w14:paraId="4DEFF5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主要生产设备名称</w:t>
            </w:r>
          </w:p>
        </w:tc>
        <w:tc>
          <w:tcPr>
            <w:tcW w:w="384" w:type="pct"/>
            <w:noWrap/>
            <w:vAlign w:val="center"/>
          </w:tcPr>
          <w:p w14:paraId="031321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型号</w:t>
            </w:r>
          </w:p>
        </w:tc>
        <w:tc>
          <w:tcPr>
            <w:tcW w:w="252" w:type="pct"/>
            <w:noWrap/>
            <w:vAlign w:val="center"/>
          </w:tcPr>
          <w:p w14:paraId="1BB19B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单位</w:t>
            </w:r>
          </w:p>
        </w:tc>
        <w:tc>
          <w:tcPr>
            <w:tcW w:w="252" w:type="pct"/>
            <w:noWrap/>
            <w:vAlign w:val="center"/>
          </w:tcPr>
          <w:p w14:paraId="60F675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数量</w:t>
            </w:r>
          </w:p>
        </w:tc>
        <w:tc>
          <w:tcPr>
            <w:tcW w:w="925" w:type="pct"/>
            <w:noWrap/>
            <w:vAlign w:val="center"/>
          </w:tcPr>
          <w:p w14:paraId="5EFE67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用途</w:t>
            </w:r>
          </w:p>
        </w:tc>
        <w:tc>
          <w:tcPr>
            <w:tcW w:w="783" w:type="pct"/>
            <w:noWrap/>
            <w:vAlign w:val="center"/>
          </w:tcPr>
          <w:p w14:paraId="04C9A0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备注</w:t>
            </w:r>
          </w:p>
        </w:tc>
        <w:tc>
          <w:tcPr>
            <w:tcW w:w="669" w:type="pct"/>
            <w:noWrap/>
            <w:vAlign w:val="center"/>
          </w:tcPr>
          <w:p w14:paraId="6E0EE3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设备清洗频次</w:t>
            </w:r>
          </w:p>
          <w:p w14:paraId="10E05F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单位：</w:t>
            </w:r>
            <w:r>
              <w:rPr>
                <w:rFonts w:hint="default" w:ascii="Times New Roman" w:hAnsi="Times New Roman" w:eastAsia="宋体" w:cs="Times New Roman"/>
                <w:b/>
                <w:bCs/>
                <w:color w:val="auto"/>
                <w:kern w:val="0"/>
                <w:sz w:val="21"/>
                <w:szCs w:val="21"/>
                <w:highlight w:val="none"/>
                <w:lang w:val="en-US" w:eastAsia="zh-CN"/>
              </w:rPr>
              <w:t>次/套</w:t>
            </w:r>
          </w:p>
        </w:tc>
        <w:tc>
          <w:tcPr>
            <w:tcW w:w="691" w:type="pct"/>
            <w:noWrap/>
            <w:vAlign w:val="center"/>
          </w:tcPr>
          <w:p w14:paraId="3AE03E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每套设备</w:t>
            </w:r>
            <w:r>
              <w:rPr>
                <w:rFonts w:hint="default" w:ascii="Times New Roman" w:hAnsi="Times New Roman" w:eastAsia="宋体" w:cs="Times New Roman"/>
                <w:b/>
                <w:bCs/>
                <w:color w:val="auto"/>
                <w:kern w:val="0"/>
                <w:sz w:val="21"/>
                <w:szCs w:val="21"/>
                <w:highlight w:val="none"/>
                <w:lang w:val="en-US" w:eastAsia="zh-CN"/>
              </w:rPr>
              <w:t>每次</w:t>
            </w:r>
            <w:r>
              <w:rPr>
                <w:rFonts w:hint="default" w:ascii="Times New Roman" w:hAnsi="Times New Roman" w:eastAsia="宋体" w:cs="Times New Roman"/>
                <w:b/>
                <w:bCs/>
                <w:color w:val="auto"/>
                <w:kern w:val="0"/>
                <w:sz w:val="21"/>
                <w:szCs w:val="21"/>
                <w:highlight w:val="none"/>
              </w:rPr>
              <w:t>清洗用水量/</w:t>
            </w:r>
          </w:p>
          <w:p w14:paraId="5C9B13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单位：</w:t>
            </w:r>
            <w:r>
              <w:rPr>
                <w:rFonts w:hint="default" w:ascii="Times New Roman" w:hAnsi="Times New Roman" w:eastAsia="宋体" w:cs="Times New Roman"/>
                <w:color w:val="000000"/>
                <w:kern w:val="0"/>
                <w:sz w:val="21"/>
                <w:szCs w:val="21"/>
                <w:highlight w:val="none"/>
              </w:rPr>
              <w:t>m</w:t>
            </w:r>
            <w:r>
              <w:rPr>
                <w:rFonts w:hint="default" w:ascii="Times New Roman" w:hAnsi="Times New Roman" w:eastAsia="宋体" w:cs="Times New Roman"/>
                <w:color w:val="000000"/>
                <w:kern w:val="0"/>
                <w:sz w:val="21"/>
                <w:szCs w:val="21"/>
                <w:highlight w:val="none"/>
                <w:vertAlign w:val="superscript"/>
              </w:rPr>
              <w:t>3</w:t>
            </w:r>
          </w:p>
        </w:tc>
      </w:tr>
      <w:tr w14:paraId="4E32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5840D9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789" w:type="pct"/>
            <w:noWrap/>
            <w:vAlign w:val="center"/>
          </w:tcPr>
          <w:p w14:paraId="5D97D7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水剂搅拌釜</w:t>
            </w:r>
          </w:p>
        </w:tc>
        <w:tc>
          <w:tcPr>
            <w:tcW w:w="384" w:type="pct"/>
            <w:noWrap/>
            <w:vAlign w:val="center"/>
          </w:tcPr>
          <w:p w14:paraId="677DE5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2T</w:t>
            </w:r>
          </w:p>
        </w:tc>
        <w:tc>
          <w:tcPr>
            <w:tcW w:w="252" w:type="pct"/>
            <w:noWrap/>
            <w:vAlign w:val="center"/>
          </w:tcPr>
          <w:p w14:paraId="5FA2B1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7DAD29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c>
          <w:tcPr>
            <w:tcW w:w="925" w:type="pct"/>
            <w:noWrap/>
            <w:vAlign w:val="center"/>
          </w:tcPr>
          <w:p w14:paraId="4BC9E3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rPr>
              <w:t>酶制剂水剂生产</w:t>
            </w:r>
            <w:r>
              <w:rPr>
                <w:rFonts w:hint="eastAsia" w:eastAsia="宋体" w:cs="Times New Roman"/>
                <w:b/>
                <w:bCs/>
                <w:color w:val="000000"/>
                <w:kern w:val="0"/>
                <w:sz w:val="21"/>
                <w:szCs w:val="21"/>
                <w:highlight w:val="none"/>
                <w:lang w:val="en-US" w:eastAsia="zh-CN"/>
              </w:rPr>
              <w:t>1#</w:t>
            </w:r>
          </w:p>
        </w:tc>
        <w:tc>
          <w:tcPr>
            <w:tcW w:w="783" w:type="pct"/>
            <w:noWrap/>
            <w:vAlign w:val="center"/>
          </w:tcPr>
          <w:p w14:paraId="594B8A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位于液态产品复配车间</w:t>
            </w:r>
          </w:p>
        </w:tc>
        <w:tc>
          <w:tcPr>
            <w:tcW w:w="669" w:type="pct"/>
            <w:noWrap/>
            <w:vAlign w:val="center"/>
          </w:tcPr>
          <w:p w14:paraId="60783E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每周</w:t>
            </w:r>
            <w:r>
              <w:rPr>
                <w:rFonts w:hint="default" w:ascii="Times New Roman" w:hAnsi="Times New Roman" w:eastAsia="宋体" w:cs="Times New Roman"/>
                <w:color w:val="000000"/>
                <w:kern w:val="0"/>
                <w:sz w:val="21"/>
                <w:szCs w:val="21"/>
                <w:highlight w:val="none"/>
                <w:lang w:val="en-US" w:eastAsia="zh-CN"/>
              </w:rPr>
              <w:t>1</w:t>
            </w:r>
            <w:r>
              <w:rPr>
                <w:rFonts w:hint="default" w:ascii="Times New Roman" w:hAnsi="Times New Roman" w:eastAsia="宋体" w:cs="Times New Roman"/>
                <w:color w:val="000000"/>
                <w:kern w:val="0"/>
                <w:sz w:val="21"/>
                <w:szCs w:val="21"/>
                <w:highlight w:val="none"/>
              </w:rPr>
              <w:t>次</w:t>
            </w:r>
          </w:p>
        </w:tc>
        <w:tc>
          <w:tcPr>
            <w:tcW w:w="691" w:type="pct"/>
            <w:noWrap/>
            <w:vAlign w:val="center"/>
          </w:tcPr>
          <w:p w14:paraId="07000D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0.1</w:t>
            </w:r>
          </w:p>
        </w:tc>
      </w:tr>
      <w:tr w14:paraId="36E8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3722F9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789" w:type="pct"/>
            <w:noWrap/>
            <w:vAlign w:val="center"/>
          </w:tcPr>
          <w:p w14:paraId="78E484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粉剂搅拌罐</w:t>
            </w:r>
          </w:p>
        </w:tc>
        <w:tc>
          <w:tcPr>
            <w:tcW w:w="384" w:type="pct"/>
            <w:noWrap/>
            <w:vAlign w:val="center"/>
          </w:tcPr>
          <w:p w14:paraId="4ECE6D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1.5T、2T</w:t>
            </w:r>
          </w:p>
        </w:tc>
        <w:tc>
          <w:tcPr>
            <w:tcW w:w="252" w:type="pct"/>
            <w:noWrap/>
            <w:vAlign w:val="center"/>
          </w:tcPr>
          <w:p w14:paraId="7A16C6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7820DC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925" w:type="pct"/>
            <w:noWrap/>
            <w:vAlign w:val="center"/>
          </w:tcPr>
          <w:p w14:paraId="670D41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酶制剂粉剂生产</w:t>
            </w:r>
            <w:r>
              <w:rPr>
                <w:rFonts w:hint="eastAsia" w:eastAsia="宋体" w:cs="Times New Roman"/>
                <w:b/>
                <w:bCs/>
                <w:color w:val="000000"/>
                <w:kern w:val="0"/>
                <w:sz w:val="21"/>
                <w:szCs w:val="21"/>
                <w:highlight w:val="none"/>
                <w:lang w:val="en-US" w:eastAsia="zh-CN"/>
              </w:rPr>
              <w:t>3#</w:t>
            </w:r>
          </w:p>
        </w:tc>
        <w:tc>
          <w:tcPr>
            <w:tcW w:w="783" w:type="pct"/>
            <w:noWrap/>
            <w:vAlign w:val="center"/>
          </w:tcPr>
          <w:p w14:paraId="0DD2BB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1套2T预留备用，酶制剂粉剂车间</w:t>
            </w:r>
          </w:p>
        </w:tc>
        <w:tc>
          <w:tcPr>
            <w:tcW w:w="669" w:type="pct"/>
            <w:noWrap/>
            <w:vAlign w:val="center"/>
          </w:tcPr>
          <w:p w14:paraId="2D6E43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w:t>
            </w:r>
          </w:p>
        </w:tc>
        <w:tc>
          <w:tcPr>
            <w:tcW w:w="691" w:type="pct"/>
            <w:noWrap/>
            <w:vAlign w:val="center"/>
          </w:tcPr>
          <w:p w14:paraId="488380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0</w:t>
            </w:r>
          </w:p>
        </w:tc>
      </w:tr>
      <w:tr w14:paraId="5E1E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63DDA7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w:t>
            </w:r>
          </w:p>
        </w:tc>
        <w:tc>
          <w:tcPr>
            <w:tcW w:w="789" w:type="pct"/>
            <w:noWrap/>
            <w:vAlign w:val="center"/>
          </w:tcPr>
          <w:p w14:paraId="569A33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多功能混合搅拌罐</w:t>
            </w:r>
          </w:p>
        </w:tc>
        <w:tc>
          <w:tcPr>
            <w:tcW w:w="384" w:type="pct"/>
            <w:noWrap/>
            <w:vAlign w:val="center"/>
          </w:tcPr>
          <w:p w14:paraId="5A68A8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3T</w:t>
            </w:r>
          </w:p>
        </w:tc>
        <w:tc>
          <w:tcPr>
            <w:tcW w:w="252" w:type="pct"/>
            <w:noWrap/>
            <w:vAlign w:val="center"/>
          </w:tcPr>
          <w:p w14:paraId="2ED650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1BBF61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eastAsia" w:eastAsia="宋体" w:cs="Times New Roman"/>
                <w:color w:val="000000"/>
                <w:kern w:val="0"/>
                <w:sz w:val="21"/>
                <w:szCs w:val="21"/>
                <w:highlight w:val="none"/>
                <w:lang w:val="en-US" w:eastAsia="zh-CN"/>
              </w:rPr>
              <w:t>3</w:t>
            </w:r>
          </w:p>
        </w:tc>
        <w:tc>
          <w:tcPr>
            <w:tcW w:w="925" w:type="pct"/>
            <w:noWrap/>
            <w:vAlign w:val="center"/>
          </w:tcPr>
          <w:p w14:paraId="7F0AB9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助剂粉剂生产</w:t>
            </w:r>
            <w:r>
              <w:rPr>
                <w:rFonts w:hint="eastAsia" w:eastAsia="宋体" w:cs="Times New Roman"/>
                <w:b/>
                <w:bCs/>
                <w:color w:val="000000"/>
                <w:kern w:val="0"/>
                <w:sz w:val="21"/>
                <w:szCs w:val="21"/>
                <w:highlight w:val="none"/>
                <w:lang w:val="en-US" w:eastAsia="zh-CN"/>
              </w:rPr>
              <w:t>4#</w:t>
            </w:r>
            <w:r>
              <w:rPr>
                <w:rFonts w:hint="eastAsia" w:eastAsia="宋体" w:cs="Times New Roman"/>
                <w:color w:val="000000"/>
                <w:kern w:val="0"/>
                <w:sz w:val="21"/>
                <w:szCs w:val="21"/>
                <w:highlight w:val="none"/>
                <w:lang w:eastAsia="zh-CN"/>
              </w:rPr>
              <w:t>（</w:t>
            </w:r>
            <w:r>
              <w:rPr>
                <w:rFonts w:hint="eastAsia" w:eastAsia="宋体" w:cs="Times New Roman"/>
                <w:color w:val="000000"/>
                <w:kern w:val="0"/>
                <w:sz w:val="21"/>
                <w:szCs w:val="21"/>
                <w:highlight w:val="none"/>
                <w:lang w:val="en-US" w:eastAsia="zh-CN"/>
              </w:rPr>
              <w:t>产品为防染粉</w:t>
            </w:r>
            <w:r>
              <w:rPr>
                <w:rFonts w:hint="eastAsia" w:eastAsia="宋体" w:cs="Times New Roman"/>
                <w:color w:val="000000"/>
                <w:kern w:val="0"/>
                <w:sz w:val="21"/>
                <w:szCs w:val="21"/>
                <w:highlight w:val="none"/>
                <w:lang w:eastAsia="zh-CN"/>
              </w:rPr>
              <w:t>）</w:t>
            </w:r>
          </w:p>
        </w:tc>
        <w:tc>
          <w:tcPr>
            <w:tcW w:w="783" w:type="pct"/>
            <w:noWrap/>
            <w:vAlign w:val="center"/>
          </w:tcPr>
          <w:p w14:paraId="54A91F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eastAsia" w:eastAsia="宋体" w:cs="Times New Roman"/>
                <w:color w:val="000000"/>
                <w:kern w:val="0"/>
                <w:sz w:val="21"/>
                <w:szCs w:val="21"/>
                <w:highlight w:val="none"/>
                <w:lang w:val="en-US" w:eastAsia="zh-CN"/>
              </w:rPr>
              <w:t>2</w:t>
            </w:r>
            <w:r>
              <w:rPr>
                <w:rFonts w:hint="default" w:ascii="Times New Roman" w:hAnsi="Times New Roman" w:eastAsia="宋体" w:cs="Times New Roman"/>
                <w:color w:val="000000"/>
                <w:kern w:val="0"/>
                <w:sz w:val="21"/>
                <w:szCs w:val="21"/>
                <w:highlight w:val="none"/>
              </w:rPr>
              <w:t>用</w:t>
            </w:r>
            <w:r>
              <w:rPr>
                <w:rFonts w:hint="eastAsia" w:eastAsia="宋体" w:cs="Times New Roman"/>
                <w:color w:val="000000"/>
                <w:kern w:val="0"/>
                <w:sz w:val="21"/>
                <w:szCs w:val="21"/>
                <w:highlight w:val="none"/>
                <w:lang w:val="en-US" w:eastAsia="zh-CN"/>
              </w:rPr>
              <w:t>1</w:t>
            </w:r>
            <w:r>
              <w:rPr>
                <w:rFonts w:hint="default" w:ascii="Times New Roman" w:hAnsi="Times New Roman" w:eastAsia="宋体" w:cs="Times New Roman"/>
                <w:color w:val="000000"/>
                <w:kern w:val="0"/>
                <w:sz w:val="21"/>
                <w:szCs w:val="21"/>
                <w:highlight w:val="none"/>
              </w:rPr>
              <w:t>备，固体助剂车间</w:t>
            </w:r>
          </w:p>
        </w:tc>
        <w:tc>
          <w:tcPr>
            <w:tcW w:w="669" w:type="pct"/>
            <w:noWrap/>
            <w:vAlign w:val="center"/>
          </w:tcPr>
          <w:p w14:paraId="2DBCCD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每年1次</w:t>
            </w:r>
          </w:p>
        </w:tc>
        <w:tc>
          <w:tcPr>
            <w:tcW w:w="691" w:type="pct"/>
            <w:noWrap/>
            <w:vAlign w:val="center"/>
          </w:tcPr>
          <w:p w14:paraId="4D02A2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1</w:t>
            </w:r>
          </w:p>
        </w:tc>
      </w:tr>
      <w:tr w14:paraId="6DD5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35A344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4</w:t>
            </w:r>
          </w:p>
        </w:tc>
        <w:tc>
          <w:tcPr>
            <w:tcW w:w="789" w:type="pct"/>
            <w:noWrap/>
            <w:vAlign w:val="center"/>
          </w:tcPr>
          <w:p w14:paraId="7DA580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电加热搅拌釜</w:t>
            </w:r>
          </w:p>
        </w:tc>
        <w:tc>
          <w:tcPr>
            <w:tcW w:w="384" w:type="pct"/>
            <w:noWrap/>
            <w:vAlign w:val="center"/>
          </w:tcPr>
          <w:p w14:paraId="4E8456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3T</w:t>
            </w:r>
          </w:p>
        </w:tc>
        <w:tc>
          <w:tcPr>
            <w:tcW w:w="252" w:type="pct"/>
            <w:noWrap/>
            <w:vAlign w:val="center"/>
          </w:tcPr>
          <w:p w14:paraId="5E9E92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1767E5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925" w:type="pct"/>
            <w:noWrap/>
            <w:vAlign w:val="center"/>
          </w:tcPr>
          <w:p w14:paraId="46B2E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助剂水剂生产</w:t>
            </w:r>
            <w:r>
              <w:rPr>
                <w:rFonts w:hint="eastAsia" w:eastAsia="宋体" w:cs="Times New Roman"/>
                <w:b/>
                <w:bCs/>
                <w:color w:val="000000"/>
                <w:kern w:val="0"/>
                <w:sz w:val="21"/>
                <w:szCs w:val="21"/>
                <w:highlight w:val="none"/>
                <w:lang w:val="en-US" w:eastAsia="zh-CN"/>
              </w:rPr>
              <w:t>5#</w:t>
            </w:r>
            <w:r>
              <w:rPr>
                <w:rFonts w:hint="eastAsia" w:eastAsia="宋体" w:cs="Times New Roman"/>
                <w:color w:val="000000"/>
                <w:kern w:val="0"/>
                <w:sz w:val="21"/>
                <w:szCs w:val="21"/>
                <w:highlight w:val="none"/>
                <w:lang w:val="en-US" w:eastAsia="zh-CN"/>
              </w:rPr>
              <w:t>（产品为防染剂）</w:t>
            </w:r>
          </w:p>
        </w:tc>
        <w:tc>
          <w:tcPr>
            <w:tcW w:w="783" w:type="pct"/>
            <w:noWrap/>
            <w:vAlign w:val="center"/>
          </w:tcPr>
          <w:p w14:paraId="165361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位于</w:t>
            </w:r>
            <w:r>
              <w:rPr>
                <w:rFonts w:hint="default" w:ascii="Times New Roman" w:hAnsi="Times New Roman" w:eastAsia="宋体" w:cs="Times New Roman"/>
                <w:color w:val="000000"/>
                <w:kern w:val="0"/>
                <w:sz w:val="21"/>
                <w:szCs w:val="21"/>
                <w:highlight w:val="none"/>
              </w:rPr>
              <w:t>固体助剂车间</w:t>
            </w:r>
          </w:p>
        </w:tc>
        <w:tc>
          <w:tcPr>
            <w:tcW w:w="669" w:type="pct"/>
            <w:noWrap/>
            <w:vAlign w:val="center"/>
          </w:tcPr>
          <w:p w14:paraId="6FF5BE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每月1次</w:t>
            </w:r>
          </w:p>
        </w:tc>
        <w:tc>
          <w:tcPr>
            <w:tcW w:w="691" w:type="pct"/>
            <w:noWrap/>
            <w:vAlign w:val="center"/>
          </w:tcPr>
          <w:p w14:paraId="3093C3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0.2</w:t>
            </w:r>
          </w:p>
        </w:tc>
      </w:tr>
      <w:tr w14:paraId="0548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51" w:type="pct"/>
            <w:noWrap/>
            <w:vAlign w:val="center"/>
          </w:tcPr>
          <w:p w14:paraId="242FF7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eastAsia="zh-CN"/>
              </w:rPr>
            </w:pPr>
            <w:r>
              <w:rPr>
                <w:rFonts w:hint="default" w:ascii="Times New Roman" w:hAnsi="Times New Roman" w:eastAsia="宋体" w:cs="Times New Roman"/>
                <w:color w:val="000000"/>
                <w:kern w:val="0"/>
                <w:sz w:val="21"/>
                <w:szCs w:val="21"/>
                <w:highlight w:val="none"/>
                <w:lang w:val="en-US" w:eastAsia="zh-CN"/>
              </w:rPr>
              <w:t>5</w:t>
            </w:r>
          </w:p>
        </w:tc>
        <w:tc>
          <w:tcPr>
            <w:tcW w:w="789" w:type="pct"/>
            <w:noWrap/>
            <w:vAlign w:val="center"/>
          </w:tcPr>
          <w:p w14:paraId="42645F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简易电加热混合搅拌釜</w:t>
            </w:r>
          </w:p>
        </w:tc>
        <w:tc>
          <w:tcPr>
            <w:tcW w:w="384" w:type="pct"/>
            <w:noWrap/>
            <w:vAlign w:val="center"/>
          </w:tcPr>
          <w:p w14:paraId="74E268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2T</w:t>
            </w:r>
          </w:p>
        </w:tc>
        <w:tc>
          <w:tcPr>
            <w:tcW w:w="252" w:type="pct"/>
            <w:noWrap/>
            <w:vAlign w:val="center"/>
          </w:tcPr>
          <w:p w14:paraId="11FA62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套</w:t>
            </w:r>
          </w:p>
        </w:tc>
        <w:tc>
          <w:tcPr>
            <w:tcW w:w="252" w:type="pct"/>
            <w:noWrap/>
            <w:vAlign w:val="center"/>
          </w:tcPr>
          <w:p w14:paraId="4F43A9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2</w:t>
            </w:r>
          </w:p>
        </w:tc>
        <w:tc>
          <w:tcPr>
            <w:tcW w:w="925" w:type="pct"/>
            <w:noWrap/>
            <w:vAlign w:val="center"/>
          </w:tcPr>
          <w:p w14:paraId="3FA5D9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助剂水剂生产</w:t>
            </w:r>
            <w:r>
              <w:rPr>
                <w:rFonts w:hint="eastAsia" w:eastAsia="宋体" w:cs="Times New Roman"/>
                <w:b/>
                <w:bCs/>
                <w:color w:val="000000"/>
                <w:kern w:val="0"/>
                <w:sz w:val="21"/>
                <w:szCs w:val="21"/>
                <w:highlight w:val="none"/>
                <w:lang w:val="en-US" w:eastAsia="zh-CN"/>
              </w:rPr>
              <w:t>2#</w:t>
            </w:r>
            <w:r>
              <w:rPr>
                <w:rFonts w:hint="eastAsia" w:eastAsia="宋体" w:cs="Times New Roman"/>
                <w:color w:val="000000"/>
                <w:kern w:val="0"/>
                <w:sz w:val="21"/>
                <w:szCs w:val="21"/>
                <w:highlight w:val="none"/>
                <w:lang w:val="en-US" w:eastAsia="zh-CN"/>
              </w:rPr>
              <w:t>（产品为硅油）</w:t>
            </w:r>
          </w:p>
        </w:tc>
        <w:tc>
          <w:tcPr>
            <w:tcW w:w="783" w:type="pct"/>
            <w:noWrap/>
            <w:vAlign w:val="center"/>
          </w:tcPr>
          <w:p w14:paraId="761DBC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位于液态产品复配车间</w:t>
            </w:r>
          </w:p>
        </w:tc>
        <w:tc>
          <w:tcPr>
            <w:tcW w:w="669" w:type="pct"/>
            <w:noWrap/>
            <w:vAlign w:val="center"/>
          </w:tcPr>
          <w:p w14:paraId="08BCC4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每月1次</w:t>
            </w:r>
          </w:p>
        </w:tc>
        <w:tc>
          <w:tcPr>
            <w:tcW w:w="691" w:type="pct"/>
            <w:noWrap/>
            <w:vAlign w:val="center"/>
          </w:tcPr>
          <w:p w14:paraId="261B15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0.2</w:t>
            </w:r>
          </w:p>
        </w:tc>
      </w:tr>
    </w:tbl>
    <w:p w14:paraId="3CB37739">
      <w:pPr>
        <w:pStyle w:val="42"/>
        <w:keepNext w:val="0"/>
        <w:keepLines w:val="0"/>
        <w:pageBreakBefore w:val="0"/>
        <w:widowControl w:val="0"/>
        <w:numPr>
          <w:ilvl w:val="0"/>
          <w:numId w:val="0"/>
        </w:numPr>
        <w:kinsoku/>
        <w:wordWrap/>
        <w:overflowPunct/>
        <w:topLinePunct w:val="0"/>
        <w:autoSpaceDE/>
        <w:autoSpaceDN/>
        <w:bidi w:val="0"/>
        <w:adjustRightInd w:val="0"/>
        <w:snapToGrid w:val="0"/>
        <w:ind w:leftChars="0" w:firstLine="482" w:firstLineChars="200"/>
        <w:jc w:val="both"/>
        <w:textAlignment w:val="auto"/>
        <w:outlineLvl w:val="9"/>
        <w:rPr>
          <w:rFonts w:hint="default"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r>
        <w:rPr>
          <w:rFonts w:hint="eastAsia" w:asci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t>搅拌罐</w:t>
      </w:r>
      <w:r>
        <w:rPr>
          <w:rFonts w:hint="eastAsia"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t>清洗用水简述：</w:t>
      </w:r>
    </w:p>
    <w:p w14:paraId="5E09C8EC">
      <w:pPr>
        <w:pStyle w:val="42"/>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酶制剂水剂搅拌罐，一年300天按43周计，清洗43次/年，则清洗用水量为4.3m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；2）酶制剂粉剂搅拌罐不清洗。3）助剂粉剂搅拌罐按2套计，清洗1次/年，则清洗用水量为2m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；4）助剂水剂搅拌罐，清洗12次/年，3套</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搅拌罐</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清洗用水量为7.2m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p>
    <w:p w14:paraId="74F2C302">
      <w:pPr>
        <w:pStyle w:val="4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outlineLvl w:val="9"/>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综合，项目所有搅拌罐设备清洗</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用水</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量为13.5m</w:t>
      </w:r>
      <w:r>
        <w:rPr>
          <w:rFonts w:hint="default" w:ascii="Times New Roman" w:hAnsi="Times New Roman" w:cs="Times New Roman" w:eastAsiaTheme="minorEastAsia"/>
          <w:color w:val="000000" w:themeColor="text1"/>
          <w:kern w:val="0"/>
          <w:sz w:val="24"/>
          <w:szCs w:val="24"/>
          <w:highlight w:val="none"/>
          <w:vertAlign w:val="superscript"/>
          <w:lang w:val="en-US" w:eastAsia="zh-CN" w:bidi="ar-SA"/>
          <w14:textFill>
            <w14:solidFill>
              <w14:schemeClr w14:val="tx1"/>
            </w14:solidFill>
          </w14:textFill>
        </w:rPr>
        <w:t>3</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/a</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，设备清洗水全部回用于3T的助剂水剂搅拌罐</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，用于生产</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助剂水剂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防染剂。</w:t>
      </w:r>
      <w:r>
        <w:rPr>
          <w:rFonts w:hint="eastAsia" w:ascii="Times New Roman" w:hAnsi="Times New Roman" w:eastAsia="宋体" w:cs="Times New Roman"/>
          <w:spacing w:val="-2"/>
          <w:sz w:val="24"/>
          <w:szCs w:val="24"/>
          <w:highlight w:val="yellow"/>
          <w:lang w:val="en-US" w:eastAsia="zh-CN"/>
        </w:rPr>
        <w:t>防染剂的生产是在密闭的固体助剂车间向3T的</w:t>
      </w:r>
      <w:r>
        <w:rPr>
          <w:rFonts w:hint="default" w:ascii="Times New Roman" w:hAnsi="Times New Roman" w:eastAsia="宋体" w:cs="Times New Roman"/>
          <w:spacing w:val="-2"/>
          <w:sz w:val="24"/>
          <w:szCs w:val="24"/>
          <w:highlight w:val="yellow"/>
          <w:lang w:val="en-US" w:eastAsia="zh-CN"/>
        </w:rPr>
        <w:t>电加热搅拌釜</w:t>
      </w:r>
      <w:r>
        <w:rPr>
          <w:rFonts w:hint="eastAsia" w:ascii="Times New Roman" w:hAnsi="Times New Roman" w:eastAsia="宋体" w:cs="Times New Roman"/>
          <w:spacing w:val="-2"/>
          <w:sz w:val="24"/>
          <w:szCs w:val="24"/>
          <w:highlight w:val="yellow"/>
          <w:lang w:val="en-US" w:eastAsia="zh-CN"/>
        </w:rPr>
        <w:t>中，</w:t>
      </w:r>
      <w:r>
        <w:rPr>
          <w:rFonts w:hint="eastAsia" w:eastAsia="宋体" w:cs="Times New Roman"/>
          <w:color w:val="auto"/>
          <w:kern w:val="0"/>
          <w:sz w:val="24"/>
          <w:szCs w:val="24"/>
          <w:highlight w:val="yellow"/>
          <w:u w:val="none"/>
          <w:lang w:val="en-US" w:eastAsia="zh-CN"/>
        </w:rPr>
        <w:t>取</w:t>
      </w:r>
      <w:r>
        <w:rPr>
          <w:rFonts w:hint="eastAsia" w:ascii="Times New Roman" w:hAnsi="Times New Roman" w:eastAsia="宋体" w:cs="Times New Roman"/>
          <w:color w:val="auto"/>
          <w:kern w:val="0"/>
          <w:sz w:val="24"/>
          <w:szCs w:val="24"/>
          <w:highlight w:val="yellow"/>
          <w:u w:val="none"/>
          <w:lang w:val="en-US" w:eastAsia="zh-CN"/>
        </w:rPr>
        <w:t>本项目</w:t>
      </w:r>
      <w:r>
        <w:rPr>
          <w:rFonts w:hint="eastAsia" w:eastAsia="宋体" w:cs="Times New Roman"/>
          <w:color w:val="auto"/>
          <w:kern w:val="0"/>
          <w:sz w:val="24"/>
          <w:szCs w:val="24"/>
          <w:highlight w:val="yellow"/>
          <w:u w:val="none"/>
          <w:lang w:val="en-US" w:eastAsia="zh-CN"/>
        </w:rPr>
        <w:t>防染粉1#中间</w:t>
      </w:r>
      <w:r>
        <w:rPr>
          <w:rFonts w:hint="eastAsia" w:ascii="Times New Roman" w:hAnsi="Times New Roman" w:eastAsia="宋体" w:cs="Times New Roman"/>
          <w:color w:val="auto"/>
          <w:kern w:val="0"/>
          <w:sz w:val="24"/>
          <w:szCs w:val="24"/>
          <w:highlight w:val="yellow"/>
          <w:u w:val="none"/>
          <w:lang w:val="en-US" w:eastAsia="zh-CN"/>
        </w:rPr>
        <w:t>产品</w:t>
      </w:r>
      <w:r>
        <w:rPr>
          <w:rFonts w:hint="eastAsia" w:eastAsia="宋体" w:cs="Times New Roman"/>
          <w:color w:val="auto"/>
          <w:kern w:val="0"/>
          <w:sz w:val="24"/>
          <w:szCs w:val="24"/>
          <w:highlight w:val="yellow"/>
          <w:u w:val="none"/>
          <w:lang w:val="en-US" w:eastAsia="zh-CN"/>
        </w:rPr>
        <w:t>（</w:t>
      </w:r>
      <w:r>
        <w:rPr>
          <w:rFonts w:hint="eastAsia" w:ascii="Times New Roman" w:hAnsi="Times New Roman" w:eastAsia="宋体" w:cs="Times New Roman"/>
          <w:color w:val="auto"/>
          <w:kern w:val="0"/>
          <w:sz w:val="24"/>
          <w:szCs w:val="24"/>
          <w:highlight w:val="yellow"/>
          <w:u w:val="none"/>
          <w:lang w:val="en-US" w:eastAsia="zh-CN"/>
        </w:rPr>
        <w:t>20%</w:t>
      </w:r>
      <w:r>
        <w:rPr>
          <w:rFonts w:hint="eastAsia" w:eastAsia="宋体" w:cs="Times New Roman"/>
          <w:color w:val="auto"/>
          <w:kern w:val="0"/>
          <w:sz w:val="24"/>
          <w:szCs w:val="24"/>
          <w:highlight w:val="yellow"/>
          <w:u w:val="none"/>
          <w:lang w:val="en-US" w:eastAsia="zh-CN"/>
        </w:rPr>
        <w:t>助剂粉剂</w:t>
      </w:r>
      <w:r>
        <w:rPr>
          <w:rFonts w:hint="eastAsia" w:ascii="Times New Roman" w:hAnsi="Times New Roman" w:eastAsia="宋体" w:cs="Times New Roman"/>
          <w:color w:val="auto"/>
          <w:kern w:val="0"/>
          <w:sz w:val="24"/>
          <w:szCs w:val="24"/>
          <w:highlight w:val="yellow"/>
          <w:u w:val="none"/>
          <w:lang w:val="en-US" w:eastAsia="zh-CN"/>
        </w:rPr>
        <w:t>热浆</w:t>
      </w:r>
      <w:r>
        <w:rPr>
          <w:rFonts w:hint="eastAsia" w:eastAsia="宋体" w:cs="Times New Roman"/>
          <w:color w:val="auto"/>
          <w:kern w:val="0"/>
          <w:sz w:val="24"/>
          <w:szCs w:val="24"/>
          <w:highlight w:val="yellow"/>
          <w:u w:val="none"/>
          <w:lang w:val="en-US" w:eastAsia="zh-CN"/>
        </w:rPr>
        <w:t>）作为原材料</w:t>
      </w:r>
      <w:r>
        <w:rPr>
          <w:rFonts w:hint="eastAsia" w:ascii="Times New Roman" w:hAnsi="Times New Roman" w:eastAsia="宋体" w:cs="Times New Roman"/>
          <w:color w:val="auto"/>
          <w:kern w:val="0"/>
          <w:sz w:val="24"/>
          <w:szCs w:val="24"/>
          <w:highlight w:val="yellow"/>
          <w:u w:val="none"/>
          <w:lang w:val="en-US" w:eastAsia="zh-CN"/>
        </w:rPr>
        <w:t>加水开稀</w:t>
      </w:r>
      <w:r>
        <w:rPr>
          <w:rFonts w:hint="eastAsia" w:eastAsia="宋体" w:cs="Times New Roman"/>
          <w:color w:val="auto"/>
          <w:kern w:val="0"/>
          <w:sz w:val="24"/>
          <w:szCs w:val="24"/>
          <w:highlight w:val="yellow"/>
          <w:u w:val="none"/>
          <w:lang w:val="en-US" w:eastAsia="zh-CN"/>
        </w:rPr>
        <w:t>复配而成</w:t>
      </w:r>
      <w:r>
        <w:rPr>
          <w:rFonts w:hint="eastAsia" w:ascii="Times New Roman" w:hAnsi="Times New Roman" w:eastAsia="宋体" w:cs="Times New Roman"/>
          <w:spacing w:val="-2"/>
          <w:sz w:val="24"/>
          <w:szCs w:val="24"/>
          <w:highlight w:val="yellow"/>
          <w:lang w:val="en-US" w:eastAsia="zh-CN"/>
        </w:rPr>
        <w:t>（用水包括自来水，不足的用各搅拌罐设备的清洗水</w:t>
      </w:r>
      <w:r>
        <w:rPr>
          <w:rFonts w:hint="default" w:ascii="Times New Roman" w:hAnsi="Times New Roman" w:eastAsia="宋体" w:cs="Times New Roman"/>
          <w:spacing w:val="-2"/>
          <w:sz w:val="24"/>
          <w:szCs w:val="24"/>
          <w:highlight w:val="yellow"/>
          <w:lang w:val="en-US" w:eastAsia="zh-CN"/>
        </w:rPr>
        <w:t>回用于3T的助剂水剂搅拌罐</w:t>
      </w:r>
      <w:r>
        <w:rPr>
          <w:rFonts w:hint="eastAsia" w:eastAsia="宋体" w:cs="Times New Roman"/>
          <w:spacing w:val="-2"/>
          <w:sz w:val="24"/>
          <w:szCs w:val="24"/>
          <w:highlight w:val="yellow"/>
          <w:lang w:val="en-US" w:eastAsia="zh-CN"/>
        </w:rPr>
        <w:t>，由于本项目搅拌罐清洗次数很少，每次用水量很少，同时</w:t>
      </w:r>
      <w:r>
        <w:rPr>
          <w:rFonts w:hint="eastAsia" w:ascii="Times New Roman" w:hAnsi="Times New Roman" w:eastAsia="宋体" w:cs="Times New Roman"/>
          <w:spacing w:val="-2"/>
          <w:sz w:val="24"/>
          <w:szCs w:val="24"/>
          <w:highlight w:val="yellow"/>
          <w:lang w:val="en-US" w:eastAsia="zh-CN"/>
        </w:rPr>
        <w:t>各搅拌罐设备的清洗水</w:t>
      </w:r>
      <w:r>
        <w:rPr>
          <w:rFonts w:hint="eastAsia" w:eastAsia="宋体" w:cs="Times New Roman"/>
          <w:spacing w:val="-2"/>
          <w:sz w:val="24"/>
          <w:szCs w:val="24"/>
          <w:highlight w:val="yellow"/>
          <w:lang w:val="en-US" w:eastAsia="zh-CN"/>
        </w:rPr>
        <w:t>中残留的少量原材料不影响防染剂产品质量，因此搅拌罐清洗水回用于生产助剂水剂——防染剂可行</w:t>
      </w:r>
      <w:r>
        <w:rPr>
          <w:rFonts w:hint="eastAsia" w:ascii="Times New Roman" w:hAnsi="Times New Roman" w:eastAsia="宋体" w:cs="Times New Roman"/>
          <w:spacing w:val="-2"/>
          <w:sz w:val="24"/>
          <w:szCs w:val="24"/>
          <w:highlight w:val="yellow"/>
          <w:lang w:val="en-US" w:eastAsia="zh-CN"/>
        </w:rPr>
        <w:t>）</w:t>
      </w:r>
      <w:r>
        <w:rPr>
          <w:rFonts w:hint="eastAsia" w:ascii="Times New Roman" w:eastAsia="宋体" w:cs="Times New Roman"/>
          <w:spacing w:val="-2"/>
          <w:sz w:val="24"/>
          <w:szCs w:val="24"/>
          <w:highlight w:val="yellow"/>
          <w:lang w:val="en-US" w:eastAsia="zh-CN"/>
        </w:rPr>
        <w:t>。</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因此本项目产生的</w:t>
      </w:r>
      <w:r>
        <w:rPr>
          <w:rFonts w:hint="eastAsia" w:ascii="Times New Roman" w:cs="Times New Roman" w:eastAsiaTheme="minorEastAsia"/>
          <w:color w:val="000000" w:themeColor="text1"/>
          <w:kern w:val="0"/>
          <w:sz w:val="24"/>
          <w:szCs w:val="24"/>
          <w:highlight w:val="none"/>
          <w:lang w:val="en-US" w:eastAsia="zh-CN" w:bidi="ar-SA"/>
          <w14:textFill>
            <w14:solidFill>
              <w14:schemeClr w14:val="tx1"/>
            </w14:solidFill>
          </w14:textFill>
        </w:rPr>
        <w:t>搅拌罐</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设备清洗水全部二次</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利用</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，回用于助剂水剂</w:t>
      </w:r>
      <w:r>
        <w:rPr>
          <w:rFonts w:hint="eastAsia" w:eastAsia="宋体" w:cs="Times New Roman"/>
          <w:spacing w:val="-2"/>
          <w:sz w:val="24"/>
          <w:szCs w:val="24"/>
          <w:highlight w:val="yellow"/>
          <w:lang w:val="en-US" w:eastAsia="zh-CN"/>
        </w:rPr>
        <w:t>——防染剂</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中</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不</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外排。</w:t>
      </w:r>
    </w:p>
    <w:p w14:paraId="2181C242">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（3）冷却水</w:t>
      </w:r>
    </w:p>
    <w:p w14:paraId="0D2C945F">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项目</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助剂粉剂搅拌罐需要冷却水对设备进行冷却降温，厂区设置了1套循环冷却水箱，</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冷却水循环利用不外排</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w:t>
      </w:r>
    </w:p>
    <w:p w14:paraId="7F820FBC">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default"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（4）纯水制备浓水</w:t>
      </w:r>
    </w:p>
    <w:p w14:paraId="119C09C2">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厂区纯水通过1台反渗透制水设备自制，因此会有纯水制备浓水产生。</w:t>
      </w:r>
    </w:p>
    <w:p w14:paraId="3EEEB46C">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default"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（5）地面清洁废水</w:t>
      </w:r>
    </w:p>
    <w:p w14:paraId="4F031CCE">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运营期间搅拌釜设备附近会沉降少量原料粉尘，建设单位拟对其进行清扫收集回收利用，厂区地面无需冲洗，只需要用拖把进行拖地，拖把清洗会产生少量废水。</w:t>
      </w:r>
    </w:p>
    <w:p w14:paraId="669A034F">
      <w:pPr>
        <w:pStyle w:val="3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因此，本项目外排废水主要包括纯水制备产生浓水、地面清洁废水与员工生活污水。</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废水的外排量为779.2t/a。废水中</w:t>
      </w:r>
      <w:r>
        <w:rPr>
          <w:rFonts w:hint="default" w:ascii="Times New Roman" w:hAnsi="Times New Roman" w:eastAsia="宋体" w:cs="Times New Roman"/>
          <w:sz w:val="24"/>
          <w:szCs w:val="24"/>
          <w:highlight w:val="none"/>
        </w:rPr>
        <w:t>COD</w:t>
      </w:r>
      <w:r>
        <w:rPr>
          <w:rFonts w:hint="default" w:ascii="Times New Roman" w:hAnsi="Times New Roman" w:eastAsia="宋体" w:cs="Times New Roman"/>
          <w:sz w:val="24"/>
          <w:szCs w:val="24"/>
          <w:highlight w:val="none"/>
          <w:lang w:val="en-US" w:eastAsia="zh-CN"/>
        </w:rPr>
        <w:t>r</w:t>
      </w:r>
      <w:r>
        <w:rPr>
          <w:rFonts w:hint="default" w:ascii="Times New Roman" w:hAnsi="Times New Roman" w:eastAsia="宋体" w:cs="Times New Roman"/>
          <w:spacing w:val="11"/>
          <w:sz w:val="24"/>
          <w:szCs w:val="24"/>
          <w:highlight w:val="none"/>
        </w:rPr>
        <w:t>、</w:t>
      </w:r>
      <w:r>
        <w:rPr>
          <w:rFonts w:hint="default" w:ascii="Times New Roman" w:hAnsi="Times New Roman" w:eastAsia="宋体" w:cs="Times New Roman"/>
          <w:sz w:val="24"/>
          <w:szCs w:val="24"/>
          <w:highlight w:val="none"/>
        </w:rPr>
        <w:t>BOD</w:t>
      </w:r>
      <w:r>
        <w:rPr>
          <w:rFonts w:hint="default" w:ascii="Times New Roman" w:hAnsi="Times New Roman" w:eastAsia="宋体" w:cs="Times New Roman"/>
          <w:spacing w:val="10"/>
          <w:position w:val="-1"/>
          <w:sz w:val="24"/>
          <w:szCs w:val="24"/>
          <w:highlight w:val="none"/>
          <w:vertAlign w:val="subscript"/>
        </w:rPr>
        <w:t>5</w:t>
      </w:r>
      <w:r>
        <w:rPr>
          <w:rFonts w:hint="default" w:ascii="Times New Roman" w:hAnsi="Times New Roman" w:eastAsia="宋体" w:cs="Times New Roman"/>
          <w:spacing w:val="10"/>
          <w:sz w:val="24"/>
          <w:szCs w:val="24"/>
          <w:highlight w:val="none"/>
        </w:rPr>
        <w:t>、</w:t>
      </w:r>
      <w:r>
        <w:rPr>
          <w:rFonts w:hint="default" w:ascii="Times New Roman" w:hAnsi="Times New Roman" w:eastAsia="宋体" w:cs="Times New Roman"/>
          <w:sz w:val="24"/>
          <w:szCs w:val="24"/>
          <w:highlight w:val="none"/>
        </w:rPr>
        <w:t>NH</w:t>
      </w:r>
      <w:r>
        <w:rPr>
          <w:rFonts w:hint="default" w:ascii="Times New Roman" w:hAnsi="Times New Roman" w:eastAsia="宋体" w:cs="Times New Roman"/>
          <w:spacing w:val="1"/>
          <w:sz w:val="24"/>
          <w:szCs w:val="24"/>
          <w:highlight w:val="none"/>
          <w:vertAlign w:val="subscript"/>
        </w:rPr>
        <w:t>3</w:t>
      </w:r>
      <w:r>
        <w:rPr>
          <w:rFonts w:hint="default" w:ascii="Times New Roman" w:hAnsi="Times New Roman" w:eastAsia="宋体" w:cs="Times New Roman"/>
          <w:spacing w:val="1"/>
          <w:sz w:val="24"/>
          <w:szCs w:val="24"/>
          <w:highlight w:val="none"/>
        </w:rPr>
        <w:t>-N、</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3"/>
          <w:sz w:val="24"/>
          <w:szCs w:val="24"/>
          <w:highlight w:val="none"/>
        </w:rPr>
        <w:t>SS</w:t>
      </w:r>
      <w:r>
        <w:rPr>
          <w:rFonts w:hint="default" w:ascii="Times New Roman" w:hAnsi="Times New Roman" w:eastAsia="宋体" w:cs="Times New Roman"/>
          <w:spacing w:val="-3"/>
          <w:sz w:val="24"/>
          <w:szCs w:val="24"/>
          <w:highlight w:val="none"/>
          <w:lang w:eastAsia="zh-CN"/>
        </w:rPr>
        <w:t>、</w:t>
      </w:r>
      <w:r>
        <w:rPr>
          <w:rFonts w:hint="default" w:ascii="Times New Roman" w:hAnsi="Times New Roman" w:eastAsia="宋体" w:cs="Times New Roman"/>
          <w:i w:val="0"/>
          <w:iCs w:val="0"/>
          <w:color w:val="000000"/>
          <w:kern w:val="0"/>
          <w:sz w:val="24"/>
          <w:szCs w:val="24"/>
          <w:highlight w:val="none"/>
          <w:u w:val="none"/>
          <w:lang w:val="en-US" w:eastAsia="zh-CN" w:bidi="ar"/>
        </w:rPr>
        <w:t>动植物油</w:t>
      </w:r>
      <w:r>
        <w:rPr>
          <w:rFonts w:hint="eastAsia" w:ascii="Times New Roman" w:hAnsi="Times New Roman" w:cs="Times New Roman"/>
          <w:i w:val="0"/>
          <w:iCs w:val="0"/>
          <w:color w:val="000000"/>
          <w:kern w:val="0"/>
          <w:sz w:val="24"/>
          <w:szCs w:val="24"/>
          <w:highlight w:val="none"/>
          <w:u w:val="none"/>
          <w:lang w:val="en-US" w:eastAsia="zh-CN" w:bidi="ar"/>
        </w:rPr>
        <w:t>浓度都不高。</w:t>
      </w:r>
    </w:p>
    <w:p w14:paraId="33E2F1ED">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default" w:ascii="Times New Roman" w:hAnsi="Times New Roman" w:cs="Times New Roman" w:eastAsiaTheme="minorEastAsia"/>
          <w:b/>
          <w:bCs/>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b/>
          <w:bCs/>
          <w:color w:val="000000" w:themeColor="text1"/>
          <w:kern w:val="0"/>
          <w:sz w:val="24"/>
          <w:szCs w:val="24"/>
          <w:highlight w:val="none"/>
          <w:lang w:val="en-US" w:eastAsia="zh-CN" w:bidi="ar-SA"/>
          <w14:textFill>
            <w14:solidFill>
              <w14:schemeClr w14:val="tx1"/>
            </w14:solidFill>
          </w14:textFill>
        </w:rPr>
        <w:t>2、项目废水治理措施和接管水质达标可行性分析</w:t>
      </w:r>
    </w:p>
    <w:p w14:paraId="766F65DE">
      <w:pPr>
        <w:pStyle w:val="35"/>
        <w:keepNext w:val="0"/>
        <w:keepLines w:val="0"/>
        <w:pageBreakBefore w:val="0"/>
        <w:widowControl w:val="0"/>
        <w:kinsoku/>
        <w:wordWrap/>
        <w:overflowPunct/>
        <w:topLinePunct w:val="0"/>
        <w:autoSpaceDE/>
        <w:autoSpaceDN/>
        <w:bidi w:val="0"/>
        <w:adjustRightInd/>
        <w:snapToGrid/>
        <w:spacing w:line="360" w:lineRule="auto"/>
        <w:ind w:firstLine="513"/>
        <w:jc w:val="both"/>
        <w:textAlignment w:val="auto"/>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园区排水设计为“雨污分流”、“清污分流”系统。雨水经</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园区</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雨水管网收集排入</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最终</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排入新墙河。</w:t>
      </w:r>
    </w:p>
    <w:p w14:paraId="20C065E2">
      <w:pPr>
        <w:spacing w:before="1" w:line="362" w:lineRule="auto"/>
        <w:ind w:left="10" w:right="61" w:firstLine="480"/>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项目</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地面清洁废水</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（污染物浓度较低，仅为拖地废水）</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经</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1立方米</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沉淀池沉淀后同纯水制备浓水一起进入园区污水管网，</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生活污水依托园区创新创业基地隔油池</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及</w:t>
      </w: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化粪池预处理后达到《污水综合排放标准》（GB16297-1996）表 4的三级标准后及污水处理厂进水水质标准，排入</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园区污水管网，进入岳阳高新技术产业园区污水处理厂处理达标后排入新墙河。</w:t>
      </w:r>
      <w:r>
        <w:rPr>
          <w:rFonts w:ascii="宋体" w:hAnsi="宋体" w:eastAsia="宋体" w:cs="宋体"/>
          <w:spacing w:val="-3"/>
          <w:sz w:val="24"/>
          <w:szCs w:val="24"/>
          <w:highlight w:val="none"/>
        </w:rPr>
        <w:t>综上，本项目</w:t>
      </w:r>
      <w:r>
        <w:rPr>
          <w:rFonts w:hint="eastAsia" w:ascii="宋体" w:hAnsi="宋体" w:eastAsia="宋体" w:cs="宋体"/>
          <w:spacing w:val="-3"/>
          <w:sz w:val="24"/>
          <w:szCs w:val="24"/>
          <w:highlight w:val="none"/>
          <w:lang w:val="en-US" w:eastAsia="zh-CN"/>
        </w:rPr>
        <w:t>废水</w:t>
      </w:r>
      <w:r>
        <w:rPr>
          <w:rFonts w:ascii="宋体" w:hAnsi="宋体" w:eastAsia="宋体" w:cs="宋体"/>
          <w:spacing w:val="-3"/>
          <w:sz w:val="24"/>
          <w:szCs w:val="24"/>
          <w:highlight w:val="none"/>
        </w:rPr>
        <w:t>通过管网接入岳阳高新技术产业园污水处理厂在接管标</w:t>
      </w:r>
      <w:r>
        <w:rPr>
          <w:rFonts w:ascii="宋体" w:hAnsi="宋体" w:eastAsia="宋体" w:cs="宋体"/>
          <w:spacing w:val="-2"/>
          <w:sz w:val="24"/>
          <w:szCs w:val="24"/>
          <w:highlight w:val="none"/>
        </w:rPr>
        <w:t>准上可行。</w:t>
      </w:r>
    </w:p>
    <w:p w14:paraId="5A3F56F5">
      <w:pPr>
        <w:keepNext w:val="0"/>
        <w:keepLines w:val="0"/>
        <w:pageBreakBefore w:val="0"/>
        <w:widowControl/>
        <w:suppressLineNumbers w:val="0"/>
        <w:kinsoku/>
        <w:wordWrap/>
        <w:overflowPunct/>
        <w:topLinePunct w:val="0"/>
        <w:autoSpaceDE/>
        <w:autoSpaceDN/>
        <w:bidi w:val="0"/>
        <w:adjustRightInd/>
        <w:spacing w:line="360" w:lineRule="auto"/>
        <w:ind w:left="0" w:right="0"/>
        <w:jc w:val="left"/>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eastAsia" w:eastAsia="宋体" w:cs="Times New Roman"/>
          <w:b/>
          <w:bCs/>
          <w:color w:val="000000"/>
          <w:kern w:val="0"/>
          <w:sz w:val="24"/>
          <w:szCs w:val="24"/>
          <w:highlight w:val="none"/>
          <w:lang w:val="en-US" w:eastAsia="zh-CN" w:bidi="ar"/>
        </w:rPr>
        <w:t>3、依托岳阳高新技术产业园区污水处理厂的可行性分析</w:t>
      </w:r>
    </w:p>
    <w:p w14:paraId="57C9192F">
      <w:pPr>
        <w:pStyle w:val="2"/>
        <w:spacing w:before="78" w:line="360" w:lineRule="auto"/>
        <w:ind w:left="22" w:right="75" w:firstLine="2"/>
        <w:jc w:val="both"/>
        <w:rPr>
          <w:spacing w:val="-1"/>
          <w:highlight w:val="none"/>
        </w:rPr>
      </w:pPr>
      <w:r>
        <w:rPr>
          <w:rFonts w:hint="default" w:ascii="Times New Roman" w:hAnsi="Times New Roman" w:eastAsia="宋体" w:cs="Times New Roman"/>
          <w:color w:val="000000"/>
          <w:kern w:val="0"/>
          <w:sz w:val="24"/>
          <w:szCs w:val="24"/>
          <w:highlight w:val="none"/>
          <w:lang w:val="en-US" w:eastAsia="zh-CN" w:bidi="ar"/>
        </w:rPr>
        <w:t>岳阳高新技术产业园污水处理厂工艺采用“预处理+水解酸化+改良 AAO+高密沉淀+活性砂滤池+消毒”组合工艺，污水处理尾水达《城镇污水处理厂污染物排放标准》（GB18918-2002）及修改单一级 A 标准后，通过现有工业集中区污水处理厂排水管排入新墙河。</w:t>
      </w:r>
      <w:r>
        <w:rPr>
          <w:spacing w:val="-1"/>
          <w:highlight w:val="none"/>
        </w:rPr>
        <w:t>岳阳高新区技术产业园园区污水处理厂一期设计处理能力</w:t>
      </w:r>
      <w:r>
        <w:rPr>
          <w:rFonts w:ascii="Times New Roman" w:hAnsi="Times New Roman" w:eastAsia="Times New Roman" w:cs="Times New Roman"/>
          <w:spacing w:val="-1"/>
          <w:highlight w:val="none"/>
        </w:rPr>
        <w:t>1</w:t>
      </w:r>
      <w:r>
        <w:rPr>
          <w:spacing w:val="-1"/>
          <w:highlight w:val="none"/>
        </w:rPr>
        <w:t>万</w:t>
      </w:r>
      <w:r>
        <w:rPr>
          <w:rFonts w:ascii="Times New Roman" w:hAnsi="Times New Roman" w:eastAsia="Times New Roman" w:cs="Times New Roman"/>
          <w:spacing w:val="-1"/>
          <w:highlight w:val="none"/>
        </w:rPr>
        <w:t>m</w:t>
      </w:r>
      <w:r>
        <w:rPr>
          <w:rFonts w:ascii="Times New Roman" w:hAnsi="Times New Roman" w:eastAsia="Times New Roman" w:cs="Times New Roman"/>
          <w:spacing w:val="-2"/>
          <w:position w:val="8"/>
          <w:sz w:val="15"/>
          <w:szCs w:val="15"/>
          <w:highlight w:val="none"/>
        </w:rPr>
        <w:t>3</w:t>
      </w:r>
      <w:r>
        <w:rPr>
          <w:rFonts w:ascii="Times New Roman" w:hAnsi="Times New Roman" w:eastAsia="Times New Roman" w:cs="Times New Roman"/>
          <w:spacing w:val="-2"/>
          <w:highlight w:val="none"/>
        </w:rPr>
        <w:t>/d</w:t>
      </w:r>
      <w:r>
        <w:rPr>
          <w:rFonts w:ascii="Times New Roman" w:hAnsi="Times New Roman" w:eastAsia="Times New Roman" w:cs="Times New Roman"/>
          <w:spacing w:val="-31"/>
          <w:highlight w:val="none"/>
        </w:rPr>
        <w:t xml:space="preserve"> </w:t>
      </w:r>
      <w:r>
        <w:rPr>
          <w:spacing w:val="-2"/>
          <w:highlight w:val="none"/>
        </w:rPr>
        <w:t>，二期是</w:t>
      </w:r>
      <w:r>
        <w:rPr>
          <w:rFonts w:ascii="Times New Roman" w:hAnsi="Times New Roman" w:eastAsia="Times New Roman" w:cs="Times New Roman"/>
          <w:spacing w:val="-2"/>
          <w:highlight w:val="none"/>
        </w:rPr>
        <w:t>3</w:t>
      </w:r>
      <w:r>
        <w:rPr>
          <w:rFonts w:ascii="Times New Roman" w:hAnsi="Times New Roman" w:eastAsia="Times New Roman" w:cs="Times New Roman"/>
          <w:highlight w:val="none"/>
        </w:rPr>
        <w:t xml:space="preserve"> </w:t>
      </w:r>
      <w:r>
        <w:rPr>
          <w:spacing w:val="-3"/>
          <w:highlight w:val="none"/>
        </w:rPr>
        <w:t>万</w:t>
      </w:r>
      <w:r>
        <w:rPr>
          <w:rFonts w:ascii="Times New Roman" w:hAnsi="Times New Roman" w:eastAsia="Times New Roman" w:cs="Times New Roman"/>
          <w:spacing w:val="-3"/>
          <w:highlight w:val="none"/>
        </w:rPr>
        <w:t>m</w:t>
      </w:r>
      <w:r>
        <w:rPr>
          <w:rFonts w:ascii="Times New Roman" w:hAnsi="Times New Roman" w:eastAsia="Times New Roman" w:cs="Times New Roman"/>
          <w:spacing w:val="-3"/>
          <w:position w:val="8"/>
          <w:sz w:val="15"/>
          <w:szCs w:val="15"/>
          <w:highlight w:val="none"/>
        </w:rPr>
        <w:t>3</w:t>
      </w:r>
      <w:r>
        <w:rPr>
          <w:rFonts w:ascii="Times New Roman" w:hAnsi="Times New Roman" w:eastAsia="Times New Roman" w:cs="Times New Roman"/>
          <w:spacing w:val="-3"/>
          <w:highlight w:val="none"/>
        </w:rPr>
        <w:t>/d</w:t>
      </w:r>
      <w:r>
        <w:rPr>
          <w:rFonts w:hint="eastAsia" w:ascii="Times New Roman" w:hAnsi="Times New Roman" w:eastAsia="宋体" w:cs="Times New Roman"/>
          <w:spacing w:val="-3"/>
          <w:highlight w:val="none"/>
          <w:lang w:eastAsia="zh-CN"/>
        </w:rPr>
        <w:t>。</w:t>
      </w:r>
      <w:r>
        <w:rPr>
          <w:spacing w:val="-2"/>
          <w:highlight w:val="none"/>
        </w:rPr>
        <w:t>本项目废水总排放量</w:t>
      </w:r>
      <w:r>
        <w:rPr>
          <w:rFonts w:hint="eastAsia"/>
          <w:spacing w:val="-2"/>
          <w:highlight w:val="none"/>
          <w:lang w:val="en-US" w:eastAsia="zh-CN"/>
        </w:rPr>
        <w:t>约</w:t>
      </w:r>
      <w:r>
        <w:rPr>
          <w:spacing w:val="-2"/>
          <w:highlight w:val="none"/>
        </w:rPr>
        <w:t>为</w:t>
      </w:r>
      <w:r>
        <w:rPr>
          <w:spacing w:val="-45"/>
          <w:highlight w:val="none"/>
        </w:rPr>
        <w:t xml:space="preserve"> </w:t>
      </w:r>
      <w:r>
        <w:rPr>
          <w:rFonts w:hint="eastAsia" w:ascii="Times New Roman" w:hAnsi="Times New Roman" w:eastAsia="宋体" w:cs="Times New Roman"/>
          <w:spacing w:val="-2"/>
          <w:highlight w:val="none"/>
          <w:lang w:val="en-US" w:eastAsia="zh-CN"/>
        </w:rPr>
        <w:t xml:space="preserve">2.6 </w:t>
      </w:r>
      <w:r>
        <w:rPr>
          <w:rFonts w:ascii="Times New Roman" w:hAnsi="Times New Roman" w:eastAsia="Times New Roman" w:cs="Times New Roman"/>
          <w:spacing w:val="-2"/>
          <w:highlight w:val="none"/>
        </w:rPr>
        <w:t>m</w:t>
      </w:r>
      <w:r>
        <w:rPr>
          <w:rFonts w:ascii="Times New Roman" w:hAnsi="Times New Roman" w:eastAsia="Times New Roman" w:cs="Times New Roman"/>
          <w:spacing w:val="-2"/>
          <w:position w:val="7"/>
          <w:sz w:val="15"/>
          <w:szCs w:val="15"/>
          <w:highlight w:val="none"/>
        </w:rPr>
        <w:t>3</w:t>
      </w:r>
      <w:r>
        <w:rPr>
          <w:rFonts w:ascii="Times New Roman" w:hAnsi="Times New Roman" w:eastAsia="Times New Roman" w:cs="Times New Roman"/>
          <w:spacing w:val="-2"/>
          <w:highlight w:val="none"/>
        </w:rPr>
        <w:t>/d</w:t>
      </w:r>
      <w:r>
        <w:rPr>
          <w:spacing w:val="-2"/>
          <w:highlight w:val="none"/>
        </w:rPr>
        <w:t>，仅占湖南岳阳高新技术产业</w:t>
      </w:r>
      <w:r>
        <w:rPr>
          <w:spacing w:val="-3"/>
          <w:highlight w:val="none"/>
        </w:rPr>
        <w:t>园区污水处理厂设</w:t>
      </w:r>
      <w:r>
        <w:rPr>
          <w:highlight w:val="none"/>
        </w:rPr>
        <w:t>计处理能力的</w:t>
      </w:r>
      <w:r>
        <w:rPr>
          <w:spacing w:val="-34"/>
          <w:highlight w:val="none"/>
        </w:rPr>
        <w:t xml:space="preserve"> </w:t>
      </w:r>
      <w:r>
        <w:rPr>
          <w:rFonts w:ascii="Times New Roman" w:hAnsi="Times New Roman" w:eastAsia="Times New Roman" w:cs="Times New Roman"/>
          <w:highlight w:val="none"/>
        </w:rPr>
        <w:t>0.0</w:t>
      </w:r>
      <w:r>
        <w:rPr>
          <w:rFonts w:hint="eastAsia" w:ascii="Times New Roman" w:hAnsi="Times New Roman" w:eastAsia="宋体" w:cs="Times New Roman"/>
          <w:highlight w:val="none"/>
          <w:lang w:val="en-US" w:eastAsia="zh-CN"/>
        </w:rPr>
        <w:t>26</w:t>
      </w:r>
      <w:r>
        <w:rPr>
          <w:rFonts w:ascii="Times New Roman" w:hAnsi="Times New Roman" w:eastAsia="Times New Roman" w:cs="Times New Roman"/>
          <w:highlight w:val="none"/>
        </w:rPr>
        <w:t>%</w:t>
      </w:r>
      <w:r>
        <w:rPr>
          <w:rFonts w:ascii="Times New Roman" w:hAnsi="Times New Roman" w:eastAsia="Times New Roman" w:cs="Times New Roman"/>
          <w:spacing w:val="-27"/>
          <w:highlight w:val="none"/>
        </w:rPr>
        <w:t xml:space="preserve"> </w:t>
      </w:r>
      <w:r>
        <w:rPr>
          <w:rFonts w:hint="eastAsia" w:eastAsia="宋体" w:cs="Times New Roman"/>
          <w:spacing w:val="-27"/>
          <w:highlight w:val="none"/>
          <w:lang w:eastAsia="zh-CN"/>
        </w:rPr>
        <w:t>。</w:t>
      </w:r>
      <w:r>
        <w:rPr>
          <w:spacing w:val="-3"/>
          <w:highlight w:val="none"/>
        </w:rPr>
        <w:t>污水处理厂有能力接纳本项目污水，本项目污水</w:t>
      </w:r>
      <w:r>
        <w:rPr>
          <w:spacing w:val="-4"/>
          <w:highlight w:val="none"/>
        </w:rPr>
        <w:t>不会对岳阳高新区技术</w:t>
      </w:r>
      <w:r>
        <w:rPr>
          <w:spacing w:val="-1"/>
          <w:highlight w:val="none"/>
        </w:rPr>
        <w:t>产业园园区污水处理厂的水量形成冲击。</w:t>
      </w:r>
    </w:p>
    <w:p w14:paraId="47116A13">
      <w:pPr>
        <w:pStyle w:val="2"/>
        <w:spacing w:before="1" w:line="221" w:lineRule="auto"/>
        <w:rPr>
          <w:rFonts w:hint="eastAsia" w:ascii="Times New Roman" w:hAnsi="Times New Roman" w:eastAsia="宋体" w:cs="Times New Roman"/>
          <w:b/>
          <w:bCs/>
          <w:color w:val="000000"/>
          <w:kern w:val="0"/>
          <w:sz w:val="24"/>
          <w:szCs w:val="24"/>
          <w:highlight w:val="none"/>
          <w:lang w:val="en-US" w:eastAsia="zh-CN" w:bidi="ar"/>
        </w:rPr>
      </w:pPr>
      <w:r>
        <w:rPr>
          <w:rFonts w:hint="eastAsia" w:ascii="Times New Roman" w:hAnsi="Times New Roman" w:eastAsia="宋体" w:cs="Times New Roman"/>
          <w:b/>
          <w:bCs/>
          <w:color w:val="000000"/>
          <w:kern w:val="0"/>
          <w:sz w:val="24"/>
          <w:szCs w:val="24"/>
          <w:highlight w:val="none"/>
          <w:lang w:val="en-US" w:eastAsia="zh-CN" w:bidi="ar"/>
        </w:rPr>
        <w:t>4、小结</w:t>
      </w:r>
    </w:p>
    <w:p w14:paraId="48B10E9C">
      <w:pPr>
        <w:tabs>
          <w:tab w:val="left" w:pos="1440"/>
        </w:tabs>
        <w:bidi w:val="0"/>
        <w:jc w:val="left"/>
        <w:rPr>
          <w:b/>
          <w:bCs/>
          <w:spacing w:val="-3"/>
          <w:sz w:val="30"/>
          <w:szCs w:val="30"/>
          <w:highlight w:val="none"/>
        </w:rPr>
      </w:pPr>
      <w:r>
        <w:rPr>
          <w:rFonts w:ascii="Times New Roman" w:hAnsi="Times New Roman" w:eastAsia="宋体" w:cs="Times New Roman"/>
          <w:spacing w:val="-2"/>
          <w:kern w:val="0"/>
          <w:sz w:val="24"/>
          <w:szCs w:val="20"/>
          <w:highlight w:val="none"/>
          <w:lang w:val="en-US" w:eastAsia="zh-CN" w:bidi="ar-SA"/>
        </w:rPr>
        <w:t>根据以上分析，不论从本项目废水水质特点及设计规模的角度分析，本项目 废水污染防治措施是可行、可靠的。</w:t>
      </w:r>
    </w:p>
    <w:p w14:paraId="227BAFEE">
      <w:pPr>
        <w:pStyle w:val="6"/>
        <w:bidi w:val="0"/>
        <w:rPr>
          <w:highlight w:val="none"/>
        </w:rPr>
      </w:pPr>
      <w:bookmarkStart w:id="243" w:name="_Toc1698"/>
      <w:r>
        <w:rPr>
          <w:rFonts w:hint="eastAsia"/>
          <w:highlight w:val="none"/>
          <w:lang w:val="en-US" w:eastAsia="zh-CN"/>
        </w:rPr>
        <w:t>7</w:t>
      </w:r>
      <w:r>
        <w:rPr>
          <w:highlight w:val="none"/>
        </w:rPr>
        <w:t>.4</w:t>
      </w:r>
      <w:r>
        <w:rPr>
          <w:rFonts w:hint="eastAsia"/>
          <w:highlight w:val="none"/>
          <w:lang w:val="en-US" w:eastAsia="zh-CN"/>
        </w:rPr>
        <w:t xml:space="preserve"> </w:t>
      </w:r>
      <w:r>
        <w:rPr>
          <w:highlight w:val="none"/>
        </w:rPr>
        <w:t>营运期</w:t>
      </w:r>
      <w:r>
        <w:rPr>
          <w:rFonts w:hint="eastAsia"/>
          <w:highlight w:val="none"/>
          <w:lang w:val="en-US" w:eastAsia="zh-CN"/>
        </w:rPr>
        <w:t>土壤和</w:t>
      </w:r>
      <w:r>
        <w:rPr>
          <w:highlight w:val="none"/>
        </w:rPr>
        <w:t>地下水污染防治措施及可行性分析</w:t>
      </w:r>
      <w:bookmarkEnd w:id="243"/>
    </w:p>
    <w:p w14:paraId="3945E9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color w:val="auto"/>
          <w:sz w:val="24"/>
          <w:szCs w:val="24"/>
          <w:highlight w:val="none"/>
          <w:u w:val="none" w:color="auto"/>
        </w:rPr>
        <w:t>1、源头控制措施</w:t>
      </w:r>
    </w:p>
    <w:p w14:paraId="41DED208">
      <w:pPr>
        <w:ind w:firstLine="484" w:firstLineChars="200"/>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为了防止本项目的建设对</w:t>
      </w:r>
      <w:r>
        <w:rPr>
          <w:rFonts w:hint="eastAsia" w:eastAsia="宋体" w:cs="Times New Roman"/>
          <w:spacing w:val="1"/>
          <w:kern w:val="0"/>
          <w:sz w:val="24"/>
          <w:szCs w:val="20"/>
          <w:highlight w:val="none"/>
          <w:lang w:val="en-US" w:eastAsia="zh-CN" w:bidi="ar-SA"/>
        </w:rPr>
        <w:t>土壤和</w:t>
      </w:r>
      <w:r>
        <w:rPr>
          <w:rFonts w:hint="default" w:ascii="Times New Roman" w:hAnsi="Times New Roman" w:eastAsia="宋体" w:cs="Times New Roman"/>
          <w:spacing w:val="1"/>
          <w:kern w:val="0"/>
          <w:sz w:val="24"/>
          <w:szCs w:val="20"/>
          <w:highlight w:val="none"/>
          <w:lang w:val="en-US" w:eastAsia="zh-CN" w:bidi="ar-SA"/>
        </w:rPr>
        <w:t>地下水造成污染，按照“源头控制、分区防控、污染监控、应急响应”的原则</w:t>
      </w:r>
      <w:r>
        <w:rPr>
          <w:rFonts w:hint="eastAsia" w:eastAsia="宋体" w:cs="Times New Roman"/>
          <w:spacing w:val="1"/>
          <w:kern w:val="0"/>
          <w:sz w:val="24"/>
          <w:szCs w:val="20"/>
          <w:highlight w:val="none"/>
          <w:lang w:val="en-US" w:eastAsia="zh-CN" w:bidi="ar-SA"/>
        </w:rPr>
        <w:t>，</w:t>
      </w:r>
      <w:r>
        <w:rPr>
          <w:rFonts w:hint="default" w:ascii="Times New Roman" w:hAnsi="Times New Roman" w:eastAsia="宋体" w:cs="Times New Roman"/>
          <w:spacing w:val="1"/>
          <w:kern w:val="0"/>
          <w:sz w:val="24"/>
          <w:szCs w:val="20"/>
          <w:highlight w:val="none"/>
          <w:lang w:val="en-US" w:eastAsia="zh-CN" w:bidi="ar-SA"/>
        </w:rPr>
        <w:t>从原料和产品储存、装卸、运输、生产过程、污染处理装置等全过程控制各种原辅材料、中间材料、产品泄漏（含跑、冒、滴、漏），同时对有害物质可能泄漏到地面的区域采取防渗措施，阻止其渗入</w:t>
      </w:r>
      <w:r>
        <w:rPr>
          <w:rFonts w:hint="eastAsia" w:eastAsia="宋体" w:cs="Times New Roman"/>
          <w:spacing w:val="1"/>
          <w:kern w:val="0"/>
          <w:sz w:val="24"/>
          <w:szCs w:val="20"/>
          <w:highlight w:val="none"/>
          <w:lang w:val="en-US" w:eastAsia="zh-CN" w:bidi="ar-SA"/>
        </w:rPr>
        <w:t>土壤和</w:t>
      </w:r>
      <w:r>
        <w:rPr>
          <w:rFonts w:hint="default" w:ascii="Times New Roman" w:hAnsi="Times New Roman" w:eastAsia="宋体" w:cs="Times New Roman"/>
          <w:spacing w:val="1"/>
          <w:kern w:val="0"/>
          <w:sz w:val="24"/>
          <w:szCs w:val="20"/>
          <w:highlight w:val="none"/>
          <w:lang w:val="en-US" w:eastAsia="zh-CN" w:bidi="ar-SA"/>
        </w:rPr>
        <w:t>地下水中，即从源头到末端全方位采取控制措施：</w:t>
      </w:r>
    </w:p>
    <w:p w14:paraId="78EDD67A">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本项目</w:t>
      </w:r>
      <w:r>
        <w:rPr>
          <w:rFonts w:hint="eastAsia" w:ascii="Times New Roman" w:hAnsi="Times New Roman" w:eastAsia="宋体" w:cs="Times New Roman"/>
          <w:spacing w:val="1"/>
          <w:kern w:val="0"/>
          <w:sz w:val="24"/>
          <w:szCs w:val="20"/>
          <w:highlight w:val="none"/>
          <w:lang w:val="en-US" w:eastAsia="zh-CN" w:bidi="ar-SA"/>
        </w:rPr>
        <w:t>实验室化验试剂</w:t>
      </w:r>
      <w:r>
        <w:rPr>
          <w:rFonts w:hint="default" w:ascii="Times New Roman" w:hAnsi="Times New Roman" w:eastAsia="宋体" w:cs="Times New Roman"/>
          <w:spacing w:val="1"/>
          <w:kern w:val="0"/>
          <w:sz w:val="24"/>
          <w:szCs w:val="20"/>
          <w:highlight w:val="none"/>
          <w:lang w:val="en-US" w:eastAsia="zh-CN" w:bidi="ar-SA"/>
        </w:rPr>
        <w:t>及危险废物等的储存区域均须采取防泄漏、防溢流、防腐蚀等措施，同时严格</w:t>
      </w:r>
      <w:r>
        <w:rPr>
          <w:rFonts w:hint="eastAsia" w:ascii="Times New Roman" w:hAnsi="Times New Roman" w:eastAsia="宋体" w:cs="Times New Roman"/>
          <w:spacing w:val="1"/>
          <w:kern w:val="0"/>
          <w:sz w:val="24"/>
          <w:szCs w:val="20"/>
          <w:highlight w:val="none"/>
          <w:lang w:val="en-US" w:eastAsia="zh-CN" w:bidi="ar-SA"/>
        </w:rPr>
        <w:t>化验试剂</w:t>
      </w:r>
      <w:r>
        <w:rPr>
          <w:rFonts w:hint="default" w:ascii="Times New Roman" w:hAnsi="Times New Roman" w:eastAsia="宋体" w:cs="Times New Roman"/>
          <w:spacing w:val="1"/>
          <w:kern w:val="0"/>
          <w:sz w:val="24"/>
          <w:szCs w:val="20"/>
          <w:highlight w:val="none"/>
          <w:lang w:val="en-US" w:eastAsia="zh-CN" w:bidi="ar-SA"/>
        </w:rPr>
        <w:t>与危险废</w:t>
      </w:r>
      <w:r>
        <w:rPr>
          <w:rFonts w:hint="eastAsia" w:ascii="Times New Roman" w:hAnsi="Times New Roman" w:eastAsia="宋体" w:cs="Times New Roman"/>
          <w:spacing w:val="1"/>
          <w:kern w:val="0"/>
          <w:sz w:val="24"/>
          <w:szCs w:val="20"/>
          <w:highlight w:val="none"/>
          <w:lang w:val="en-US" w:eastAsia="zh-CN" w:bidi="ar-SA"/>
        </w:rPr>
        <w:t>物</w:t>
      </w:r>
      <w:r>
        <w:rPr>
          <w:rFonts w:hint="default" w:ascii="Times New Roman" w:hAnsi="Times New Roman" w:eastAsia="宋体" w:cs="Times New Roman"/>
          <w:spacing w:val="1"/>
          <w:kern w:val="0"/>
          <w:sz w:val="24"/>
          <w:szCs w:val="20"/>
          <w:highlight w:val="none"/>
          <w:lang w:val="en-US" w:eastAsia="zh-CN" w:bidi="ar-SA"/>
        </w:rPr>
        <w:t>贮存管理</w:t>
      </w:r>
      <w:r>
        <w:rPr>
          <w:rFonts w:hint="eastAsia" w:ascii="Times New Roman" w:hAnsi="Times New Roman" w:eastAsia="宋体" w:cs="Times New Roman"/>
          <w:spacing w:val="1"/>
          <w:kern w:val="0"/>
          <w:sz w:val="24"/>
          <w:szCs w:val="20"/>
          <w:highlight w:val="none"/>
          <w:lang w:val="en-US" w:eastAsia="zh-CN" w:bidi="ar-SA"/>
        </w:rPr>
        <w:t>，</w:t>
      </w:r>
      <w:r>
        <w:rPr>
          <w:rFonts w:hint="default" w:ascii="Times New Roman" w:hAnsi="Times New Roman" w:eastAsia="宋体" w:cs="Times New Roman"/>
          <w:spacing w:val="1"/>
          <w:kern w:val="0"/>
          <w:sz w:val="24"/>
          <w:szCs w:val="20"/>
          <w:highlight w:val="none"/>
          <w:lang w:val="en-US" w:eastAsia="zh-CN" w:bidi="ar-SA"/>
        </w:rPr>
        <w:t>基本不会对地下水产生明显影响。</w:t>
      </w:r>
    </w:p>
    <w:p w14:paraId="574472E6">
      <w:pPr>
        <w:pStyle w:val="2"/>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项目原辅料</w:t>
      </w:r>
      <w:r>
        <w:rPr>
          <w:rFonts w:hint="eastAsia" w:ascii="Times New Roman" w:hAnsi="Times New Roman" w:eastAsia="宋体" w:cs="Times New Roman"/>
          <w:spacing w:val="1"/>
          <w:kern w:val="0"/>
          <w:sz w:val="24"/>
          <w:szCs w:val="20"/>
          <w:highlight w:val="none"/>
          <w:lang w:val="en-US" w:eastAsia="zh-CN" w:bidi="ar-SA"/>
        </w:rPr>
        <w:t>堆场都有分类</w:t>
      </w:r>
      <w:r>
        <w:rPr>
          <w:rFonts w:hint="default" w:ascii="Times New Roman" w:hAnsi="Times New Roman" w:eastAsia="宋体" w:cs="Times New Roman"/>
          <w:spacing w:val="1"/>
          <w:kern w:val="0"/>
          <w:sz w:val="24"/>
          <w:szCs w:val="20"/>
          <w:highlight w:val="none"/>
          <w:lang w:val="en-US" w:eastAsia="zh-CN" w:bidi="ar-SA"/>
        </w:rPr>
        <w:t>储存设施，固体</w:t>
      </w:r>
      <w:r>
        <w:rPr>
          <w:rFonts w:hint="eastAsia" w:ascii="Times New Roman" w:hAnsi="Times New Roman" w:eastAsia="宋体" w:cs="Times New Roman"/>
          <w:spacing w:val="1"/>
          <w:kern w:val="0"/>
          <w:sz w:val="24"/>
          <w:szCs w:val="20"/>
          <w:highlight w:val="none"/>
          <w:lang w:val="en-US" w:eastAsia="zh-CN" w:bidi="ar-SA"/>
        </w:rPr>
        <w:t>原料</w:t>
      </w:r>
      <w:r>
        <w:rPr>
          <w:rFonts w:hint="default" w:ascii="Times New Roman" w:hAnsi="Times New Roman" w:eastAsia="宋体" w:cs="Times New Roman"/>
          <w:spacing w:val="1"/>
          <w:kern w:val="0"/>
          <w:sz w:val="24"/>
          <w:szCs w:val="20"/>
          <w:highlight w:val="none"/>
          <w:lang w:val="en-US" w:eastAsia="zh-CN" w:bidi="ar-SA"/>
        </w:rPr>
        <w:t>均为</w:t>
      </w:r>
      <w:r>
        <w:rPr>
          <w:rFonts w:hint="eastAsia" w:ascii="Times New Roman" w:hAnsi="Times New Roman" w:eastAsia="宋体" w:cs="Times New Roman"/>
          <w:spacing w:val="1"/>
          <w:kern w:val="0"/>
          <w:sz w:val="24"/>
          <w:szCs w:val="20"/>
          <w:highlight w:val="none"/>
          <w:lang w:val="en-US" w:eastAsia="zh-CN" w:bidi="ar-SA"/>
        </w:rPr>
        <w:t>袋装托盘，液体原料为桶装托盘</w:t>
      </w:r>
      <w:r>
        <w:rPr>
          <w:rFonts w:hint="default" w:ascii="Times New Roman" w:hAnsi="Times New Roman" w:eastAsia="宋体" w:cs="Times New Roman"/>
          <w:spacing w:val="1"/>
          <w:kern w:val="0"/>
          <w:sz w:val="24"/>
          <w:szCs w:val="20"/>
          <w:highlight w:val="none"/>
          <w:lang w:val="en-US" w:eastAsia="zh-CN" w:bidi="ar-SA"/>
        </w:rPr>
        <w:t>，地面</w:t>
      </w:r>
      <w:r>
        <w:rPr>
          <w:rFonts w:hint="eastAsia" w:ascii="Times New Roman" w:hAnsi="Times New Roman" w:eastAsia="宋体" w:cs="Times New Roman"/>
          <w:spacing w:val="1"/>
          <w:kern w:val="0"/>
          <w:sz w:val="24"/>
          <w:szCs w:val="20"/>
          <w:highlight w:val="none"/>
          <w:lang w:val="en-US" w:eastAsia="zh-CN" w:bidi="ar-SA"/>
        </w:rPr>
        <w:t>和</w:t>
      </w:r>
      <w:r>
        <w:rPr>
          <w:rFonts w:hint="default" w:ascii="Times New Roman" w:hAnsi="Times New Roman" w:eastAsia="宋体" w:cs="Times New Roman"/>
          <w:spacing w:val="1"/>
          <w:kern w:val="0"/>
          <w:sz w:val="24"/>
          <w:szCs w:val="20"/>
          <w:highlight w:val="none"/>
          <w:lang w:val="en-US" w:eastAsia="zh-CN" w:bidi="ar-SA"/>
        </w:rPr>
        <w:t>裙角全部均采取了严格的防渗措施，所以项目正常工况下原料输送</w:t>
      </w:r>
      <w:r>
        <w:rPr>
          <w:rFonts w:hint="eastAsia" w:ascii="Times New Roman" w:hAnsi="Times New Roman" w:eastAsia="宋体" w:cs="Times New Roman"/>
          <w:spacing w:val="1"/>
          <w:kern w:val="0"/>
          <w:sz w:val="24"/>
          <w:szCs w:val="20"/>
          <w:highlight w:val="none"/>
          <w:lang w:val="en-US" w:eastAsia="zh-CN" w:bidi="ar-SA"/>
        </w:rPr>
        <w:t>、装填</w:t>
      </w:r>
      <w:r>
        <w:rPr>
          <w:rFonts w:hint="default" w:ascii="Times New Roman" w:hAnsi="Times New Roman" w:eastAsia="宋体" w:cs="Times New Roman"/>
          <w:spacing w:val="1"/>
          <w:kern w:val="0"/>
          <w:sz w:val="24"/>
          <w:szCs w:val="20"/>
          <w:highlight w:val="none"/>
          <w:lang w:val="en-US" w:eastAsia="zh-CN" w:bidi="ar-SA"/>
        </w:rPr>
        <w:t>不会产生跑、冒、滴、漏污染影响。</w:t>
      </w:r>
    </w:p>
    <w:p w14:paraId="3E761E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olor w:val="auto"/>
          <w:sz w:val="24"/>
          <w:szCs w:val="24"/>
          <w:highlight w:val="none"/>
          <w:u w:val="none" w:color="auto"/>
          <w:lang w:val="en-US" w:eastAsia="zh-CN"/>
        </w:rPr>
      </w:pPr>
      <w:r>
        <w:rPr>
          <w:rFonts w:hint="eastAsia" w:ascii="Times New Roman" w:hAnsi="Times New Roman" w:eastAsia="宋体" w:cs="Times New Roman"/>
          <w:b/>
          <w:color w:val="auto"/>
          <w:sz w:val="24"/>
          <w:szCs w:val="24"/>
          <w:highlight w:val="none"/>
          <w:u w:val="none" w:color="auto"/>
          <w:lang w:val="en-US" w:eastAsia="zh-CN"/>
        </w:rPr>
        <w:t>2、分区防渗措施</w:t>
      </w:r>
    </w:p>
    <w:p w14:paraId="3286E4F3">
      <w:pPr>
        <w:ind w:firstLine="484"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kern w:val="0"/>
          <w:sz w:val="24"/>
          <w:szCs w:val="20"/>
          <w:highlight w:val="none"/>
          <w:lang w:val="en-US" w:eastAsia="zh-CN" w:bidi="ar-SA"/>
        </w:rPr>
        <w:t>地面防渗措施，在污染防治区地面进行防渗处理，防止洒落地面的污染物渗入地下。</w:t>
      </w:r>
      <w:r>
        <w:rPr>
          <w:rFonts w:hint="default" w:ascii="Times New Roman" w:hAnsi="Times New Roman" w:eastAsia="宋体" w:cs="Times New Roman"/>
          <w:spacing w:val="-3"/>
          <w:sz w:val="24"/>
          <w:szCs w:val="24"/>
          <w:highlight w:val="none"/>
        </w:rPr>
        <w:t>根据本工程的特点，将厂区不同的区域划分为重点防渗区、一般</w:t>
      </w:r>
      <w:r>
        <w:rPr>
          <w:rFonts w:hint="default" w:ascii="Times New Roman" w:hAnsi="Times New Roman" w:eastAsia="宋体" w:cs="Times New Roman"/>
          <w:spacing w:val="-4"/>
          <w:sz w:val="24"/>
          <w:szCs w:val="24"/>
          <w:highlight w:val="none"/>
        </w:rPr>
        <w:t>防渗区和简</w:t>
      </w:r>
      <w:r>
        <w:rPr>
          <w:rFonts w:hint="default" w:ascii="Times New Roman" w:hAnsi="Times New Roman" w:eastAsia="宋体" w:cs="Times New Roman"/>
          <w:spacing w:val="-3"/>
          <w:sz w:val="24"/>
          <w:szCs w:val="24"/>
          <w:highlight w:val="none"/>
        </w:rPr>
        <w:t>单防渗区。</w:t>
      </w:r>
    </w:p>
    <w:p w14:paraId="422A5F6E">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9"/>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①重点防渗区：</w:t>
      </w:r>
      <w:r>
        <w:rPr>
          <w:rFonts w:hint="eastAsia" w:ascii="Times New Roman" w:hAnsi="Times New Roman" w:eastAsia="宋体" w:cs="Times New Roman"/>
          <w:spacing w:val="-2"/>
          <w:sz w:val="24"/>
          <w:szCs w:val="24"/>
          <w:highlight w:val="none"/>
          <w:lang w:val="en-US" w:eastAsia="zh-CN"/>
        </w:rPr>
        <w:t>实验室、危险废物暂存间、一般固废暂存间、原料存放区、沉淀池、事故应急池</w:t>
      </w:r>
      <w:r>
        <w:rPr>
          <w:rFonts w:hint="default" w:ascii="Times New Roman" w:hAnsi="Times New Roman" w:eastAsia="宋体" w:cs="Times New Roman"/>
          <w:spacing w:val="-1"/>
          <w:sz w:val="24"/>
          <w:szCs w:val="24"/>
          <w:highlight w:val="none"/>
        </w:rPr>
        <w:t>，基础必须防渗，防渗层为至少1米厚粘土层（渗透系数≤10</w:t>
      </w:r>
      <w:r>
        <w:rPr>
          <w:rFonts w:hint="default" w:ascii="Times New Roman" w:hAnsi="Times New Roman" w:eastAsia="宋体" w:cs="Times New Roman"/>
          <w:spacing w:val="-1"/>
          <w:sz w:val="24"/>
          <w:szCs w:val="24"/>
          <w:highlight w:val="none"/>
          <w:vertAlign w:val="superscript"/>
        </w:rPr>
        <w:t>-7</w:t>
      </w:r>
      <w:r>
        <w:rPr>
          <w:rFonts w:hint="default" w:ascii="Times New Roman" w:hAnsi="Times New Roman" w:eastAsia="宋体" w:cs="Times New Roman"/>
          <w:spacing w:val="-1"/>
          <w:sz w:val="24"/>
          <w:szCs w:val="24"/>
          <w:highlight w:val="none"/>
        </w:rPr>
        <w:t>厘米/秒），或2毫米厚高密度聚乙烯，或至少2毫米厚的其它人工材料，渗透系数≤10</w:t>
      </w:r>
      <w:r>
        <w:rPr>
          <w:rFonts w:hint="default" w:ascii="Times New Roman" w:hAnsi="Times New Roman" w:eastAsia="宋体" w:cs="Times New Roman"/>
          <w:spacing w:val="-1"/>
          <w:sz w:val="24"/>
          <w:szCs w:val="24"/>
          <w:highlight w:val="none"/>
          <w:vertAlign w:val="superscript"/>
        </w:rPr>
        <w:t>-10</w:t>
      </w:r>
      <w:r>
        <w:rPr>
          <w:rFonts w:hint="default" w:ascii="Times New Roman" w:hAnsi="Times New Roman" w:eastAsia="宋体" w:cs="Times New Roman"/>
          <w:spacing w:val="-1"/>
          <w:sz w:val="24"/>
          <w:szCs w:val="24"/>
          <w:highlight w:val="none"/>
        </w:rPr>
        <w:t>厘米/秒</w:t>
      </w:r>
      <w:r>
        <w:rPr>
          <w:rFonts w:hint="default" w:ascii="Times New Roman" w:hAnsi="Times New Roman" w:eastAsia="宋体" w:cs="Times New Roman"/>
          <w:spacing w:val="-5"/>
          <w:sz w:val="24"/>
          <w:szCs w:val="24"/>
          <w:highlight w:val="none"/>
        </w:rPr>
        <w:t>。</w:t>
      </w:r>
    </w:p>
    <w:p w14:paraId="5A73A7F0">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5"/>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②一般防渗区：生产车间、成品堆放区其他区域等采用钢筋混凝土防渗，</w:t>
      </w:r>
      <w:r>
        <w:rPr>
          <w:rFonts w:hint="default" w:ascii="Times New Roman" w:hAnsi="Times New Roman" w:eastAsia="宋体" w:cs="Times New Roman"/>
          <w:spacing w:val="-4"/>
          <w:sz w:val="24"/>
          <w:szCs w:val="24"/>
          <w:highlight w:val="none"/>
        </w:rPr>
        <w:t>防渗等级</w:t>
      </w:r>
      <w:r>
        <w:rPr>
          <w:rFonts w:hint="default" w:ascii="Times New Roman" w:hAnsi="Times New Roman" w:eastAsia="宋体" w:cs="Times New Roman"/>
          <w:spacing w:val="-1"/>
          <w:sz w:val="24"/>
          <w:szCs w:val="24"/>
          <w:highlight w:val="none"/>
        </w:rPr>
        <w:t>为</w:t>
      </w:r>
      <w:r>
        <w:rPr>
          <w:rFonts w:hint="default" w:ascii="Times New Roman" w:hAnsi="Times New Roman" w:eastAsia="宋体" w:cs="Times New Roman"/>
          <w:spacing w:val="-55"/>
          <w:sz w:val="24"/>
          <w:szCs w:val="24"/>
          <w:highlight w:val="none"/>
        </w:rPr>
        <w:t xml:space="preserve"> </w:t>
      </w:r>
      <w:r>
        <w:rPr>
          <w:rFonts w:hint="default" w:ascii="Times New Roman" w:hAnsi="Times New Roman" w:eastAsia="宋体" w:cs="Times New Roman"/>
          <w:spacing w:val="-1"/>
          <w:sz w:val="24"/>
          <w:szCs w:val="24"/>
          <w:highlight w:val="none"/>
        </w:rPr>
        <w:t>P4（0.78×10</w:t>
      </w:r>
      <w:r>
        <w:rPr>
          <w:rFonts w:hint="default" w:ascii="Times New Roman" w:hAnsi="Times New Roman" w:eastAsia="宋体" w:cs="Times New Roman"/>
          <w:spacing w:val="-1"/>
          <w:position w:val="7"/>
          <w:sz w:val="18"/>
          <w:szCs w:val="18"/>
          <w:highlight w:val="none"/>
        </w:rPr>
        <w:t>-8</w:t>
      </w:r>
      <w:r>
        <w:rPr>
          <w:rFonts w:hint="default" w:ascii="Times New Roman" w:hAnsi="Times New Roman" w:eastAsia="宋体" w:cs="Times New Roman"/>
          <w:spacing w:val="-1"/>
          <w:sz w:val="24"/>
          <w:szCs w:val="24"/>
          <w:highlight w:val="none"/>
        </w:rPr>
        <w:t>cm/s</w:t>
      </w:r>
      <w:r>
        <w:rPr>
          <w:rFonts w:hint="default" w:ascii="Times New Roman" w:hAnsi="Times New Roman" w:eastAsia="宋体" w:cs="Times New Roman"/>
          <w:spacing w:val="7"/>
          <w:sz w:val="24"/>
          <w:szCs w:val="24"/>
          <w:highlight w:val="none"/>
        </w:rPr>
        <w:t>），</w:t>
      </w:r>
      <w:r>
        <w:rPr>
          <w:rFonts w:hint="default" w:ascii="Times New Roman" w:hAnsi="Times New Roman" w:eastAsia="宋体" w:cs="Times New Roman"/>
          <w:spacing w:val="-1"/>
          <w:sz w:val="24"/>
          <w:szCs w:val="24"/>
          <w:highlight w:val="none"/>
        </w:rPr>
        <w:t>混凝土厚度不低于</w:t>
      </w:r>
      <w:r>
        <w:rPr>
          <w:rFonts w:hint="default" w:ascii="Times New Roman" w:hAnsi="Times New Roman" w:eastAsia="宋体" w:cs="Times New Roman"/>
          <w:spacing w:val="-55"/>
          <w:sz w:val="24"/>
          <w:szCs w:val="24"/>
          <w:highlight w:val="none"/>
        </w:rPr>
        <w:t xml:space="preserve"> </w:t>
      </w:r>
      <w:r>
        <w:rPr>
          <w:rFonts w:hint="default" w:ascii="Times New Roman" w:hAnsi="Times New Roman" w:eastAsia="宋体" w:cs="Times New Roman"/>
          <w:spacing w:val="-1"/>
          <w:sz w:val="24"/>
          <w:szCs w:val="24"/>
          <w:highlight w:val="none"/>
        </w:rPr>
        <w:t>2</w:t>
      </w:r>
      <w:r>
        <w:rPr>
          <w:rFonts w:hint="default" w:ascii="Times New Roman" w:hAnsi="Times New Roman" w:eastAsia="宋体" w:cs="Times New Roman"/>
          <w:spacing w:val="-2"/>
          <w:sz w:val="24"/>
          <w:szCs w:val="24"/>
          <w:highlight w:val="none"/>
        </w:rPr>
        <w:t>0cm；</w:t>
      </w:r>
    </w:p>
    <w:p w14:paraId="58550384">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78"/>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4"/>
          <w:sz w:val="24"/>
          <w:szCs w:val="24"/>
          <w:highlight w:val="none"/>
        </w:rPr>
        <w:t>③简单防渗区：厂区道路、办公区</w:t>
      </w:r>
      <w:r>
        <w:rPr>
          <w:rFonts w:hint="default" w:ascii="Times New Roman" w:hAnsi="Times New Roman" w:eastAsia="宋体" w:cs="Times New Roman"/>
          <w:spacing w:val="-1"/>
          <w:sz w:val="24"/>
          <w:szCs w:val="24"/>
          <w:highlight w:val="none"/>
          <w:lang w:eastAsia="zh-CN"/>
        </w:rPr>
        <w:t>、</w:t>
      </w:r>
      <w:r>
        <w:rPr>
          <w:rFonts w:hint="eastAsia" w:ascii="Times New Roman" w:hAnsi="Times New Roman" w:eastAsia="宋体" w:cs="Times New Roman"/>
          <w:spacing w:val="-1"/>
          <w:sz w:val="24"/>
          <w:szCs w:val="24"/>
          <w:highlight w:val="none"/>
          <w:lang w:val="en-US" w:eastAsia="zh-CN"/>
        </w:rPr>
        <w:t>厨房</w:t>
      </w: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pacing w:val="-4"/>
          <w:sz w:val="24"/>
          <w:szCs w:val="24"/>
          <w:highlight w:val="none"/>
        </w:rPr>
        <w:t>停车场</w:t>
      </w:r>
      <w:r>
        <w:rPr>
          <w:rFonts w:hint="default" w:ascii="Times New Roman" w:hAnsi="Times New Roman" w:eastAsia="宋体" w:cs="Times New Roman"/>
          <w:spacing w:val="-5"/>
          <w:sz w:val="24"/>
          <w:szCs w:val="24"/>
          <w:highlight w:val="none"/>
        </w:rPr>
        <w:t>等，铺设</w:t>
      </w:r>
      <w:r>
        <w:rPr>
          <w:rFonts w:hint="default" w:ascii="Times New Roman" w:hAnsi="Times New Roman" w:eastAsia="宋体" w:cs="Times New Roman"/>
          <w:spacing w:val="-32"/>
          <w:sz w:val="24"/>
          <w:szCs w:val="24"/>
          <w:highlight w:val="none"/>
        </w:rPr>
        <w:t xml:space="preserve"> </w:t>
      </w:r>
      <w:r>
        <w:rPr>
          <w:rFonts w:hint="default" w:ascii="Times New Roman" w:hAnsi="Times New Roman" w:eastAsia="宋体" w:cs="Times New Roman"/>
          <w:spacing w:val="-5"/>
          <w:sz w:val="24"/>
          <w:szCs w:val="24"/>
          <w:highlight w:val="none"/>
        </w:rPr>
        <w:t>10—14cm</w:t>
      </w:r>
      <w:r>
        <w:rPr>
          <w:rFonts w:hint="default" w:ascii="Times New Roman" w:hAnsi="Times New Roman" w:eastAsia="宋体" w:cs="Times New Roman"/>
          <w:spacing w:val="16"/>
          <w:sz w:val="24"/>
          <w:szCs w:val="24"/>
          <w:highlight w:val="none"/>
        </w:rPr>
        <w:t xml:space="preserve"> </w:t>
      </w:r>
      <w:r>
        <w:rPr>
          <w:rFonts w:hint="default" w:ascii="Times New Roman" w:hAnsi="Times New Roman" w:eastAsia="宋体" w:cs="Times New Roman"/>
          <w:spacing w:val="-5"/>
          <w:sz w:val="24"/>
          <w:szCs w:val="24"/>
          <w:highlight w:val="none"/>
        </w:rPr>
        <w:t>的水泥进行</w:t>
      </w:r>
      <w:r>
        <w:rPr>
          <w:rFonts w:hint="default" w:ascii="Times New Roman" w:hAnsi="Times New Roman" w:eastAsia="宋体" w:cs="Times New Roman"/>
          <w:spacing w:val="-4"/>
          <w:sz w:val="24"/>
          <w:szCs w:val="24"/>
          <w:highlight w:val="none"/>
        </w:rPr>
        <w:t>硬化。</w:t>
      </w:r>
    </w:p>
    <w:p w14:paraId="22BB190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color w:val="auto"/>
          <w:sz w:val="24"/>
          <w:szCs w:val="24"/>
          <w:highlight w:val="none"/>
          <w:u w:val="none" w:color="auto"/>
          <w:lang w:val="en-US" w:eastAsia="zh-CN"/>
        </w:rPr>
      </w:pPr>
      <w:r>
        <w:rPr>
          <w:rFonts w:hint="eastAsia" w:ascii="Times New Roman" w:hAnsi="Times New Roman" w:eastAsia="宋体" w:cs="Times New Roman"/>
          <w:b/>
          <w:color w:val="auto"/>
          <w:sz w:val="24"/>
          <w:szCs w:val="24"/>
          <w:highlight w:val="none"/>
          <w:u w:val="none" w:color="auto"/>
          <w:lang w:val="en-US" w:eastAsia="zh-CN"/>
        </w:rPr>
        <w:t>3、污染监控</w:t>
      </w:r>
    </w:p>
    <w:p w14:paraId="3BA65D97">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建议建设单位要建立和完善地下水环境监测制度，对厂区及周边地下水进行监测，一旦发生地下水污染，应立即停止生产，查明污染来源。建议在厂区、上游及下游设置监测井，按照地下水环境监测相关要求对监测井进行维护、管理和监控，一旦下游水质发生异常，应增加监测频率。</w:t>
      </w:r>
    </w:p>
    <w:p w14:paraId="4055D4A6">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eastAsia" w:ascii="Times New Roman" w:hAnsi="Times New Roman" w:eastAsia="宋体" w:cs="Times New Roman"/>
          <w:spacing w:val="1"/>
          <w:kern w:val="0"/>
          <w:sz w:val="24"/>
          <w:szCs w:val="20"/>
          <w:highlight w:val="none"/>
          <w:lang w:val="en-US" w:eastAsia="zh-CN" w:bidi="ar-SA"/>
        </w:rPr>
      </w:pPr>
      <w:r>
        <w:rPr>
          <w:rFonts w:hint="eastAsia" w:ascii="Times New Roman" w:hAnsi="Times New Roman" w:eastAsia="宋体" w:cs="Times New Roman"/>
          <w:spacing w:val="1"/>
          <w:kern w:val="0"/>
          <w:sz w:val="24"/>
          <w:szCs w:val="20"/>
          <w:highlight w:val="none"/>
          <w:lang w:val="en-US" w:eastAsia="zh-CN" w:bidi="ar-SA"/>
        </w:rPr>
        <w:t>根据《环境影响评价技术导则 地下水环境》(HJ610-2016)和《地下水环境监测技术规范》(HJ/T164-2004),结合评价区含水层系统和地下水径流系统特征，考虑潜在污染源、环境保护目标等因素，布置地下水监测点。</w:t>
      </w:r>
    </w:p>
    <w:p w14:paraId="18F649BB">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eastAsia" w:ascii="Times New Roman" w:hAnsi="Times New Roman" w:cs="Times New Roman"/>
          <w:spacing w:val="1"/>
          <w:kern w:val="0"/>
          <w:sz w:val="24"/>
          <w:szCs w:val="20"/>
          <w:highlight w:val="none"/>
          <w:lang w:val="en-US" w:eastAsia="zh-CN" w:bidi="ar-SA"/>
        </w:rPr>
      </w:pPr>
      <w:r>
        <w:rPr>
          <w:rFonts w:hint="eastAsia" w:ascii="Times New Roman" w:hAnsi="Times New Roman" w:cs="Times New Roman"/>
          <w:spacing w:val="1"/>
          <w:kern w:val="0"/>
          <w:sz w:val="24"/>
          <w:szCs w:val="20"/>
          <w:highlight w:val="none"/>
          <w:lang w:val="en-US" w:eastAsia="zh-CN" w:bidi="ar-SA"/>
        </w:rPr>
        <w:t>根据《环境影响评价技术导则土壤环境(试行)》（HJ964-2018），土壤评价等级为二级项目每五年内开展一次土壤跟踪监测。</w:t>
      </w:r>
    </w:p>
    <w:p w14:paraId="0BB95567">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eastAsia" w:ascii="Times New Roman" w:hAnsi="Times New Roman" w:cs="Times New Roman"/>
          <w:b/>
          <w:bCs/>
          <w:spacing w:val="1"/>
          <w:kern w:val="0"/>
          <w:sz w:val="24"/>
          <w:szCs w:val="20"/>
          <w:highlight w:val="none"/>
          <w:lang w:val="en-US" w:eastAsia="zh-CN" w:bidi="ar-SA"/>
        </w:rPr>
      </w:pPr>
      <w:r>
        <w:rPr>
          <w:rFonts w:hint="eastAsia" w:ascii="Times New Roman" w:hAnsi="Times New Roman" w:cs="Times New Roman"/>
          <w:b/>
          <w:bCs/>
          <w:spacing w:val="1"/>
          <w:kern w:val="0"/>
          <w:sz w:val="24"/>
          <w:szCs w:val="20"/>
          <w:highlight w:val="none"/>
          <w:lang w:val="en-US" w:eastAsia="zh-CN" w:bidi="ar-SA"/>
        </w:rPr>
        <w:t>4、土壤和地下水防治措施经济可行性分析</w:t>
      </w:r>
    </w:p>
    <w:p w14:paraId="36AE4400">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jc w:val="both"/>
        <w:textAlignment w:val="auto"/>
        <w:outlineLvl w:val="9"/>
        <w:rPr>
          <w:rFonts w:hint="default" w:ascii="Times New Roman" w:hAnsi="Times New Roman" w:cs="Times New Roman"/>
          <w:spacing w:val="1"/>
          <w:kern w:val="0"/>
          <w:sz w:val="24"/>
          <w:szCs w:val="20"/>
          <w:highlight w:val="none"/>
          <w:lang w:val="en-US" w:eastAsia="zh-CN" w:bidi="ar-SA"/>
        </w:rPr>
      </w:pPr>
      <w:r>
        <w:rPr>
          <w:rFonts w:hint="default" w:ascii="Times New Roman" w:hAnsi="Times New Roman" w:cs="Times New Roman"/>
          <w:spacing w:val="1"/>
          <w:kern w:val="0"/>
          <w:sz w:val="24"/>
          <w:szCs w:val="20"/>
          <w:highlight w:val="none"/>
          <w:lang w:val="en-US" w:eastAsia="zh-CN" w:bidi="ar-SA"/>
        </w:rPr>
        <w:t>此外采用上述治理措施后可有效预防地下水、土壤污染，降低对周围环境的影响。因此，上述地下水、土壤污染防治措施在经济上是可行的。</w:t>
      </w:r>
    </w:p>
    <w:p w14:paraId="670B8CC3">
      <w:pPr>
        <w:pStyle w:val="6"/>
        <w:bidi w:val="0"/>
        <w:rPr>
          <w:highlight w:val="none"/>
        </w:rPr>
      </w:pPr>
      <w:bookmarkStart w:id="244" w:name="_Toc1301"/>
      <w:r>
        <w:rPr>
          <w:rFonts w:hint="eastAsia"/>
          <w:highlight w:val="none"/>
          <w:lang w:val="en-US" w:eastAsia="zh-CN"/>
        </w:rPr>
        <w:t>7</w:t>
      </w:r>
      <w:r>
        <w:rPr>
          <w:highlight w:val="none"/>
        </w:rPr>
        <w:t>.5</w:t>
      </w:r>
      <w:r>
        <w:rPr>
          <w:rFonts w:hint="eastAsia"/>
          <w:highlight w:val="none"/>
          <w:lang w:val="en-US" w:eastAsia="zh-CN"/>
        </w:rPr>
        <w:t xml:space="preserve"> </w:t>
      </w:r>
      <w:r>
        <w:rPr>
          <w:highlight w:val="none"/>
        </w:rPr>
        <w:t>营运期声环境污染防治措施及可行性分析</w:t>
      </w:r>
      <w:bookmarkEnd w:id="244"/>
    </w:p>
    <w:p w14:paraId="197DDC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szCs w:val="24"/>
          <w:highlight w:val="none"/>
          <w:lang w:eastAsia="zh-CN"/>
        </w:rPr>
      </w:pPr>
      <w:r>
        <w:rPr>
          <w:rFonts w:hint="default" w:ascii="Times New Roman" w:hAnsi="宋体" w:eastAsia="宋体" w:cs="Times New Roman"/>
          <w:color w:val="auto"/>
          <w:sz w:val="24"/>
          <w:szCs w:val="24"/>
          <w:highlight w:val="none"/>
        </w:rPr>
        <w:t>本项目噪声源主要为风机</w:t>
      </w:r>
      <w:r>
        <w:rPr>
          <w:rFonts w:hint="eastAsia" w:ascii="Times New Roman" w:hAnsi="宋体" w:eastAsia="宋体" w:cs="Times New Roman"/>
          <w:color w:val="auto"/>
          <w:sz w:val="24"/>
          <w:szCs w:val="24"/>
          <w:highlight w:val="none"/>
          <w:lang w:eastAsia="zh-CN"/>
        </w:rPr>
        <w:t>、</w:t>
      </w:r>
      <w:r>
        <w:rPr>
          <w:rFonts w:hint="default" w:ascii="Times New Roman" w:hAnsi="宋体" w:eastAsia="宋体" w:cs="Times New Roman"/>
          <w:color w:val="auto"/>
          <w:sz w:val="24"/>
          <w:szCs w:val="24"/>
          <w:highlight w:val="none"/>
        </w:rPr>
        <w:t>设备搅拌</w:t>
      </w:r>
      <w:r>
        <w:rPr>
          <w:rFonts w:hint="eastAsia" w:ascii="Times New Roman" w:hAnsi="宋体" w:eastAsia="宋体" w:cs="Times New Roman"/>
          <w:color w:val="auto"/>
          <w:sz w:val="24"/>
          <w:szCs w:val="24"/>
          <w:highlight w:val="none"/>
          <w:lang w:val="en-US" w:eastAsia="zh-CN"/>
        </w:rPr>
        <w:t>釜、打粉机、空压机</w:t>
      </w:r>
      <w:r>
        <w:rPr>
          <w:rFonts w:hint="default" w:ascii="Times New Roman" w:hAnsi="宋体" w:eastAsia="宋体" w:cs="Times New Roman"/>
          <w:color w:val="auto"/>
          <w:sz w:val="24"/>
          <w:szCs w:val="24"/>
          <w:highlight w:val="none"/>
        </w:rPr>
        <w:t>等，本评价将针对其影响采取一定的降噪措施，具体如下</w:t>
      </w:r>
      <w:r>
        <w:rPr>
          <w:rFonts w:hint="default" w:ascii="Times New Roman" w:hAnsi="宋体" w:eastAsia="宋体" w:cs="Times New Roman"/>
          <w:color w:val="auto"/>
          <w:sz w:val="24"/>
          <w:szCs w:val="24"/>
          <w:highlight w:val="none"/>
          <w:lang w:eastAsia="zh-CN"/>
        </w:rPr>
        <w:t>：</w:t>
      </w:r>
    </w:p>
    <w:p w14:paraId="3B16174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szCs w:val="24"/>
          <w:highlight w:val="none"/>
        </w:rPr>
      </w:pPr>
      <w:r>
        <w:rPr>
          <w:rFonts w:hint="default" w:ascii="Times New Roman" w:hAnsi="宋体" w:eastAsia="宋体" w:cs="Times New Roman"/>
          <w:color w:val="auto"/>
          <w:sz w:val="24"/>
          <w:szCs w:val="24"/>
          <w:highlight w:val="none"/>
        </w:rPr>
        <w:t>1、降低噪声源，在满足生产工艺特性参数的情况下优选低噪声设备。</w:t>
      </w:r>
    </w:p>
    <w:p w14:paraId="2E85873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宋体" w:eastAsia="宋体" w:cs="Times New Roman"/>
          <w:color w:val="auto"/>
          <w:sz w:val="24"/>
          <w:szCs w:val="24"/>
          <w:highlight w:val="none"/>
        </w:rPr>
      </w:pPr>
      <w:r>
        <w:rPr>
          <w:rFonts w:hint="default" w:ascii="Times New Roman" w:hAnsi="宋体" w:eastAsia="宋体" w:cs="Times New Roman"/>
          <w:color w:val="auto"/>
          <w:sz w:val="24"/>
          <w:szCs w:val="24"/>
          <w:highlight w:val="none"/>
        </w:rPr>
        <w:t>2、正确安装设备，校准设备中心，以保证设备的动平衡，采用基础减振措施。同时加强设备的日常维护，确保设备处于良好的运转状态，杜绝因设备不正常运转时产生的高噪声现象。</w:t>
      </w:r>
      <w:r>
        <w:rPr>
          <w:rFonts w:ascii="Times New Roman" w:hAnsi="宋体" w:eastAsia="宋体" w:cs="Times New Roman"/>
          <w:color w:val="auto"/>
          <w:sz w:val="24"/>
          <w:szCs w:val="24"/>
          <w:highlight w:val="none"/>
        </w:rPr>
        <w:t>车间风机设置在独立空间内，采用减振基底，连接处采用柔性接头。</w:t>
      </w:r>
    </w:p>
    <w:p w14:paraId="5230FFA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szCs w:val="24"/>
          <w:highlight w:val="none"/>
        </w:rPr>
      </w:pPr>
      <w:r>
        <w:rPr>
          <w:rFonts w:hint="default" w:ascii="Times New Roman" w:hAnsi="宋体" w:eastAsia="宋体" w:cs="Times New Roman"/>
          <w:color w:val="auto"/>
          <w:sz w:val="24"/>
          <w:szCs w:val="24"/>
          <w:highlight w:val="none"/>
        </w:rPr>
        <w:t>3、高噪声设备尽量布置在车间内，从在平面布局考虑，高噪设备布置时应充分考虑强噪设备与厂界的距离及厂界噪声限值，布置位置尽可能远离厂界</w:t>
      </w:r>
      <w:r>
        <w:rPr>
          <w:rFonts w:hint="eastAsia" w:ascii="Times New Roman" w:hAnsi="宋体" w:eastAsia="宋体" w:cs="Times New Roman"/>
          <w:color w:val="auto"/>
          <w:sz w:val="24"/>
          <w:szCs w:val="24"/>
          <w:highlight w:val="none"/>
          <w:lang w:val="en-US" w:eastAsia="zh-CN"/>
        </w:rPr>
        <w:t>及</w:t>
      </w:r>
      <w:r>
        <w:rPr>
          <w:rFonts w:ascii="Times New Roman" w:hAnsi="宋体" w:eastAsia="宋体" w:cs="Times New Roman"/>
          <w:color w:val="auto"/>
          <w:sz w:val="24"/>
          <w:szCs w:val="24"/>
          <w:highlight w:val="none"/>
        </w:rPr>
        <w:t>噪声敏感区域</w:t>
      </w:r>
      <w:r>
        <w:rPr>
          <w:rFonts w:hint="default" w:ascii="Times New Roman" w:hAnsi="宋体" w:eastAsia="宋体" w:cs="Times New Roman"/>
          <w:color w:val="auto"/>
          <w:sz w:val="24"/>
          <w:szCs w:val="24"/>
          <w:highlight w:val="none"/>
        </w:rPr>
        <w:t>。</w:t>
      </w:r>
    </w:p>
    <w:p w14:paraId="3F712C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宋体" w:eastAsia="宋体" w:cs="Times New Roman"/>
          <w:color w:val="auto"/>
          <w:sz w:val="24"/>
          <w:szCs w:val="24"/>
          <w:highlight w:val="none"/>
          <w:lang w:eastAsia="zh-CN"/>
        </w:rPr>
      </w:pPr>
      <w:r>
        <w:rPr>
          <w:rFonts w:hint="default" w:ascii="Times New Roman" w:hAnsi="宋体" w:eastAsia="宋体" w:cs="Times New Roman"/>
          <w:color w:val="auto"/>
          <w:sz w:val="24"/>
          <w:szCs w:val="24"/>
          <w:highlight w:val="none"/>
        </w:rPr>
        <w:t>通过采取上述降噪措施后，噪声对周围环境的影响有限，项目设备拟采取的噪声控制措施具有较好的降噪效果，可减轻项目噪声源对厂界环境的影响。以上处理措施在工业企业噪声防治中广泛应用，处理效果较好，对于本工程是可行的</w:t>
      </w:r>
      <w:r>
        <w:rPr>
          <w:rFonts w:hint="eastAsia" w:ascii="Times New Roman" w:hAnsi="宋体" w:eastAsia="宋体" w:cs="Times New Roman"/>
          <w:color w:val="auto"/>
          <w:sz w:val="24"/>
          <w:szCs w:val="24"/>
          <w:highlight w:val="none"/>
          <w:lang w:eastAsia="zh-CN"/>
        </w:rPr>
        <w:t>。</w:t>
      </w:r>
    </w:p>
    <w:p w14:paraId="211E8F29">
      <w:pPr>
        <w:pStyle w:val="6"/>
        <w:bidi w:val="0"/>
        <w:rPr>
          <w:szCs w:val="30"/>
          <w:highlight w:val="none"/>
        </w:rPr>
      </w:pPr>
      <w:bookmarkStart w:id="245" w:name="_Toc28133"/>
      <w:r>
        <w:rPr>
          <w:rFonts w:hint="eastAsia"/>
          <w:highlight w:val="none"/>
          <w:lang w:val="en-US" w:eastAsia="zh-CN"/>
        </w:rPr>
        <w:t>7</w:t>
      </w:r>
      <w:r>
        <w:rPr>
          <w:highlight w:val="none"/>
        </w:rPr>
        <w:t>.6</w:t>
      </w:r>
      <w:r>
        <w:rPr>
          <w:rFonts w:hint="eastAsia"/>
          <w:highlight w:val="none"/>
          <w:lang w:val="en-US" w:eastAsia="zh-CN"/>
        </w:rPr>
        <w:t xml:space="preserve"> </w:t>
      </w:r>
      <w:r>
        <w:rPr>
          <w:highlight w:val="none"/>
        </w:rPr>
        <w:t>营运期固体废物污染防治措施及可行性分析</w:t>
      </w:r>
      <w:bookmarkEnd w:id="245"/>
    </w:p>
    <w:p w14:paraId="48C40C8A">
      <w:pPr>
        <w:pStyle w:val="7"/>
        <w:bidi w:val="0"/>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46" w:name="_Toc3308"/>
      <w:bookmarkStart w:id="247" w:name="_Toc488833095"/>
      <w:r>
        <w:rPr>
          <w:rFonts w:hint="eastAsia"/>
          <w:highlight w:val="none"/>
          <w:lang w:val="en-US" w:eastAsia="zh-CN"/>
        </w:rPr>
        <w:t>7</w:t>
      </w:r>
      <w:r>
        <w:rPr>
          <w:highlight w:val="none"/>
        </w:rPr>
        <w:t>.</w:t>
      </w:r>
      <w:r>
        <w:rPr>
          <w:rFonts w:hint="eastAsia"/>
          <w:highlight w:val="none"/>
          <w:lang w:val="en-US" w:eastAsia="zh-CN"/>
        </w:rPr>
        <w:t>6</w:t>
      </w:r>
      <w:r>
        <w:rPr>
          <w:highlight w:val="none"/>
        </w:rPr>
        <w:t>.1 固体废物处理处置措施</w:t>
      </w:r>
      <w:bookmarkEnd w:id="246"/>
    </w:p>
    <w:p w14:paraId="2D9B5BA6">
      <w:pPr>
        <w:keepNext/>
        <w:suppressLineNumbers/>
        <w:ind w:firstLine="42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项目生活</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垃圾收集箱集中收集后交由环卫部门处置。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项目营运期产生的一般工业固体废物主要包括</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布袋除尘器收集粉尘、地面收集粉尘收集后返回生产线做原料；废RO膜由厂家上门更换并对其进行回收处置；废包装材料拟将其收集后交由厂家回收；实验室检验成品固废不合格的回用于工艺。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包括废活性炭、废导热油、实验室废液，收集后暂存于危险废物暂存间，定期交由有资质单位处理。</w:t>
      </w:r>
    </w:p>
    <w:p w14:paraId="33E23282">
      <w:pPr>
        <w:keepNext/>
        <w:keepLines w:val="0"/>
        <w:pageBreakBefore w:val="0"/>
        <w:suppressLineNumbers/>
        <w:kinsoku/>
        <w:wordWrap/>
        <w:overflowPunct/>
        <w:topLinePunct w:val="0"/>
        <w:autoSpaceDE/>
        <w:autoSpaceDN/>
        <w:bidi w:val="0"/>
        <w:adjustRightInd/>
        <w:snapToGrid/>
        <w:spacing w:line="360" w:lineRule="auto"/>
        <w:ind w:left="0" w:firstLine="420"/>
        <w:textAlignment w:val="auto"/>
        <w:rPr>
          <w:rFonts w:hint="eastAsia" w:cs="Times New Roman"/>
          <w:color w:val="auto"/>
          <w:kern w:val="0"/>
          <w:sz w:val="24"/>
          <w:highlight w:val="none"/>
          <w:u w:val="none" w:color="auto"/>
          <w:lang w:val="en-US" w:eastAsia="zh-CN"/>
        </w:rPr>
      </w:pPr>
      <w:r>
        <w:rPr>
          <w:rFonts w:hint="default" w:ascii="Times New Roman" w:hAnsi="Times New Roman" w:eastAsia="宋体" w:cs="Times New Roman"/>
          <w:color w:val="auto"/>
          <w:kern w:val="0"/>
          <w:sz w:val="24"/>
          <w:highlight w:val="none"/>
          <w:u w:val="none" w:color="auto"/>
        </w:rPr>
        <w:t>一般工业固废和危险废物应妥善分类用指定容器收集，同时标注：标志标识、防渗</w:t>
      </w:r>
      <w:r>
        <w:rPr>
          <w:rFonts w:hint="eastAsia" w:cs="Times New Roman"/>
          <w:color w:val="auto"/>
          <w:kern w:val="0"/>
          <w:sz w:val="24"/>
          <w:highlight w:val="none"/>
          <w:u w:val="none" w:color="auto"/>
          <w:lang w:eastAsia="zh-CN"/>
        </w:rPr>
        <w:t>。</w:t>
      </w:r>
      <w:r>
        <w:rPr>
          <w:rFonts w:hint="eastAsia" w:cs="Times New Roman"/>
          <w:color w:val="auto"/>
          <w:kern w:val="0"/>
          <w:sz w:val="24"/>
          <w:highlight w:val="none"/>
          <w:u w:val="none" w:color="auto"/>
          <w:lang w:val="en-US" w:eastAsia="zh-CN"/>
        </w:rPr>
        <w:t xml:space="preserve">   </w:t>
      </w:r>
    </w:p>
    <w:p w14:paraId="1EA3B6F6">
      <w:pPr>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cs="Times New Roman" w:eastAsiaTheme="minorEastAsia"/>
          <w:b/>
          <w:bCs/>
          <w:color w:val="auto"/>
          <w:kern w:val="0"/>
          <w:sz w:val="24"/>
          <w:szCs w:val="24"/>
          <w:highlight w:val="none"/>
          <w:u w:val="none" w:color="auto"/>
          <w:lang w:val="en-US" w:eastAsia="zh-CN"/>
        </w:rPr>
      </w:pPr>
      <w:r>
        <w:rPr>
          <w:rFonts w:hint="default" w:ascii="Times New Roman" w:hAnsi="Times New Roman" w:cs="Times New Roman" w:eastAsiaTheme="minorEastAsia"/>
          <w:b/>
          <w:bCs/>
          <w:color w:val="auto"/>
          <w:kern w:val="0"/>
          <w:sz w:val="24"/>
          <w:szCs w:val="24"/>
          <w:highlight w:val="none"/>
          <w:u w:val="none" w:color="auto"/>
          <w:lang w:val="en-US" w:eastAsia="zh-CN"/>
        </w:rPr>
        <w:t>1、一般工业固废污染控制</w:t>
      </w:r>
    </w:p>
    <w:p w14:paraId="5ED490C5">
      <w:pPr>
        <w:keepNext/>
        <w:keepLines w:val="0"/>
        <w:pageBreakBefore w:val="0"/>
        <w:widowControl w:val="0"/>
        <w:suppressLineNumbers/>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一般工业固废贮存场所根据《一般工业固体废物贮存和填埋污染控制标准》（GB18599-2020）中的固体废物控制要求。  </w:t>
      </w:r>
    </w:p>
    <w:p w14:paraId="2F6BD8BA">
      <w:pPr>
        <w:keepNext/>
        <w:keepLines w:val="0"/>
        <w:pageBreakBefore w:val="0"/>
        <w:widowControl w:val="0"/>
        <w:suppressLineNumbers/>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（1）临时堆放的地面与裙角要用竖固、防渗的建筑材料建造，基础必须防渗。</w:t>
      </w:r>
    </w:p>
    <w:p w14:paraId="5FFEFF19">
      <w:pPr>
        <w:keepNext/>
        <w:keepLines w:val="0"/>
        <w:pageBreakBefore w:val="0"/>
        <w:widowControl w:val="0"/>
        <w:suppressLineNumbers/>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（2）禁止危险废物和生活垃圾混入；</w:t>
      </w:r>
    </w:p>
    <w:p w14:paraId="7C2F78F8">
      <w:pPr>
        <w:keepNext/>
        <w:keepLines w:val="0"/>
        <w:pageBreakBefore w:val="0"/>
        <w:widowControl w:val="0"/>
        <w:suppressLineNumbers/>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（3）建立检查维护制度。定期检查挡墙等设施，发现有损坏可能或异常， 应及时采取必要措施，以保障正常运行；</w:t>
      </w:r>
    </w:p>
    <w:p w14:paraId="7297F04A">
      <w:pPr>
        <w:keepNext/>
        <w:keepLines w:val="0"/>
        <w:pageBreakBefore w:val="0"/>
        <w:widowControl w:val="0"/>
        <w:suppressLineNumbers/>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（4）建立档案制度。将入场的一般工业固体废物的种类和数量详细记录在 案，长期保存，供随时查阅；</w:t>
      </w:r>
    </w:p>
    <w:p w14:paraId="3F1CE1DE">
      <w:pPr>
        <w:keepNext/>
        <w:keepLines w:val="0"/>
        <w:pageBreakBefore w:val="0"/>
        <w:widowControl w:val="0"/>
        <w:suppressLineNumbers/>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（5）贮存场的环境保护图形标志，应按 GB15562.2 规定进行检查和维护。</w:t>
      </w:r>
    </w:p>
    <w:p w14:paraId="60299A93">
      <w:pPr>
        <w:keepLines w:val="0"/>
        <w:pageBreakBefore w:val="0"/>
        <w:widowControl w:val="0"/>
        <w:kinsoku/>
        <w:wordWrap/>
        <w:overflowPunct/>
        <w:topLinePunct w:val="0"/>
        <w:autoSpaceDE/>
        <w:autoSpaceDN/>
        <w:bidi w:val="0"/>
        <w:adjustRightInd/>
        <w:snapToGrid/>
        <w:spacing w:line="360" w:lineRule="auto"/>
        <w:ind w:left="0" w:right="0" w:firstLine="482" w:firstLineChars="200"/>
        <w:jc w:val="both"/>
        <w:textAlignment w:val="auto"/>
        <w:rPr>
          <w:rFonts w:hint="default" w:ascii="Times New Roman" w:hAnsi="Times New Roman" w:cs="Times New Roman" w:eastAsiaTheme="minorEastAsia"/>
          <w:b/>
          <w:bCs/>
          <w:color w:val="auto"/>
          <w:kern w:val="0"/>
          <w:sz w:val="24"/>
          <w:szCs w:val="24"/>
          <w:highlight w:val="none"/>
          <w:u w:val="none" w:color="auto"/>
          <w:lang w:val="en-US" w:eastAsia="zh-CN"/>
        </w:rPr>
      </w:pPr>
      <w:r>
        <w:rPr>
          <w:rFonts w:hint="default" w:ascii="Times New Roman" w:hAnsi="Times New Roman" w:cs="Times New Roman" w:eastAsiaTheme="minorEastAsia"/>
          <w:b/>
          <w:bCs/>
          <w:color w:val="auto"/>
          <w:kern w:val="0"/>
          <w:sz w:val="24"/>
          <w:szCs w:val="24"/>
          <w:highlight w:val="none"/>
          <w:u w:val="none" w:color="auto"/>
          <w:lang w:val="en-US" w:eastAsia="zh-CN"/>
        </w:rPr>
        <w:t>2、危险废物污染控制</w:t>
      </w:r>
    </w:p>
    <w:p w14:paraId="57A86AEA">
      <w:pPr>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eastAsiaTheme="minorEastAsia"/>
          <w:color w:val="auto"/>
          <w:kern w:val="0"/>
          <w:sz w:val="24"/>
          <w:szCs w:val="24"/>
          <w:highlight w:val="none"/>
          <w:u w:val="none" w:color="auto"/>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项目危险废物暂存间应严格执行《危险废物贮存污染控制标准》（GB18597-2023）的有关规定。</w:t>
      </w:r>
      <w:r>
        <w:rPr>
          <w:rFonts w:hint="default" w:ascii="Times New Roman" w:hAnsi="Times New Roman" w:cs="Times New Roman" w:eastAsiaTheme="minorEastAsia"/>
          <w:color w:val="auto"/>
          <w:kern w:val="0"/>
          <w:sz w:val="24"/>
          <w:szCs w:val="24"/>
          <w:highlight w:val="none"/>
          <w:u w:val="none" w:color="auto"/>
        </w:rPr>
        <w:t>项目危险废物暂存间因区分各危险废物来源，区分存放，并贴有危废标示。同时，</w:t>
      </w:r>
      <w:r>
        <w:rPr>
          <w:rFonts w:hint="default" w:ascii="Times New Roman" w:hAnsi="Times New Roman" w:cs="Times New Roman" w:eastAsiaTheme="minorEastAsia"/>
          <w:color w:val="auto"/>
          <w:kern w:val="0"/>
          <w:sz w:val="24"/>
          <w:szCs w:val="24"/>
          <w:highlight w:val="none"/>
          <w:u w:val="none" w:color="auto"/>
          <w:lang w:val="en-US" w:eastAsia="zh-CN"/>
        </w:rPr>
        <w:t>根据</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《危险废物贮存污染控制标准》（GB18597-2023）的标准</w:t>
      </w:r>
      <w:r>
        <w:rPr>
          <w:rFonts w:hint="default" w:ascii="Times New Roman" w:hAnsi="Times New Roman" w:cs="Times New Roman" w:eastAsiaTheme="minorEastAsia"/>
          <w:color w:val="auto"/>
          <w:kern w:val="0"/>
          <w:sz w:val="24"/>
          <w:szCs w:val="24"/>
          <w:highlight w:val="none"/>
          <w:u w:val="none" w:color="auto"/>
        </w:rPr>
        <w:t>要求，危险废物暂存间相关要求如下：</w:t>
      </w:r>
    </w:p>
    <w:p w14:paraId="417D0CA4">
      <w:pPr>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eastAsiaTheme="minorEastAsia"/>
          <w:color w:val="auto"/>
          <w:kern w:val="0"/>
          <w:sz w:val="24"/>
          <w:szCs w:val="24"/>
          <w:highlight w:val="none"/>
          <w:u w:val="none" w:color="auto"/>
        </w:rPr>
      </w:pPr>
      <w:r>
        <w:rPr>
          <w:rFonts w:hint="default" w:ascii="Times New Roman" w:hAnsi="Times New Roman" w:cs="Times New Roman" w:eastAsiaTheme="minorEastAsia"/>
          <w:color w:val="auto"/>
          <w:kern w:val="0"/>
          <w:sz w:val="24"/>
          <w:szCs w:val="24"/>
          <w:highlight w:val="none"/>
          <w:u w:val="none" w:color="auto"/>
          <w:lang w:eastAsia="zh-CN"/>
        </w:rPr>
        <w:t>（</w:t>
      </w:r>
      <w:r>
        <w:rPr>
          <w:rFonts w:hint="default" w:ascii="Times New Roman" w:hAnsi="Times New Roman" w:cs="Times New Roman" w:eastAsiaTheme="minorEastAsia"/>
          <w:color w:val="auto"/>
          <w:kern w:val="0"/>
          <w:sz w:val="24"/>
          <w:szCs w:val="24"/>
          <w:highlight w:val="none"/>
          <w:u w:val="none" w:color="auto"/>
          <w:lang w:val="en-US" w:eastAsia="zh-CN"/>
        </w:rPr>
        <w:t>1</w:t>
      </w:r>
      <w:r>
        <w:rPr>
          <w:rFonts w:hint="default" w:ascii="Times New Roman" w:hAnsi="Times New Roman" w:cs="Times New Roman" w:eastAsiaTheme="minorEastAsia"/>
          <w:color w:val="auto"/>
          <w:kern w:val="0"/>
          <w:sz w:val="24"/>
          <w:szCs w:val="24"/>
          <w:highlight w:val="none"/>
          <w:u w:val="none" w:color="auto"/>
          <w:lang w:eastAsia="zh-CN"/>
        </w:rPr>
        <w:t>）</w:t>
      </w:r>
      <w:r>
        <w:rPr>
          <w:rFonts w:hint="default" w:ascii="Times New Roman" w:hAnsi="Times New Roman" w:cs="Times New Roman" w:eastAsiaTheme="minorEastAsia"/>
          <w:spacing w:val="-4"/>
          <w:sz w:val="24"/>
          <w:szCs w:val="24"/>
          <w:highlight w:val="none"/>
        </w:rPr>
        <w:t>地面与裙脚要用坚固、防渗的材料建造，建筑材料必须与危险废</w:t>
      </w:r>
      <w:r>
        <w:rPr>
          <w:rFonts w:hint="default" w:ascii="Times New Roman" w:hAnsi="Times New Roman" w:cs="Times New Roman" w:eastAsiaTheme="minorEastAsia"/>
          <w:spacing w:val="-5"/>
          <w:sz w:val="24"/>
          <w:szCs w:val="24"/>
          <w:highlight w:val="none"/>
        </w:rPr>
        <w:t>物相容。</w:t>
      </w:r>
      <w:r>
        <w:rPr>
          <w:rFonts w:hint="default" w:ascii="Times New Roman" w:hAnsi="Times New Roman" w:cs="Times New Roman" w:eastAsiaTheme="minorEastAsia"/>
          <w:sz w:val="24"/>
          <w:szCs w:val="24"/>
          <w:highlight w:val="none"/>
        </w:rPr>
        <w:t xml:space="preserve"> </w:t>
      </w:r>
      <w:r>
        <w:rPr>
          <w:rFonts w:hint="default" w:ascii="Times New Roman" w:hAnsi="Times New Roman" w:cs="Times New Roman" w:eastAsiaTheme="minorEastAsia"/>
          <w:spacing w:val="-3"/>
          <w:sz w:val="24"/>
          <w:szCs w:val="24"/>
          <w:highlight w:val="none"/>
        </w:rPr>
        <w:t>应建有堵截泄漏的裙脚，地面与裙脚要用坚固防渗的材料建造。应有隔离设施、报</w:t>
      </w:r>
      <w:r>
        <w:rPr>
          <w:rFonts w:hint="default" w:ascii="Times New Roman" w:hAnsi="Times New Roman" w:cs="Times New Roman" w:eastAsiaTheme="minorEastAsia"/>
          <w:spacing w:val="16"/>
          <w:sz w:val="24"/>
          <w:szCs w:val="24"/>
          <w:highlight w:val="none"/>
        </w:rPr>
        <w:t xml:space="preserve"> </w:t>
      </w:r>
      <w:r>
        <w:rPr>
          <w:rFonts w:hint="default" w:ascii="Times New Roman" w:hAnsi="Times New Roman" w:cs="Times New Roman" w:eastAsiaTheme="minorEastAsia"/>
          <w:spacing w:val="-1"/>
          <w:sz w:val="24"/>
          <w:szCs w:val="24"/>
          <w:highlight w:val="none"/>
        </w:rPr>
        <w:t>警装置和防风、防晒、防雨设施；</w:t>
      </w:r>
      <w:r>
        <w:rPr>
          <w:rFonts w:hint="default" w:ascii="Times New Roman" w:hAnsi="Times New Roman" w:cs="Times New Roman" w:eastAsiaTheme="minorEastAsia"/>
          <w:color w:val="auto"/>
          <w:kern w:val="0"/>
          <w:sz w:val="24"/>
          <w:szCs w:val="24"/>
          <w:highlight w:val="none"/>
          <w:u w:val="none" w:color="auto"/>
        </w:rPr>
        <w:t>基础必须防渗，防渗层为至少1米厚粘土层（渗透系数≤10</w:t>
      </w:r>
      <w:r>
        <w:rPr>
          <w:rFonts w:hint="default" w:ascii="Times New Roman" w:hAnsi="Times New Roman" w:cs="Times New Roman" w:eastAsiaTheme="minorEastAsia"/>
          <w:color w:val="auto"/>
          <w:kern w:val="0"/>
          <w:sz w:val="24"/>
          <w:szCs w:val="24"/>
          <w:highlight w:val="none"/>
          <w:u w:val="none" w:color="auto"/>
          <w:vertAlign w:val="superscript"/>
        </w:rPr>
        <w:t>-7</w:t>
      </w:r>
      <w:r>
        <w:rPr>
          <w:rFonts w:hint="default" w:ascii="Times New Roman" w:hAnsi="Times New Roman" w:cs="Times New Roman" w:eastAsiaTheme="minorEastAsia"/>
          <w:color w:val="auto"/>
          <w:kern w:val="0"/>
          <w:sz w:val="24"/>
          <w:szCs w:val="24"/>
          <w:highlight w:val="none"/>
          <w:u w:val="none" w:color="auto"/>
        </w:rPr>
        <w:t>厘米/秒），或2毫米厚高密度聚乙烯，或至少2毫米厚的其它人工材料，渗透系数≤10</w:t>
      </w:r>
      <w:r>
        <w:rPr>
          <w:rFonts w:hint="default" w:ascii="Times New Roman" w:hAnsi="Times New Roman" w:cs="Times New Roman" w:eastAsiaTheme="minorEastAsia"/>
          <w:color w:val="auto"/>
          <w:kern w:val="0"/>
          <w:sz w:val="24"/>
          <w:szCs w:val="24"/>
          <w:highlight w:val="none"/>
          <w:u w:val="none" w:color="auto"/>
          <w:vertAlign w:val="superscript"/>
        </w:rPr>
        <w:t>-10</w:t>
      </w:r>
      <w:r>
        <w:rPr>
          <w:rFonts w:hint="default" w:ascii="Times New Roman" w:hAnsi="Times New Roman" w:cs="Times New Roman" w:eastAsiaTheme="minorEastAsia"/>
          <w:color w:val="auto"/>
          <w:kern w:val="0"/>
          <w:sz w:val="24"/>
          <w:szCs w:val="24"/>
          <w:highlight w:val="none"/>
          <w:u w:val="none" w:color="auto"/>
        </w:rPr>
        <w:t>厘米/秒。</w:t>
      </w:r>
    </w:p>
    <w:p w14:paraId="1D7B85BB">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pacing w:val="-1"/>
          <w:sz w:val="24"/>
          <w:szCs w:val="24"/>
          <w:highlight w:val="none"/>
        </w:rPr>
      </w:pPr>
      <w:r>
        <w:rPr>
          <w:rFonts w:hint="default" w:ascii="Times New Roman" w:hAnsi="Times New Roman" w:cs="Times New Roman" w:eastAsiaTheme="minorEastAsia"/>
          <w:sz w:val="24"/>
          <w:szCs w:val="24"/>
          <w:highlight w:val="none"/>
        </w:rPr>
        <w:t>（</w:t>
      </w:r>
      <w:r>
        <w:rPr>
          <w:rFonts w:hint="default" w:ascii="Times New Roman" w:hAnsi="Times New Roman" w:cs="Times New Roman" w:eastAsiaTheme="minorEastAsia"/>
          <w:sz w:val="24"/>
          <w:szCs w:val="24"/>
          <w:highlight w:val="none"/>
          <w:lang w:val="en-US" w:eastAsia="zh-CN"/>
        </w:rPr>
        <w:t>2</w:t>
      </w:r>
      <w:r>
        <w:rPr>
          <w:rFonts w:hint="default" w:ascii="Times New Roman" w:hAnsi="Times New Roman" w:cs="Times New Roman" w:eastAsiaTheme="minorEastAsia"/>
          <w:sz w:val="24"/>
          <w:szCs w:val="24"/>
          <w:highlight w:val="none"/>
        </w:rPr>
        <w:t>）装运危险废物的容器应根据危险废物的不同特性而设计，不易破损、变</w:t>
      </w:r>
      <w:r>
        <w:rPr>
          <w:rFonts w:hint="default" w:ascii="Times New Roman" w:hAnsi="Times New Roman" w:cs="Times New Roman" w:eastAsiaTheme="minorEastAsia"/>
          <w:spacing w:val="-3"/>
          <w:sz w:val="24"/>
          <w:szCs w:val="24"/>
          <w:highlight w:val="none"/>
        </w:rPr>
        <w:t>形、老化，能有效地防止渗漏、扩散，容器材质和衬里要与危险废物相容（不相互</w:t>
      </w:r>
      <w:r>
        <w:rPr>
          <w:rFonts w:hint="default" w:ascii="Times New Roman" w:hAnsi="Times New Roman" w:cs="Times New Roman" w:eastAsiaTheme="minorEastAsia"/>
          <w:spacing w:val="-1"/>
          <w:sz w:val="24"/>
          <w:szCs w:val="24"/>
          <w:highlight w:val="none"/>
        </w:rPr>
        <w:t>反应）。装有危险废物的容器必须贴有标签，</w:t>
      </w:r>
      <w:r>
        <w:rPr>
          <w:rFonts w:hint="default" w:ascii="Times New Roman" w:hAnsi="Times New Roman" w:cs="Times New Roman" w:eastAsiaTheme="minorEastAsia"/>
          <w:spacing w:val="-2"/>
          <w:sz w:val="24"/>
          <w:szCs w:val="24"/>
          <w:highlight w:val="none"/>
        </w:rPr>
        <w:t>在标签上详细标明危险废物的名称、</w:t>
      </w:r>
      <w:r>
        <w:rPr>
          <w:rFonts w:hint="default" w:ascii="Times New Roman" w:hAnsi="Times New Roman" w:cs="Times New Roman" w:eastAsiaTheme="minorEastAsia"/>
          <w:sz w:val="24"/>
          <w:szCs w:val="24"/>
          <w:highlight w:val="none"/>
        </w:rPr>
        <w:t xml:space="preserve"> 重量、成分、特性以及发生泄漏、扩散污染事故</w:t>
      </w:r>
      <w:r>
        <w:rPr>
          <w:rFonts w:hint="default" w:ascii="Times New Roman" w:hAnsi="Times New Roman" w:cs="Times New Roman" w:eastAsiaTheme="minorEastAsia"/>
          <w:spacing w:val="-1"/>
          <w:sz w:val="24"/>
          <w:szCs w:val="24"/>
          <w:highlight w:val="none"/>
        </w:rPr>
        <w:t>时的应急措施和补救方法；</w:t>
      </w:r>
    </w:p>
    <w:p w14:paraId="7FE76909">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pacing w:val="-1"/>
          <w:sz w:val="24"/>
          <w:szCs w:val="24"/>
          <w:highlight w:val="none"/>
        </w:rPr>
      </w:pPr>
      <w:r>
        <w:rPr>
          <w:rFonts w:hint="default" w:ascii="Times New Roman" w:hAnsi="Times New Roman" w:cs="Times New Roman" w:eastAsiaTheme="minorEastAsia"/>
          <w:spacing w:val="-1"/>
          <w:sz w:val="24"/>
          <w:szCs w:val="24"/>
          <w:highlight w:val="none"/>
        </w:rPr>
        <w:t>（</w:t>
      </w:r>
      <w:r>
        <w:rPr>
          <w:rFonts w:hint="default" w:ascii="Times New Roman" w:hAnsi="Times New Roman" w:cs="Times New Roman" w:eastAsiaTheme="minorEastAsia"/>
          <w:spacing w:val="-1"/>
          <w:sz w:val="24"/>
          <w:szCs w:val="24"/>
          <w:highlight w:val="none"/>
          <w:lang w:val="en-US" w:eastAsia="zh-CN"/>
        </w:rPr>
        <w:t>3</w:t>
      </w:r>
      <w:r>
        <w:rPr>
          <w:rFonts w:hint="default" w:ascii="Times New Roman" w:hAnsi="Times New Roman" w:cs="Times New Roman" w:eastAsiaTheme="minorEastAsia"/>
          <w:spacing w:val="-1"/>
          <w:sz w:val="24"/>
          <w:szCs w:val="24"/>
          <w:highlight w:val="none"/>
        </w:rPr>
        <w:t>）贮存设施运行期间，应按国家有关标准和规定建立危险废物管理台账并保存。</w:t>
      </w:r>
    </w:p>
    <w:p w14:paraId="16F26CFD">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z w:val="24"/>
          <w:szCs w:val="24"/>
          <w:highlight w:val="none"/>
        </w:rPr>
      </w:pPr>
      <w:r>
        <w:rPr>
          <w:rFonts w:hint="default" w:ascii="Times New Roman" w:hAnsi="Times New Roman" w:cs="Times New Roman" w:eastAsiaTheme="minorEastAsia"/>
          <w:spacing w:val="-1"/>
          <w:sz w:val="24"/>
          <w:szCs w:val="24"/>
          <w:highlight w:val="none"/>
        </w:rPr>
        <w:t>（</w:t>
      </w:r>
      <w:r>
        <w:rPr>
          <w:rFonts w:hint="default" w:ascii="Times New Roman" w:hAnsi="Times New Roman" w:cs="Times New Roman" w:eastAsiaTheme="minorEastAsia"/>
          <w:spacing w:val="-1"/>
          <w:sz w:val="24"/>
          <w:szCs w:val="24"/>
          <w:highlight w:val="none"/>
          <w:lang w:val="en-US" w:eastAsia="zh-CN"/>
        </w:rPr>
        <w:t>4</w:t>
      </w:r>
      <w:r>
        <w:rPr>
          <w:rFonts w:hint="default" w:ascii="Times New Roman" w:hAnsi="Times New Roman" w:cs="Times New Roman" w:eastAsiaTheme="minorEastAsia"/>
          <w:spacing w:val="-1"/>
          <w:sz w:val="24"/>
          <w:szCs w:val="24"/>
          <w:highlight w:val="none"/>
        </w:rPr>
        <w:t>）贮存设施所有者或运营者应建立贮存设施环境管理制度、管理人员岗 位职责制度、设施运行操作制度、人员岗位培训制度等。</w:t>
      </w:r>
    </w:p>
    <w:p w14:paraId="12E4C73E">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pacing w:val="-3"/>
          <w:sz w:val="24"/>
          <w:szCs w:val="24"/>
          <w:highlight w:val="none"/>
        </w:rPr>
      </w:pPr>
      <w:r>
        <w:rPr>
          <w:rFonts w:hint="default" w:ascii="Times New Roman" w:hAnsi="Times New Roman" w:cs="Times New Roman" w:eastAsiaTheme="minorEastAsia"/>
          <w:spacing w:val="-3"/>
          <w:sz w:val="24"/>
          <w:szCs w:val="24"/>
          <w:highlight w:val="none"/>
          <w:lang w:eastAsia="zh-CN"/>
        </w:rPr>
        <w:t>（</w:t>
      </w:r>
      <w:r>
        <w:rPr>
          <w:rFonts w:hint="default" w:ascii="Times New Roman" w:hAnsi="Times New Roman" w:cs="Times New Roman" w:eastAsiaTheme="minorEastAsia"/>
          <w:spacing w:val="-3"/>
          <w:sz w:val="24"/>
          <w:szCs w:val="24"/>
          <w:highlight w:val="none"/>
          <w:lang w:val="en-US" w:eastAsia="zh-CN"/>
        </w:rPr>
        <w:t>5</w:t>
      </w:r>
      <w:r>
        <w:rPr>
          <w:rFonts w:hint="default" w:ascii="Times New Roman" w:hAnsi="Times New Roman" w:cs="Times New Roman" w:eastAsiaTheme="minorEastAsia"/>
          <w:spacing w:val="-3"/>
          <w:sz w:val="24"/>
          <w:szCs w:val="24"/>
          <w:highlight w:val="none"/>
          <w:lang w:eastAsia="zh-CN"/>
        </w:rPr>
        <w:t>）</w:t>
      </w:r>
      <w:r>
        <w:rPr>
          <w:rFonts w:hint="default" w:ascii="Times New Roman" w:hAnsi="Times New Roman" w:cs="Times New Roman" w:eastAsiaTheme="minorEastAsia"/>
          <w:spacing w:val="-3"/>
          <w:sz w:val="24"/>
          <w:szCs w:val="24"/>
          <w:highlight w:val="none"/>
        </w:rPr>
        <w:t>危险废物运输</w:t>
      </w:r>
    </w:p>
    <w:p w14:paraId="5F5C719F">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pacing w:val="-3"/>
          <w:sz w:val="24"/>
          <w:szCs w:val="24"/>
          <w:highlight w:val="none"/>
          <w:lang w:val="en-US" w:eastAsia="zh-CN"/>
        </w:rPr>
      </w:pPr>
      <w:r>
        <w:rPr>
          <w:rFonts w:hint="default" w:ascii="Times New Roman" w:hAnsi="Times New Roman" w:cs="Times New Roman" w:eastAsiaTheme="minorEastAsia"/>
          <w:spacing w:val="-3"/>
          <w:sz w:val="24"/>
          <w:szCs w:val="24"/>
          <w:highlight w:val="none"/>
        </w:rPr>
        <w:t>项目危险废物的转移应严格按照《危险废物转移管理办法》，在运输过程中还应使用专用运输车辆，分类运往具有资质的危 险废物处理单位进行回收利用或安全处置</w:t>
      </w:r>
      <w:r>
        <w:rPr>
          <w:rFonts w:hint="default" w:ascii="Times New Roman" w:hAnsi="Times New Roman" w:cs="Times New Roman" w:eastAsiaTheme="minorEastAsia"/>
          <w:spacing w:val="-3"/>
          <w:sz w:val="24"/>
          <w:szCs w:val="24"/>
          <w:highlight w:val="none"/>
          <w:lang w:eastAsia="zh-CN"/>
        </w:rPr>
        <w:t>。</w:t>
      </w:r>
    </w:p>
    <w:p w14:paraId="24C308DC">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pacing w:val="-3"/>
          <w:sz w:val="24"/>
          <w:szCs w:val="24"/>
          <w:highlight w:val="none"/>
          <w:lang w:val="en-US" w:eastAsia="zh-CN"/>
        </w:rPr>
      </w:pPr>
      <w:r>
        <w:rPr>
          <w:rFonts w:hint="default" w:ascii="Times New Roman" w:hAnsi="Times New Roman" w:cs="Times New Roman" w:eastAsiaTheme="minorEastAsia"/>
          <w:spacing w:val="-3"/>
          <w:sz w:val="24"/>
          <w:szCs w:val="24"/>
          <w:highlight w:val="none"/>
          <w:lang w:val="en-US" w:eastAsia="zh-CN"/>
        </w:rPr>
        <w:t>严格采取以上措施，固体废物能得到合理的处理处置，不会对环境产生危害，措施可行。</w:t>
      </w:r>
    </w:p>
    <w:p w14:paraId="2141741D">
      <w:pPr>
        <w:pStyle w:val="7"/>
        <w:bidi w:val="0"/>
        <w:rPr>
          <w:rFonts w:hint="default"/>
          <w:lang w:val="en-US" w:eastAsia="zh-CN"/>
        </w:rPr>
      </w:pPr>
      <w:bookmarkStart w:id="248" w:name="_Toc20900"/>
      <w:r>
        <w:rPr>
          <w:rFonts w:hint="eastAsia"/>
          <w:lang w:val="en-US" w:eastAsia="zh-CN"/>
        </w:rPr>
        <w:t>7.6.2</w:t>
      </w:r>
      <w:r>
        <w:rPr>
          <w:rFonts w:hint="default"/>
          <w:lang w:val="en-US" w:eastAsia="zh-CN"/>
        </w:rPr>
        <w:t xml:space="preserve"> 固体废物污染防治措施可行性分析</w:t>
      </w:r>
      <w:bookmarkEnd w:id="248"/>
    </w:p>
    <w:p w14:paraId="0D48713F">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pacing w:val="-3"/>
          <w:sz w:val="24"/>
          <w:szCs w:val="24"/>
          <w:highlight w:val="none"/>
        </w:rPr>
      </w:pPr>
      <w:r>
        <w:rPr>
          <w:rFonts w:hint="default" w:ascii="Times New Roman" w:hAnsi="Times New Roman" w:cs="Times New Roman" w:eastAsiaTheme="minorEastAsia"/>
          <w:spacing w:val="-3"/>
          <w:sz w:val="24"/>
          <w:szCs w:val="24"/>
          <w:highlight w:val="none"/>
        </w:rPr>
        <w:t>本项目营运期产生的固体废物主要为</w:t>
      </w:r>
      <w:r>
        <w:rPr>
          <w:rFonts w:hint="eastAsia" w:ascii="Times New Roman" w:hAnsi="Times New Roman" w:cs="Times New Roman" w:eastAsiaTheme="minorEastAsia"/>
          <w:spacing w:val="-3"/>
          <w:sz w:val="24"/>
          <w:szCs w:val="24"/>
          <w:highlight w:val="none"/>
          <w:lang w:val="en-US" w:eastAsia="zh-CN"/>
        </w:rPr>
        <w:t>生活垃圾、</w:t>
      </w:r>
      <w:r>
        <w:rPr>
          <w:rFonts w:hint="default" w:ascii="Times New Roman" w:hAnsi="Times New Roman" w:cs="Times New Roman" w:eastAsiaTheme="minorEastAsia"/>
          <w:spacing w:val="-3"/>
          <w:sz w:val="24"/>
          <w:szCs w:val="24"/>
          <w:highlight w:val="none"/>
        </w:rPr>
        <w:t>一般固体废物和危险废物。</w:t>
      </w:r>
      <w:r>
        <w:rPr>
          <w:rFonts w:hint="default" w:ascii="Times New Roman" w:hAnsi="Times New Roman" w:cs="Times New Roman" w:eastAsiaTheme="minorEastAsia"/>
          <w:spacing w:val="-3"/>
          <w:sz w:val="24"/>
          <w:szCs w:val="24"/>
          <w:highlight w:val="none"/>
          <w:lang w:val="en-US" w:eastAsia="zh-CN"/>
        </w:rPr>
        <w:t>本项目新建1间一般固废暂存间（29m</w:t>
      </w:r>
      <w:r>
        <w:rPr>
          <w:rFonts w:hint="default" w:ascii="Times New Roman" w:hAnsi="Times New Roman" w:cs="Times New Roman" w:eastAsiaTheme="minorEastAsia"/>
          <w:spacing w:val="-3"/>
          <w:sz w:val="24"/>
          <w:szCs w:val="24"/>
          <w:highlight w:val="none"/>
          <w:vertAlign w:val="superscript"/>
          <w:lang w:val="en-US" w:eastAsia="zh-CN"/>
        </w:rPr>
        <w:t>2</w:t>
      </w:r>
      <w:r>
        <w:rPr>
          <w:rFonts w:hint="default" w:ascii="Times New Roman" w:hAnsi="Times New Roman" w:cs="Times New Roman" w:eastAsiaTheme="minorEastAsia"/>
          <w:spacing w:val="-3"/>
          <w:sz w:val="24"/>
          <w:szCs w:val="24"/>
          <w:highlight w:val="none"/>
          <w:lang w:val="en-US" w:eastAsia="zh-CN"/>
        </w:rPr>
        <w:t>）</w:t>
      </w:r>
      <w:r>
        <w:rPr>
          <w:rFonts w:hint="eastAsia" w:ascii="Times New Roman" w:hAnsi="Times New Roman" w:cs="Times New Roman" w:eastAsiaTheme="minorEastAsia"/>
          <w:spacing w:val="-3"/>
          <w:sz w:val="24"/>
          <w:szCs w:val="24"/>
          <w:highlight w:val="none"/>
          <w:lang w:val="en-US" w:eastAsia="zh-CN"/>
        </w:rPr>
        <w:t>，新建1间危险废物暂存间（10m</w:t>
      </w:r>
      <w:r>
        <w:rPr>
          <w:rFonts w:hint="eastAsia" w:ascii="Times New Roman" w:hAnsi="Times New Roman" w:cs="Times New Roman" w:eastAsiaTheme="minorEastAsia"/>
          <w:spacing w:val="-3"/>
          <w:sz w:val="24"/>
          <w:szCs w:val="24"/>
          <w:highlight w:val="none"/>
          <w:vertAlign w:val="superscript"/>
          <w:lang w:val="en-US" w:eastAsia="zh-CN"/>
        </w:rPr>
        <w:t>2</w:t>
      </w:r>
      <w:r>
        <w:rPr>
          <w:rFonts w:hint="eastAsia" w:ascii="Times New Roman" w:hAnsi="Times New Roman" w:cs="Times New Roman" w:eastAsiaTheme="minorEastAsia"/>
          <w:spacing w:val="-3"/>
          <w:sz w:val="24"/>
          <w:szCs w:val="24"/>
          <w:highlight w:val="none"/>
          <w:lang w:val="en-US" w:eastAsia="zh-CN"/>
        </w:rPr>
        <w:t>），位于一般固废间的南侧。</w:t>
      </w:r>
      <w:r>
        <w:rPr>
          <w:rFonts w:hint="default" w:ascii="Times New Roman" w:hAnsi="Times New Roman" w:cs="Times New Roman" w:eastAsiaTheme="minorEastAsia"/>
          <w:spacing w:val="-3"/>
          <w:sz w:val="24"/>
          <w:szCs w:val="24"/>
          <w:highlight w:val="none"/>
        </w:rPr>
        <w:t>一般固体废物</w:t>
      </w:r>
      <w:r>
        <w:rPr>
          <w:rFonts w:hint="eastAsia" w:ascii="Times New Roman" w:hAnsi="Times New Roman" w:cs="Times New Roman" w:eastAsiaTheme="minorEastAsia"/>
          <w:spacing w:val="-3"/>
          <w:sz w:val="24"/>
          <w:szCs w:val="24"/>
          <w:highlight w:val="none"/>
          <w:lang w:val="en-US" w:eastAsia="zh-CN"/>
        </w:rPr>
        <w:t>会进行综合利用或处置</w:t>
      </w:r>
      <w:r>
        <w:rPr>
          <w:rFonts w:hint="eastAsia" w:ascii="Times New Roman" w:hAnsi="Times New Roman" w:cs="Times New Roman" w:eastAsiaTheme="minorEastAsia"/>
          <w:spacing w:val="-3"/>
          <w:sz w:val="24"/>
          <w:szCs w:val="24"/>
          <w:highlight w:val="none"/>
          <w:lang w:eastAsia="zh-CN"/>
        </w:rPr>
        <w:t>；</w:t>
      </w:r>
      <w:r>
        <w:rPr>
          <w:rFonts w:hint="default" w:ascii="Times New Roman" w:hAnsi="Times New Roman" w:cs="Times New Roman" w:eastAsiaTheme="minorEastAsia"/>
          <w:spacing w:val="-3"/>
          <w:sz w:val="24"/>
          <w:szCs w:val="24"/>
          <w:highlight w:val="none"/>
        </w:rPr>
        <w:t>危险废物一般会及时</w:t>
      </w:r>
      <w:r>
        <w:rPr>
          <w:rFonts w:hint="eastAsia" w:ascii="Times New Roman" w:hAnsi="Times New Roman" w:cs="Times New Roman" w:eastAsiaTheme="minorEastAsia"/>
          <w:spacing w:val="-3"/>
          <w:sz w:val="24"/>
          <w:szCs w:val="24"/>
          <w:highlight w:val="none"/>
          <w:lang w:val="en-US" w:eastAsia="zh-CN"/>
        </w:rPr>
        <w:t>委托资质单位</w:t>
      </w:r>
      <w:r>
        <w:rPr>
          <w:rFonts w:hint="default" w:ascii="Times New Roman" w:hAnsi="Times New Roman" w:cs="Times New Roman" w:eastAsiaTheme="minorEastAsia"/>
          <w:spacing w:val="-3"/>
          <w:sz w:val="24"/>
          <w:szCs w:val="24"/>
          <w:highlight w:val="none"/>
        </w:rPr>
        <w:t>清运转移，最长贮存时间不超过一年。生活</w:t>
      </w:r>
      <w:r>
        <w:rPr>
          <w:rFonts w:hint="eastAsia" w:ascii="Times New Roman" w:hAnsi="Times New Roman" w:cs="Times New Roman" w:eastAsiaTheme="minorEastAsia"/>
          <w:spacing w:val="-3"/>
          <w:sz w:val="24"/>
          <w:szCs w:val="24"/>
          <w:highlight w:val="none"/>
          <w:lang w:val="en-US" w:eastAsia="zh-CN"/>
        </w:rPr>
        <w:t>垃圾收集箱集中收集后交由环卫部门处置。</w:t>
      </w:r>
    </w:p>
    <w:p w14:paraId="0431EF22">
      <w:pPr>
        <w:keepLines w:val="0"/>
        <w:pageBreakBefore w:val="0"/>
        <w:widowControl w:val="0"/>
        <w:kinsoku/>
        <w:wordWrap/>
        <w:overflowPunct/>
        <w:topLinePunct w:val="0"/>
        <w:autoSpaceDE/>
        <w:autoSpaceDN/>
        <w:bidi w:val="0"/>
        <w:adjustRightInd/>
        <w:snapToGrid/>
        <w:spacing w:line="360" w:lineRule="auto"/>
        <w:ind w:left="0" w:right="0" w:firstLine="490"/>
        <w:jc w:val="both"/>
        <w:textAlignment w:val="auto"/>
        <w:rPr>
          <w:rFonts w:hint="default" w:ascii="Times New Roman" w:hAnsi="Times New Roman" w:cs="Times New Roman" w:eastAsiaTheme="minorEastAsia"/>
          <w:spacing w:val="-3"/>
          <w:sz w:val="24"/>
          <w:szCs w:val="24"/>
          <w:highlight w:val="none"/>
        </w:rPr>
      </w:pPr>
      <w:r>
        <w:rPr>
          <w:rFonts w:hint="default" w:ascii="Times New Roman" w:hAnsi="Times New Roman" w:cs="Times New Roman" w:eastAsiaTheme="minorEastAsia"/>
          <w:spacing w:val="-3"/>
          <w:sz w:val="24"/>
          <w:szCs w:val="24"/>
          <w:highlight w:val="none"/>
        </w:rPr>
        <w:t>综上所述，本项目固体废物均可得到妥善处理，各项处理措施合理、可行、有效，企业必须加强储存与运输的监督管理，按各项要求逐一落实。</w:t>
      </w:r>
    </w:p>
    <w:p w14:paraId="44D28634">
      <w:pPr>
        <w:pStyle w:val="3"/>
        <w:rPr>
          <w:rFonts w:hint="eastAsia"/>
          <w:highlight w:val="none"/>
          <w:lang w:val="en-US" w:eastAsia="zh-CN"/>
        </w:rPr>
        <w:sectPr>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466" w:charSpace="0"/>
        </w:sectPr>
      </w:pPr>
    </w:p>
    <w:p w14:paraId="2D56DB93">
      <w:pPr>
        <w:pStyle w:val="5"/>
        <w:bidi w:val="0"/>
        <w:rPr>
          <w:highlight w:val="none"/>
        </w:rPr>
      </w:pPr>
      <w:bookmarkStart w:id="249" w:name="_Toc21376"/>
      <w:r>
        <w:rPr>
          <w:highlight w:val="none"/>
        </w:rPr>
        <w:t>8、环境影响经济损益分析</w:t>
      </w:r>
      <w:bookmarkEnd w:id="247"/>
      <w:bookmarkEnd w:id="249"/>
    </w:p>
    <w:p w14:paraId="6FAF87EB">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环境经济损益分析是建设项目进行决策的重要依据之一。任何建设项目的建设，除了它本身取得的经济效益和带来的社会效益外，项目对环境总会带来一定的影响。本环境经济损益分析采用定性与定量相结合的方法进行讨论。对于环境污染损失包括该项目生产过程中资源与能源流失量的价值，污染物对周围环境造成损失的价值，各种污染物对周围居民健康影响的价值等方面不做具体的计算，而对项目的社会、经济效益，环保费用与项目总投资的比较，环保费用与污染损失等仅做简单的比较分析。</w:t>
      </w:r>
    </w:p>
    <w:p w14:paraId="6063FCAD">
      <w:pPr>
        <w:pStyle w:val="6"/>
        <w:bidi w:val="0"/>
        <w:rPr>
          <w:highlight w:val="none"/>
        </w:rPr>
      </w:pPr>
      <w:bookmarkStart w:id="250" w:name="_Toc470166322"/>
      <w:bookmarkStart w:id="251" w:name="_Toc32143"/>
      <w:bookmarkStart w:id="252" w:name="_Toc488833096"/>
      <w:r>
        <w:rPr>
          <w:rFonts w:hint="eastAsia"/>
          <w:highlight w:val="none"/>
        </w:rPr>
        <w:t>8</w:t>
      </w:r>
      <w:r>
        <w:rPr>
          <w:highlight w:val="none"/>
        </w:rPr>
        <w:t>.1</w:t>
      </w:r>
      <w:r>
        <w:rPr>
          <w:rFonts w:hint="eastAsia"/>
          <w:highlight w:val="none"/>
        </w:rPr>
        <w:t>经济效益分析</w:t>
      </w:r>
      <w:bookmarkEnd w:id="250"/>
      <w:bookmarkEnd w:id="251"/>
      <w:bookmarkEnd w:id="252"/>
    </w:p>
    <w:p w14:paraId="49021F3A">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rPr>
        <w:t>项目总投资为</w:t>
      </w:r>
      <w:r>
        <w:rPr>
          <w:rFonts w:hint="default" w:ascii="Times New Roman" w:hAnsi="Times New Roman" w:eastAsia="宋体" w:cs="Times New Roman"/>
          <w:spacing w:val="-1"/>
          <w:sz w:val="24"/>
          <w:szCs w:val="24"/>
          <w:highlight w:val="none"/>
          <w:lang w:val="en-US" w:eastAsia="zh-CN"/>
        </w:rPr>
        <w:t>80</w:t>
      </w:r>
      <w:r>
        <w:rPr>
          <w:rFonts w:hint="default" w:ascii="Times New Roman" w:hAnsi="Times New Roman" w:eastAsia="宋体" w:cs="Times New Roman"/>
          <w:spacing w:val="-1"/>
          <w:sz w:val="24"/>
          <w:szCs w:val="24"/>
          <w:highlight w:val="none"/>
        </w:rPr>
        <w:t>0万元，生产工厂建成量产后，年产能约为5000万元，创地方利税约150万。具有较好的盈利能力和还贷能力，本项目建设具有较好的经济效益。</w:t>
      </w:r>
    </w:p>
    <w:p w14:paraId="04E4A45E">
      <w:pPr>
        <w:pStyle w:val="6"/>
        <w:bidi w:val="0"/>
        <w:rPr>
          <w:highlight w:val="none"/>
        </w:rPr>
      </w:pPr>
      <w:bookmarkStart w:id="253" w:name="_Toc488833097"/>
      <w:bookmarkStart w:id="254" w:name="_Toc470166323"/>
      <w:bookmarkStart w:id="255" w:name="_Toc20840"/>
      <w:r>
        <w:rPr>
          <w:rFonts w:hint="eastAsia"/>
          <w:highlight w:val="none"/>
        </w:rPr>
        <w:t>8</w:t>
      </w:r>
      <w:r>
        <w:rPr>
          <w:highlight w:val="none"/>
        </w:rPr>
        <w:t>.2</w:t>
      </w:r>
      <w:r>
        <w:rPr>
          <w:rFonts w:hint="eastAsia"/>
          <w:highlight w:val="none"/>
        </w:rPr>
        <w:t>社会效益分析</w:t>
      </w:r>
      <w:bookmarkEnd w:id="253"/>
      <w:bookmarkEnd w:id="254"/>
      <w:bookmarkEnd w:id="255"/>
    </w:p>
    <w:p w14:paraId="484AA800">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本项目的建成，不仅具有良好的经济效益，同时也具有良好的社会效益。该项目建成后，主要有以下的社会效益：</w:t>
      </w:r>
    </w:p>
    <w:p w14:paraId="046F9D6C">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w:t>
      </w:r>
      <w:r>
        <w:rPr>
          <w:rFonts w:ascii="宋体" w:hAnsi="宋体" w:eastAsia="宋体" w:cs="宋体"/>
          <w:spacing w:val="-1"/>
          <w:sz w:val="24"/>
          <w:szCs w:val="24"/>
          <w:highlight w:val="none"/>
        </w:rPr>
        <w:t>1</w:t>
      </w:r>
      <w:r>
        <w:rPr>
          <w:rFonts w:hint="eastAsia" w:ascii="宋体" w:hAnsi="宋体" w:eastAsia="宋体" w:cs="宋体"/>
          <w:spacing w:val="-1"/>
          <w:sz w:val="24"/>
          <w:szCs w:val="24"/>
          <w:highlight w:val="none"/>
        </w:rPr>
        <w:t>）促进地方经济的发展；</w:t>
      </w:r>
    </w:p>
    <w:p w14:paraId="08E158AC">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w:t>
      </w:r>
      <w:r>
        <w:rPr>
          <w:rFonts w:ascii="宋体" w:hAnsi="宋体" w:eastAsia="宋体" w:cs="宋体"/>
          <w:spacing w:val="-1"/>
          <w:sz w:val="24"/>
          <w:szCs w:val="24"/>
          <w:highlight w:val="none"/>
        </w:rPr>
        <w:t>2</w:t>
      </w:r>
      <w:r>
        <w:rPr>
          <w:rFonts w:hint="eastAsia" w:ascii="宋体" w:hAnsi="宋体" w:eastAsia="宋体" w:cs="宋体"/>
          <w:spacing w:val="-1"/>
          <w:sz w:val="24"/>
          <w:szCs w:val="24"/>
          <w:highlight w:val="none"/>
        </w:rPr>
        <w:t>） 目前市场上对项目产品的需求量日益增加，可缓解市场压力，带来很好 的社会经济效益。</w:t>
      </w:r>
    </w:p>
    <w:p w14:paraId="459A0405">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ascii="宋体" w:hAnsi="宋体" w:eastAsia="宋体" w:cs="宋体"/>
          <w:spacing w:val="-1"/>
          <w:sz w:val="24"/>
          <w:szCs w:val="24"/>
          <w:highlight w:val="none"/>
        </w:rPr>
      </w:pPr>
      <w:r>
        <w:rPr>
          <w:rFonts w:hint="eastAsia" w:ascii="宋体" w:hAnsi="宋体" w:eastAsia="宋体" w:cs="宋体"/>
          <w:spacing w:val="-1"/>
          <w:sz w:val="24"/>
          <w:szCs w:val="24"/>
          <w:highlight w:val="none"/>
        </w:rPr>
        <w:t>（3）该项目建成后需增加就业人员，增加就业机会；</w:t>
      </w:r>
    </w:p>
    <w:p w14:paraId="37182118">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宋体" w:hAnsi="宋体" w:eastAsia="宋体" w:cs="宋体"/>
          <w:spacing w:val="-1"/>
          <w:sz w:val="24"/>
          <w:szCs w:val="24"/>
          <w:highlight w:val="none"/>
        </w:rPr>
      </w:pPr>
      <w:r>
        <w:rPr>
          <w:rFonts w:hint="eastAsia" w:ascii="宋体" w:hAnsi="宋体" w:eastAsia="宋体" w:cs="宋体"/>
          <w:spacing w:val="-1"/>
          <w:sz w:val="24"/>
          <w:szCs w:val="24"/>
          <w:highlight w:val="none"/>
        </w:rPr>
        <w:t>（4）国家、地方可从税收、管理费中获得经济效益，因而具有良好的社会效益。</w:t>
      </w:r>
    </w:p>
    <w:p w14:paraId="59171E35">
      <w:pPr>
        <w:keepNext w:val="0"/>
        <w:keepLines w:val="0"/>
        <w:pageBreakBefore w:val="0"/>
        <w:widowControl w:val="0"/>
        <w:kinsoku/>
        <w:wordWrap/>
        <w:overflowPunct/>
        <w:topLinePunct w:val="0"/>
        <w:autoSpaceDE/>
        <w:autoSpaceDN/>
        <w:bidi w:val="0"/>
        <w:adjustRightInd/>
        <w:snapToGrid/>
        <w:spacing w:line="360" w:lineRule="auto"/>
        <w:ind w:left="0"/>
        <w:jc w:val="both"/>
        <w:textAlignment w:val="auto"/>
        <w:rPr>
          <w:rFonts w:hint="eastAsia" w:ascii="Times New Roman" w:cs="Times New Roman"/>
          <w:color w:val="auto"/>
          <w:highlight w:val="none"/>
        </w:rPr>
      </w:pPr>
      <w:r>
        <w:rPr>
          <w:rFonts w:ascii="宋体" w:hAnsi="宋体" w:eastAsia="宋体" w:cs="宋体"/>
          <w:spacing w:val="-1"/>
          <w:sz w:val="24"/>
          <w:szCs w:val="24"/>
          <w:highlight w:val="none"/>
        </w:rPr>
        <w:t>综合上述分析可知，项目的建设有一定的社会效益。</w:t>
      </w:r>
    </w:p>
    <w:p w14:paraId="191345DD">
      <w:pPr>
        <w:pStyle w:val="6"/>
        <w:bidi w:val="0"/>
        <w:rPr>
          <w:highlight w:val="none"/>
        </w:rPr>
      </w:pPr>
      <w:bookmarkStart w:id="256" w:name="_Toc488833098"/>
      <w:bookmarkStart w:id="257" w:name="_Toc31996"/>
      <w:r>
        <w:rPr>
          <w:highlight w:val="none"/>
        </w:rPr>
        <w:t>8.3环境损益分析</w:t>
      </w:r>
      <w:bookmarkEnd w:id="256"/>
      <w:bookmarkEnd w:id="257"/>
    </w:p>
    <w:p w14:paraId="4CC96F6F">
      <w:pPr>
        <w:pStyle w:val="7"/>
        <w:bidi w:val="0"/>
        <w:rPr>
          <w:highlight w:val="none"/>
        </w:rPr>
      </w:pPr>
      <w:bookmarkStart w:id="258" w:name="_Toc27987"/>
      <w:r>
        <w:rPr>
          <w:highlight w:val="none"/>
        </w:rPr>
        <w:t>8.3.1主要环境损失</w:t>
      </w:r>
      <w:bookmarkEnd w:id="258"/>
    </w:p>
    <w:p w14:paraId="6E4D4F42">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本项目在工程建设过程中及建成投产后，会排放一定数量的污染物进入周围环境，带来一定程度的污染。</w:t>
      </w:r>
      <w:r>
        <w:rPr>
          <w:highlight w:val="none"/>
        </w:rPr>
        <w:t>本项目营运期经治理后排放的颗粒物、</w:t>
      </w:r>
      <w:r>
        <w:rPr>
          <w:rFonts w:ascii="Times New Roman" w:hAnsi="Times New Roman" w:eastAsia="Times New Roman" w:cs="Times New Roman"/>
          <w:highlight w:val="none"/>
        </w:rPr>
        <w:t>VOC</w:t>
      </w:r>
      <w:r>
        <w:rPr>
          <w:rFonts w:ascii="Times New Roman" w:hAnsi="Times New Roman" w:eastAsia="Times New Roman" w:cs="Times New Roman"/>
          <w:position w:val="-1"/>
          <w:sz w:val="15"/>
          <w:szCs w:val="15"/>
          <w:highlight w:val="none"/>
        </w:rPr>
        <w:t>S</w:t>
      </w:r>
      <w:r>
        <w:rPr>
          <w:rFonts w:ascii="Times New Roman" w:hAnsi="Times New Roman" w:eastAsia="Times New Roman" w:cs="Times New Roman"/>
          <w:spacing w:val="-12"/>
          <w:position w:val="-1"/>
          <w:sz w:val="15"/>
          <w:szCs w:val="15"/>
          <w:highlight w:val="none"/>
        </w:rPr>
        <w:t xml:space="preserve"> </w:t>
      </w:r>
      <w:r>
        <w:rPr>
          <w:spacing w:val="-3"/>
          <w:highlight w:val="none"/>
        </w:rPr>
        <w:t>会</w:t>
      </w:r>
      <w:r>
        <w:rPr>
          <w:rFonts w:hint="default" w:ascii="Times New Roman" w:hAnsi="Times New Roman" w:eastAsia="宋体" w:cs="Times New Roman"/>
          <w:color w:val="auto"/>
          <w:sz w:val="24"/>
          <w:highlight w:val="none"/>
          <w:u w:val="none" w:color="auto"/>
        </w:rPr>
        <w:t>对当地大气环境产生一定的影响。项目废气经治理后均可达标排放，对周边大气环境影响较小。</w:t>
      </w:r>
    </w:p>
    <w:p w14:paraId="775EE79F">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eastAsia" w:ascii="Times New Roman" w:hAnsi="Times New Roman" w:eastAsia="宋体" w:cs="Times New Roman"/>
          <w:color w:val="auto"/>
          <w:sz w:val="24"/>
          <w:highlight w:val="none"/>
          <w:u w:val="none" w:color="auto"/>
          <w:lang w:val="en-US" w:eastAsia="zh-CN"/>
        </w:rPr>
      </w:pPr>
      <w:r>
        <w:rPr>
          <w:rFonts w:hint="eastAsia" w:ascii="Times New Roman" w:hAnsi="Times New Roman" w:eastAsia="宋体" w:cs="Times New Roman"/>
          <w:color w:val="auto"/>
          <w:sz w:val="24"/>
          <w:highlight w:val="none"/>
          <w:u w:val="none" w:color="auto"/>
          <w:lang w:val="en-US" w:eastAsia="zh-CN"/>
        </w:rPr>
        <w:t>本项目外排废水主要包括纯水制备产生浓水、地面清洁废水与员工生活污水，经处理后</w:t>
      </w:r>
      <w:r>
        <w:rPr>
          <w:rFonts w:hint="default" w:ascii="Times New Roman" w:hAnsi="Times New Roman" w:eastAsia="宋体" w:cs="Times New Roman"/>
          <w:color w:val="auto"/>
          <w:sz w:val="24"/>
          <w:highlight w:val="none"/>
          <w:u w:val="none" w:color="auto"/>
          <w:lang w:val="en-US" w:eastAsia="zh-CN"/>
        </w:rPr>
        <w:t>，排入</w:t>
      </w:r>
      <w:r>
        <w:rPr>
          <w:rFonts w:hint="eastAsia" w:ascii="Times New Roman" w:hAnsi="Times New Roman" w:eastAsia="宋体" w:cs="Times New Roman"/>
          <w:color w:val="auto"/>
          <w:sz w:val="24"/>
          <w:highlight w:val="none"/>
          <w:u w:val="none" w:color="auto"/>
          <w:lang w:val="en-US" w:eastAsia="zh-CN"/>
        </w:rPr>
        <w:t>园区污水管网，进入岳阳高新技术产业园区污水处理厂处理达标后排入新墙河。</w:t>
      </w:r>
    </w:p>
    <w:p w14:paraId="4C75F224">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生产设备、风机、空压机等生产设备噪声对声环境产生影响</w:t>
      </w:r>
      <w:r>
        <w:rPr>
          <w:rFonts w:hint="eastAsia" w:ascii="Times New Roman" w:hAnsi="Times New Roman" w:eastAsia="宋体" w:cs="Times New Roman"/>
          <w:color w:val="auto"/>
          <w:sz w:val="24"/>
          <w:highlight w:val="none"/>
          <w:u w:val="none" w:color="auto"/>
          <w:lang w:eastAsia="zh-CN"/>
        </w:rPr>
        <w:t>，</w:t>
      </w:r>
      <w:r>
        <w:rPr>
          <w:rFonts w:hint="default" w:ascii="Times New Roman" w:hAnsi="Times New Roman" w:eastAsia="宋体" w:cs="Times New Roman"/>
          <w:color w:val="auto"/>
          <w:sz w:val="24"/>
          <w:highlight w:val="none"/>
          <w:u w:val="none" w:color="auto"/>
        </w:rPr>
        <w:t>经隔声、减震等措施并经距离衰减后对周边声环境影响不大。</w:t>
      </w:r>
      <w:r>
        <w:rPr>
          <w:rFonts w:hint="eastAsia" w:ascii="Times New Roman" w:hAnsi="Times New Roman" w:eastAsia="宋体" w:cs="Times New Roman"/>
          <w:color w:val="auto"/>
          <w:sz w:val="24"/>
          <w:highlight w:val="none"/>
          <w:u w:val="none" w:color="auto"/>
          <w:lang w:val="en-US" w:eastAsia="zh-CN"/>
        </w:rPr>
        <w:t>危险废物、</w:t>
      </w:r>
      <w:r>
        <w:rPr>
          <w:rFonts w:hint="default" w:ascii="Times New Roman" w:hAnsi="Times New Roman" w:eastAsia="宋体" w:cs="Times New Roman"/>
          <w:color w:val="auto"/>
          <w:sz w:val="24"/>
          <w:highlight w:val="none"/>
          <w:u w:val="none" w:color="auto"/>
        </w:rPr>
        <w:t>一般工业固废和生活垃圾等对外环境影响等。</w:t>
      </w:r>
    </w:p>
    <w:p w14:paraId="39A96792">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但由于本项目通过采取一系列的环保措施，从各个环节入手控制和减少了排污量。</w:t>
      </w:r>
    </w:p>
    <w:p w14:paraId="58B61694">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jc w:val="both"/>
        <w:textAlignment w:val="auto"/>
        <w:rPr>
          <w:rFonts w:ascii="Times New Roman" w:hAnsi="Times New Roman" w:cs="Times New Roman"/>
          <w:color w:val="auto"/>
          <w:highlight w:val="none"/>
        </w:rPr>
      </w:pPr>
      <w:r>
        <w:rPr>
          <w:rFonts w:hint="default" w:ascii="Times New Roman" w:hAnsi="Times New Roman" w:eastAsia="宋体" w:cs="Times New Roman"/>
          <w:color w:val="auto"/>
          <w:sz w:val="24"/>
          <w:highlight w:val="none"/>
          <w:u w:val="none" w:color="auto"/>
        </w:rPr>
        <w:t>经过本工程所采取的环保设施治理后，可减少生产过程中排放到环境中的各种污染物数量，有利于环境保护，废气、废水和固废的污染物排放都有比较完善的处理措施，可实现达标排放，减轻了对环境的污染。</w:t>
      </w:r>
    </w:p>
    <w:p w14:paraId="28BF2387">
      <w:pPr>
        <w:pStyle w:val="7"/>
        <w:bidi w:val="0"/>
        <w:rPr>
          <w:highlight w:val="none"/>
        </w:rPr>
      </w:pPr>
      <w:bookmarkStart w:id="259" w:name="_Toc18890"/>
      <w:r>
        <w:rPr>
          <w:highlight w:val="none"/>
        </w:rPr>
        <w:t>8.3.2环保投资估算</w:t>
      </w:r>
      <w:bookmarkEnd w:id="259"/>
    </w:p>
    <w:p w14:paraId="2B131041">
      <w:pPr>
        <w:keepNext w:val="0"/>
        <w:keepLines w:val="0"/>
        <w:widowControl/>
        <w:suppressLineNumbers w:val="0"/>
        <w:jc w:val="left"/>
        <w:rPr>
          <w:rFonts w:hint="default" w:ascii="Times New Roman" w:hAnsi="Times New Roman" w:cs="Times New Roman"/>
          <w:highlight w:val="none"/>
          <w:lang w:val="en-US"/>
        </w:rPr>
      </w:pPr>
      <w:r>
        <w:rPr>
          <w:rFonts w:hint="default" w:ascii="Times New Roman" w:hAnsi="Times New Roman" w:eastAsia="宋体" w:cs="Times New Roman"/>
          <w:color w:val="0C0C0C"/>
          <w:kern w:val="0"/>
          <w:sz w:val="24"/>
          <w:szCs w:val="24"/>
          <w:highlight w:val="none"/>
          <w:lang w:val="en-US" w:eastAsia="zh-CN" w:bidi="ar"/>
        </w:rPr>
        <w:t>本项目总投资估算800万元。项目建设过程中废水纳管、废气治理、生活垃圾收集、危险废物治理和噪声治理等环境保护工作上投入一定资金，以确保环境污染防治工程措施落实到位。环保投资估算为3</w:t>
      </w:r>
      <w:r>
        <w:rPr>
          <w:rFonts w:hint="eastAsia" w:eastAsia="宋体" w:cs="Times New Roman"/>
          <w:color w:val="0C0C0C"/>
          <w:kern w:val="0"/>
          <w:sz w:val="24"/>
          <w:szCs w:val="24"/>
          <w:highlight w:val="none"/>
          <w:lang w:val="en-US" w:eastAsia="zh-CN" w:bidi="ar"/>
        </w:rPr>
        <w:t>7</w:t>
      </w:r>
      <w:r>
        <w:rPr>
          <w:rFonts w:hint="default" w:ascii="Times New Roman" w:hAnsi="Times New Roman" w:eastAsia="宋体" w:cs="Times New Roman"/>
          <w:color w:val="0C0C0C"/>
          <w:kern w:val="0"/>
          <w:sz w:val="24"/>
          <w:szCs w:val="24"/>
          <w:highlight w:val="none"/>
          <w:lang w:val="en-US" w:eastAsia="zh-CN" w:bidi="ar"/>
        </w:rPr>
        <w:t>.1万元，约占</w:t>
      </w:r>
      <w:r>
        <w:rPr>
          <w:rFonts w:hint="default" w:ascii="Times New Roman" w:hAnsi="Times New Roman" w:eastAsia="宋体" w:cs="Times New Roman"/>
          <w:color w:val="auto"/>
          <w:sz w:val="24"/>
          <w:szCs w:val="21"/>
          <w:highlight w:val="none"/>
          <w:u w:val="none" w:color="auto"/>
        </w:rPr>
        <w:t>项目总投资</w:t>
      </w:r>
      <w:r>
        <w:rPr>
          <w:rFonts w:hint="default" w:ascii="Times New Roman" w:hAnsi="Times New Roman" w:eastAsia="宋体" w:cs="Times New Roman"/>
          <w:color w:val="0C0C0C"/>
          <w:kern w:val="0"/>
          <w:sz w:val="24"/>
          <w:szCs w:val="24"/>
          <w:highlight w:val="none"/>
          <w:lang w:val="en-US" w:eastAsia="zh-CN" w:bidi="ar"/>
        </w:rPr>
        <w:t>估算的4.</w:t>
      </w:r>
      <w:r>
        <w:rPr>
          <w:rFonts w:hint="eastAsia" w:eastAsia="宋体" w:cs="Times New Roman"/>
          <w:color w:val="0C0C0C"/>
          <w:kern w:val="0"/>
          <w:sz w:val="24"/>
          <w:szCs w:val="24"/>
          <w:highlight w:val="none"/>
          <w:lang w:val="en-US" w:eastAsia="zh-CN" w:bidi="ar"/>
        </w:rPr>
        <w:t>64</w:t>
      </w:r>
      <w:r>
        <w:rPr>
          <w:rFonts w:hint="default" w:ascii="Times New Roman" w:hAnsi="Times New Roman" w:eastAsia="宋体" w:cs="Times New Roman"/>
          <w:color w:val="0C0C0C"/>
          <w:kern w:val="0"/>
          <w:sz w:val="24"/>
          <w:szCs w:val="24"/>
          <w:highlight w:val="none"/>
          <w:lang w:val="en-US" w:eastAsia="zh-CN" w:bidi="ar"/>
        </w:rPr>
        <w:t>%。</w:t>
      </w:r>
    </w:p>
    <w:p w14:paraId="30FB5B68">
      <w:pPr>
        <w:keepNext w:val="0"/>
        <w:keepLines w:val="0"/>
        <w:pageBreakBefore w:val="0"/>
        <w:widowControl/>
        <w:suppressLineNumbers w:val="0"/>
        <w:kinsoku/>
        <w:wordWrap/>
        <w:overflowPunct/>
        <w:topLinePunct w:val="0"/>
        <w:autoSpaceDE/>
        <w:autoSpaceDN/>
        <w:bidi w:val="0"/>
        <w:adjustRightInd/>
        <w:snapToGrid/>
        <w:jc w:val="center"/>
        <w:textAlignment w:val="auto"/>
        <w:rPr>
          <w:highlight w:val="none"/>
        </w:rPr>
      </w:pPr>
      <w:r>
        <w:rPr>
          <w:rFonts w:hint="eastAsia" w:ascii="Times New Roman" w:hAnsi="Times New Roman" w:eastAsia="宋体" w:cs="Times New Roman"/>
          <w:b/>
          <w:bCs/>
          <w:color w:val="0C0C0C"/>
          <w:kern w:val="0"/>
          <w:sz w:val="24"/>
          <w:szCs w:val="24"/>
          <w:highlight w:val="none"/>
          <w:lang w:val="en-US" w:eastAsia="zh-CN" w:bidi="ar"/>
        </w:rPr>
        <w:t xml:space="preserve">表8.3-1 </w:t>
      </w:r>
      <w:r>
        <w:rPr>
          <w:rFonts w:hint="eastAsia" w:ascii="宋体" w:hAnsi="宋体" w:eastAsia="宋体" w:cs="宋体"/>
          <w:b/>
          <w:bCs/>
          <w:color w:val="0C0C0C"/>
          <w:kern w:val="0"/>
          <w:sz w:val="24"/>
          <w:szCs w:val="24"/>
          <w:highlight w:val="none"/>
          <w:lang w:val="en-US" w:eastAsia="zh-CN" w:bidi="ar"/>
        </w:rPr>
        <w:t>环保设施验收及投资估算一览表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4584"/>
        <w:gridCol w:w="2273"/>
      </w:tblGrid>
      <w:tr w14:paraId="08E4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Align w:val="center"/>
          </w:tcPr>
          <w:p w14:paraId="08A51D42">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污染类型</w:t>
            </w:r>
          </w:p>
        </w:tc>
        <w:tc>
          <w:tcPr>
            <w:tcW w:w="2692" w:type="pct"/>
            <w:vAlign w:val="center"/>
          </w:tcPr>
          <w:p w14:paraId="049076FB">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环保治理措施</w:t>
            </w:r>
          </w:p>
        </w:tc>
        <w:tc>
          <w:tcPr>
            <w:tcW w:w="1335" w:type="pct"/>
            <w:vAlign w:val="center"/>
          </w:tcPr>
          <w:p w14:paraId="0FE0BC4F">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环保投资（万元）</w:t>
            </w:r>
          </w:p>
        </w:tc>
      </w:tr>
      <w:tr w14:paraId="2EC5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Merge w:val="restart"/>
            <w:vAlign w:val="center"/>
          </w:tcPr>
          <w:p w14:paraId="5D02618A">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废气</w:t>
            </w:r>
          </w:p>
        </w:tc>
        <w:tc>
          <w:tcPr>
            <w:tcW w:w="2692" w:type="pct"/>
            <w:vAlign w:val="center"/>
          </w:tcPr>
          <w:p w14:paraId="2F25B84B">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收集系统+布袋除尘器</w:t>
            </w:r>
          </w:p>
        </w:tc>
        <w:tc>
          <w:tcPr>
            <w:tcW w:w="1335" w:type="pct"/>
            <w:vAlign w:val="center"/>
          </w:tcPr>
          <w:p w14:paraId="42DF21EF">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8</w:t>
            </w:r>
          </w:p>
        </w:tc>
      </w:tr>
      <w:tr w14:paraId="5A2C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Merge w:val="continue"/>
            <w:vAlign w:val="center"/>
          </w:tcPr>
          <w:p w14:paraId="5D7F9CC4">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vertAlign w:val="baseline"/>
              </w:rPr>
            </w:pPr>
          </w:p>
        </w:tc>
        <w:tc>
          <w:tcPr>
            <w:tcW w:w="2692" w:type="pct"/>
            <w:vAlign w:val="center"/>
          </w:tcPr>
          <w:p w14:paraId="501F508E">
            <w:pPr>
              <w:pStyle w:val="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收集系统+二级活性炭吸附装置+15m排气筒</w:t>
            </w:r>
          </w:p>
        </w:tc>
        <w:tc>
          <w:tcPr>
            <w:tcW w:w="1335" w:type="pct"/>
            <w:vAlign w:val="center"/>
          </w:tcPr>
          <w:p w14:paraId="2ED77D81">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15</w:t>
            </w:r>
          </w:p>
        </w:tc>
      </w:tr>
      <w:tr w14:paraId="01F9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Merge w:val="restart"/>
            <w:vAlign w:val="center"/>
          </w:tcPr>
          <w:p w14:paraId="0A95704D">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废水</w:t>
            </w:r>
          </w:p>
        </w:tc>
        <w:tc>
          <w:tcPr>
            <w:tcW w:w="2692" w:type="pct"/>
            <w:vAlign w:val="center"/>
          </w:tcPr>
          <w:p w14:paraId="1DA9BDE4">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生活污水依托园区隔油池和化粪池</w:t>
            </w:r>
          </w:p>
        </w:tc>
        <w:tc>
          <w:tcPr>
            <w:tcW w:w="1335" w:type="pct"/>
            <w:vAlign w:val="center"/>
          </w:tcPr>
          <w:p w14:paraId="163A4EB0">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0</w:t>
            </w:r>
          </w:p>
        </w:tc>
      </w:tr>
      <w:tr w14:paraId="1CA0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Merge w:val="continue"/>
            <w:vAlign w:val="center"/>
          </w:tcPr>
          <w:p w14:paraId="043012C4">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vertAlign w:val="baseline"/>
              </w:rPr>
            </w:pPr>
          </w:p>
        </w:tc>
        <w:tc>
          <w:tcPr>
            <w:tcW w:w="2692" w:type="pct"/>
            <w:vAlign w:val="center"/>
          </w:tcPr>
          <w:p w14:paraId="5AEF8541">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地面清洁废水通过1立方米沉淀池（位于卫生间）</w:t>
            </w:r>
          </w:p>
        </w:tc>
        <w:tc>
          <w:tcPr>
            <w:tcW w:w="1335" w:type="pct"/>
            <w:vAlign w:val="center"/>
          </w:tcPr>
          <w:p w14:paraId="66F8B000">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0.1</w:t>
            </w:r>
          </w:p>
        </w:tc>
      </w:tr>
      <w:tr w14:paraId="10FB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Merge w:val="continue"/>
            <w:vAlign w:val="center"/>
          </w:tcPr>
          <w:p w14:paraId="58E22308">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sz w:val="21"/>
                <w:szCs w:val="21"/>
                <w:highlight w:val="none"/>
                <w:vertAlign w:val="baseline"/>
              </w:rPr>
            </w:pPr>
          </w:p>
        </w:tc>
        <w:tc>
          <w:tcPr>
            <w:tcW w:w="2692" w:type="pct"/>
            <w:vAlign w:val="center"/>
          </w:tcPr>
          <w:p w14:paraId="3BE50BF7">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纯水制备浓水通过污水管道进入园区污水管网</w:t>
            </w:r>
          </w:p>
        </w:tc>
        <w:tc>
          <w:tcPr>
            <w:tcW w:w="1335" w:type="pct"/>
            <w:vAlign w:val="center"/>
          </w:tcPr>
          <w:p w14:paraId="6FAAAAE8">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0</w:t>
            </w:r>
          </w:p>
        </w:tc>
      </w:tr>
      <w:tr w14:paraId="7905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Align w:val="center"/>
          </w:tcPr>
          <w:p w14:paraId="6BC60ED3">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固废</w:t>
            </w:r>
          </w:p>
        </w:tc>
        <w:tc>
          <w:tcPr>
            <w:tcW w:w="2692" w:type="pct"/>
            <w:vAlign w:val="center"/>
          </w:tcPr>
          <w:p w14:paraId="0EF9BE3E">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生活垃圾收集箱、一般固废暂存间和危险废物暂存间</w:t>
            </w:r>
          </w:p>
        </w:tc>
        <w:tc>
          <w:tcPr>
            <w:tcW w:w="1335" w:type="pct"/>
            <w:vAlign w:val="center"/>
          </w:tcPr>
          <w:p w14:paraId="5E96B13C">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6</w:t>
            </w:r>
          </w:p>
        </w:tc>
      </w:tr>
      <w:tr w14:paraId="32F3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Align w:val="center"/>
          </w:tcPr>
          <w:p w14:paraId="49C379D2">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sz w:val="21"/>
                <w:szCs w:val="21"/>
                <w:highlight w:val="none"/>
                <w:vertAlign w:val="baseline"/>
              </w:rPr>
            </w:pPr>
            <w:r>
              <w:rPr>
                <w:rFonts w:hint="default" w:ascii="Times New Roman" w:hAnsi="Times New Roman" w:eastAsia="宋体" w:cs="Times New Roman"/>
                <w:color w:val="auto"/>
                <w:sz w:val="21"/>
                <w:szCs w:val="21"/>
                <w:highlight w:val="none"/>
                <w:u w:val="none" w:color="auto"/>
              </w:rPr>
              <w:t>噪声</w:t>
            </w:r>
          </w:p>
        </w:tc>
        <w:tc>
          <w:tcPr>
            <w:tcW w:w="2692" w:type="pct"/>
            <w:vAlign w:val="center"/>
          </w:tcPr>
          <w:p w14:paraId="6ACD199F">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sz w:val="21"/>
                <w:szCs w:val="21"/>
                <w:highlight w:val="none"/>
                <w:vertAlign w:val="baseline"/>
              </w:rPr>
            </w:pPr>
            <w:r>
              <w:rPr>
                <w:rFonts w:hint="default" w:ascii="Times New Roman" w:hAnsi="Times New Roman" w:eastAsia="宋体" w:cs="Times New Roman"/>
                <w:color w:val="auto"/>
                <w:sz w:val="21"/>
                <w:szCs w:val="21"/>
                <w:highlight w:val="none"/>
                <w:u w:val="none" w:color="auto"/>
                <w:lang w:eastAsia="zh-CN"/>
              </w:rPr>
              <w:t>本项目</w:t>
            </w:r>
            <w:r>
              <w:rPr>
                <w:rFonts w:hint="default" w:ascii="Times New Roman" w:hAnsi="Times New Roman" w:eastAsia="宋体" w:cs="Times New Roman"/>
                <w:color w:val="auto"/>
                <w:sz w:val="21"/>
                <w:szCs w:val="21"/>
                <w:highlight w:val="none"/>
                <w:u w:val="none" w:color="auto"/>
              </w:rPr>
              <w:t>工程设备基础减振、隔音消声</w:t>
            </w:r>
          </w:p>
        </w:tc>
        <w:tc>
          <w:tcPr>
            <w:tcW w:w="1335" w:type="pct"/>
            <w:vAlign w:val="center"/>
          </w:tcPr>
          <w:p w14:paraId="56E34968">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2</w:t>
            </w:r>
          </w:p>
        </w:tc>
      </w:tr>
      <w:tr w14:paraId="386F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2" w:type="pct"/>
            <w:vAlign w:val="center"/>
          </w:tcPr>
          <w:p w14:paraId="69368EC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sz w:val="21"/>
                <w:szCs w:val="21"/>
                <w:highlight w:val="none"/>
              </w:rPr>
            </w:pPr>
            <w:r>
              <w:rPr>
                <w:rFonts w:hint="eastAsia" w:ascii="宋体" w:hAnsi="宋体" w:eastAsia="宋体" w:cs="宋体"/>
                <w:color w:val="0C0C0C"/>
                <w:kern w:val="0"/>
                <w:sz w:val="21"/>
                <w:szCs w:val="21"/>
                <w:highlight w:val="none"/>
                <w:lang w:val="en-US" w:eastAsia="zh-CN" w:bidi="ar"/>
              </w:rPr>
              <w:t>地下水、土壤</w:t>
            </w:r>
          </w:p>
          <w:p w14:paraId="01F55DE1">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rPr>
            </w:pPr>
          </w:p>
        </w:tc>
        <w:tc>
          <w:tcPr>
            <w:tcW w:w="2692" w:type="pct"/>
            <w:vAlign w:val="center"/>
          </w:tcPr>
          <w:p w14:paraId="3C643A5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仿宋" w:cs="Times New Roman"/>
                <w:color w:val="auto"/>
                <w:sz w:val="21"/>
                <w:szCs w:val="21"/>
                <w:highlight w:val="none"/>
                <w:u w:val="none" w:color="auto"/>
                <w:lang w:val="en-US" w:eastAsia="zh-CN"/>
              </w:rPr>
            </w:pPr>
            <w:r>
              <w:rPr>
                <w:rFonts w:hint="eastAsia" w:ascii="宋体" w:hAnsi="宋体" w:eastAsia="宋体" w:cs="宋体"/>
                <w:color w:val="0C0C0C"/>
                <w:kern w:val="0"/>
                <w:sz w:val="21"/>
                <w:szCs w:val="21"/>
                <w:highlight w:val="none"/>
                <w:lang w:val="en-US" w:eastAsia="zh-CN" w:bidi="ar"/>
              </w:rPr>
              <w:t>防渗处理</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事故应急池、</w:t>
            </w:r>
            <w:r>
              <w:rPr>
                <w:rFonts w:hint="eastAsia" w:eastAsia="宋体" w:cs="Times New Roman"/>
                <w:sz w:val="21"/>
                <w:szCs w:val="21"/>
                <w:highlight w:val="none"/>
                <w:lang w:val="en-US" w:eastAsia="zh-CN"/>
              </w:rPr>
              <w:t>危废间</w:t>
            </w:r>
            <w:r>
              <w:rPr>
                <w:rFonts w:hint="default" w:ascii="Times New Roman" w:hAnsi="Times New Roman" w:eastAsia="宋体" w:cs="Times New Roman"/>
                <w:sz w:val="21"/>
                <w:szCs w:val="21"/>
                <w:highlight w:val="none"/>
                <w:lang w:val="en-US" w:eastAsia="zh-CN"/>
              </w:rPr>
              <w:t>围堰、导流沟</w:t>
            </w:r>
          </w:p>
        </w:tc>
        <w:tc>
          <w:tcPr>
            <w:tcW w:w="1335" w:type="pct"/>
            <w:vAlign w:val="center"/>
          </w:tcPr>
          <w:p w14:paraId="2CABFC3D">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eastAsia" w:eastAsia="宋体"/>
                <w:sz w:val="21"/>
                <w:szCs w:val="21"/>
                <w:highlight w:val="none"/>
                <w:vertAlign w:val="baseline"/>
                <w:lang w:val="en-US" w:eastAsia="zh-CN"/>
              </w:rPr>
            </w:pPr>
            <w:r>
              <w:rPr>
                <w:rFonts w:hint="eastAsia"/>
                <w:sz w:val="21"/>
                <w:szCs w:val="21"/>
                <w:highlight w:val="none"/>
                <w:vertAlign w:val="baseline"/>
                <w:lang w:val="en-US" w:eastAsia="zh-CN"/>
              </w:rPr>
              <w:t>6</w:t>
            </w:r>
          </w:p>
        </w:tc>
      </w:tr>
      <w:tr w14:paraId="1A24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4" w:type="pct"/>
            <w:gridSpan w:val="2"/>
            <w:vAlign w:val="center"/>
          </w:tcPr>
          <w:p w14:paraId="5314C26F">
            <w:pPr>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合计</w:t>
            </w:r>
          </w:p>
        </w:tc>
        <w:tc>
          <w:tcPr>
            <w:tcW w:w="1335" w:type="pct"/>
            <w:vAlign w:val="center"/>
          </w:tcPr>
          <w:p w14:paraId="20ACA1DB">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eastAsia="宋体"/>
                <w:sz w:val="21"/>
                <w:szCs w:val="21"/>
                <w:highlight w:val="none"/>
                <w:vertAlign w:val="baseline"/>
                <w:lang w:val="en-US" w:eastAsia="zh-CN"/>
              </w:rPr>
            </w:pPr>
            <w:r>
              <w:rPr>
                <w:rFonts w:hint="eastAsia"/>
                <w:sz w:val="21"/>
                <w:szCs w:val="21"/>
                <w:highlight w:val="none"/>
                <w:vertAlign w:val="baseline"/>
                <w:lang w:val="en-US" w:eastAsia="zh-CN"/>
              </w:rPr>
              <w:t>37.1</w:t>
            </w:r>
          </w:p>
        </w:tc>
      </w:tr>
    </w:tbl>
    <w:p w14:paraId="71BBBF16">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本项目环保投资比例较为合理，在企业可以承受的范围之内，环保设施可以达到相关要求。</w:t>
      </w:r>
    </w:p>
    <w:p w14:paraId="38BA6A9D">
      <w:pPr>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(1)环保投资的环境效益分析</w:t>
      </w:r>
    </w:p>
    <w:p w14:paraId="6CD5C3D8">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本项目的环保设施实施后，能有效地控制和减少生产过程中的污染物，实现污染物的达标排放。可见项目环保投资的环境效益是巨大的，项目环保设施的正常运行必将大大减少污染物的排放。</w:t>
      </w:r>
    </w:p>
    <w:p w14:paraId="3089F287">
      <w:pPr>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(2)环保投资的经济效益分析</w:t>
      </w:r>
    </w:p>
    <w:p w14:paraId="6540E2B7">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减少环境污染增益：若公司未对污染采取有效的控制措施，致使周围环境及居民受到影响，则由于停产整改、交纳排污费、罚款及赔偿居民损失等原因，形成一定的经济损失。采取环保治理措施可以避免这一经济损失，也等于获得了这部分经济收益。 </w:t>
      </w:r>
    </w:p>
    <w:p w14:paraId="6FB0EEFA">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增益：若市场良好，采取有效的污染治理措施使得污染物排放总量得到削减，为今后的增产提供了可能，使经济收益随产量的增加而提高。如果考虑由于减少污染物排放量而减少对多项资源和能源综合利用收入而减少潜在的环境污染和资源破坏效应等，以及本项目的社会环境效益方面，则本项目的环境收益更大。</w:t>
      </w:r>
    </w:p>
    <w:p w14:paraId="61F0C69A">
      <w:pPr>
        <w:pStyle w:val="6"/>
        <w:bidi w:val="0"/>
        <w:rPr>
          <w:highlight w:val="none"/>
        </w:rPr>
      </w:pPr>
      <w:bookmarkStart w:id="260" w:name="_Toc488833099"/>
      <w:bookmarkStart w:id="261" w:name="_Toc22501"/>
      <w:r>
        <w:rPr>
          <w:highlight w:val="none"/>
        </w:rPr>
        <w:t>8.4综合评价</w:t>
      </w:r>
      <w:bookmarkEnd w:id="260"/>
      <w:bookmarkEnd w:id="261"/>
    </w:p>
    <w:p w14:paraId="5FCE82D6">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的建设可推动当地经济的发展。项目在建设实施过程中，以经济规模化为指导思想，工艺设计、设备选型本着低污染、低能耗、高产值的原则，注重清洁生产，根据生产能力及发展前景，积极进行节能减排。项目实施过程中重视环保，把可持续发展战略贯彻于企业生产之中，同时充分考虑环保治理和环保建设，把节能减排作为企业长远发展的大计。</w:t>
      </w:r>
    </w:p>
    <w:p w14:paraId="680BEC8A">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综上所述，本项目的建设在采取必要的环保措施，认真落实环保投资后，最大限度减少对周围环境影响的同时，可促进经济和社会发展，使社会效益、环境效益和经济效益得到统一。</w:t>
      </w:r>
    </w:p>
    <w:p w14:paraId="3206A553">
      <w:pPr>
        <w:pStyle w:val="5"/>
        <w:bidi w:val="0"/>
        <w:rPr>
          <w:highlight w:val="none"/>
        </w:rPr>
        <w:sectPr>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466" w:charSpace="0"/>
        </w:sectPr>
      </w:pPr>
      <w:bookmarkStart w:id="262" w:name="_Toc488833100"/>
    </w:p>
    <w:p w14:paraId="41C8F9AB">
      <w:pPr>
        <w:pStyle w:val="5"/>
        <w:bidi w:val="0"/>
        <w:rPr>
          <w:highlight w:val="none"/>
        </w:rPr>
      </w:pPr>
      <w:bookmarkStart w:id="263" w:name="_Toc32576"/>
      <w:r>
        <w:rPr>
          <w:highlight w:val="none"/>
        </w:rPr>
        <w:t>9、环境管理及环境监测</w:t>
      </w:r>
      <w:bookmarkEnd w:id="262"/>
      <w:bookmarkEnd w:id="263"/>
    </w:p>
    <w:p w14:paraId="00216E22">
      <w:pPr>
        <w:pStyle w:val="6"/>
        <w:bidi w:val="0"/>
        <w:rPr>
          <w:highlight w:val="none"/>
        </w:rPr>
      </w:pPr>
      <w:bookmarkStart w:id="264" w:name="_Toc8090"/>
      <w:bookmarkStart w:id="265" w:name="_Toc488833101"/>
      <w:r>
        <w:rPr>
          <w:highlight w:val="none"/>
        </w:rPr>
        <w:t>9.1环境管理</w:t>
      </w:r>
      <w:bookmarkEnd w:id="264"/>
      <w:bookmarkEnd w:id="265"/>
    </w:p>
    <w:p w14:paraId="21BDC3FD">
      <w:pPr>
        <w:pStyle w:val="7"/>
        <w:bidi w:val="0"/>
        <w:rPr>
          <w:highlight w:val="none"/>
        </w:rPr>
      </w:pPr>
      <w:bookmarkStart w:id="266" w:name="_Toc6395"/>
      <w:r>
        <w:rPr>
          <w:highlight w:val="none"/>
        </w:rPr>
        <w:t>9.1.1环境管理机构</w:t>
      </w:r>
      <w:bookmarkEnd w:id="266"/>
    </w:p>
    <w:p w14:paraId="39AB7484">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公司拟设置专门从事环境管理的机构，配备兼职环保人员</w:t>
      </w:r>
      <w:r>
        <w:rPr>
          <w:rFonts w:hint="eastAsia"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2</w:t>
      </w:r>
      <w:r>
        <w:rPr>
          <w:rFonts w:hint="default" w:ascii="Times New Roman" w:hAnsi="Times New Roman" w:eastAsia="宋体" w:cs="Times New Roman"/>
          <w:color w:val="auto"/>
          <w:sz w:val="24"/>
          <w:szCs w:val="24"/>
          <w:highlight w:val="none"/>
        </w:rPr>
        <w:t>名，负责环境监督管理工作，同时加强了对管理人员的环保培训，不断提高管理水平。工厂的法定负责人是控制污染、保护环境的法律责任者；并应建立相应的环境管理体系和监控计划，形成一套有效的环境管理办法，实施该项目的环境管理和监督。</w:t>
      </w:r>
    </w:p>
    <w:p w14:paraId="523DBBE0">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环境管理机构主要职能是研究决策本公司环保工作的重大事宜，并负责公司环境保护的规划和管理以及环境保护治理设施管理、维修、操作，负责公司的环境监测</w:t>
      </w:r>
      <w:r>
        <w:rPr>
          <w:rFonts w:hint="eastAsia" w:ascii="Times New Roman" w:hAnsi="Times New Roman" w:eastAsia="宋体" w:cs="Times New Roman"/>
          <w:color w:val="auto"/>
          <w:sz w:val="24"/>
          <w:szCs w:val="24"/>
          <w:highlight w:val="none"/>
        </w:rPr>
        <w:t>委托、协调工作</w:t>
      </w:r>
      <w:r>
        <w:rPr>
          <w:rFonts w:hint="default" w:ascii="Times New Roman" w:hAnsi="Times New Roman" w:eastAsia="宋体" w:cs="Times New Roman"/>
          <w:color w:val="auto"/>
          <w:sz w:val="24"/>
          <w:szCs w:val="24"/>
          <w:highlight w:val="none"/>
        </w:rPr>
        <w:t>。其主要职责如下：</w:t>
      </w:r>
    </w:p>
    <w:p w14:paraId="3CDA32BF">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(1)根据公司规模、性质、特点和国家法律、法规，制定全公司环保规划和环境方针，并负责以多种形式向相关方面宣传。</w:t>
      </w:r>
    </w:p>
    <w:p w14:paraId="2F0B5A35">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(2)负责获取、更新使用于本企业的与环境相关的法律、法规，负责把适用的法律、法规发放到相关部门。</w:t>
      </w:r>
    </w:p>
    <w:p w14:paraId="28877C85">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(3)协助制定环保规划，并协调和监督各单位具体实施。</w:t>
      </w:r>
    </w:p>
    <w:p w14:paraId="2CDD6DAE">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(4)负责制定和实施公司的年度环保培训计划。</w:t>
      </w:r>
    </w:p>
    <w:p w14:paraId="3D7316BC">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(5)负责公司内外部的环境工作信息交流。</w:t>
      </w:r>
    </w:p>
    <w:p w14:paraId="736BEADF">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(6)监督检查各环保设施的运行管理，尤其是了解废气处理装置的运行状况。</w:t>
      </w:r>
    </w:p>
    <w:p w14:paraId="112CDFE2">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(7)监督检查各生产工艺设备的运行情况。</w:t>
      </w:r>
    </w:p>
    <w:p w14:paraId="36B903B9">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(8)负责对环保工程及其“三同时”执行情况进行环境监测、数据分析、验收评估。</w:t>
      </w:r>
    </w:p>
    <w:p w14:paraId="09FFA391">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(9)负责应急计划的监督、检查；负责应急事故的协调处理；指导对环保设施的管理；指导应急与预防工作。</w:t>
      </w:r>
    </w:p>
    <w:p w14:paraId="0D9BF155">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(10)负责公司环境监测技术数据统计管理。</w:t>
      </w:r>
    </w:p>
    <w:p w14:paraId="26CDD663">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(11)负责全公司环保管理工作的监督和检查。</w:t>
      </w:r>
    </w:p>
    <w:p w14:paraId="1BABEE03">
      <w:pPr>
        <w:pStyle w:val="7"/>
        <w:bidi w:val="0"/>
        <w:rPr>
          <w:rFonts w:hint="eastAsia"/>
          <w:highlight w:val="none"/>
        </w:rPr>
      </w:pPr>
      <w:bookmarkStart w:id="267" w:name="_Toc1153"/>
      <w:r>
        <w:rPr>
          <w:rFonts w:hint="eastAsia"/>
          <w:highlight w:val="none"/>
        </w:rPr>
        <w:t>9.1.2工作计划和方案</w:t>
      </w:r>
      <w:bookmarkEnd w:id="267"/>
    </w:p>
    <w:p w14:paraId="262DF58D">
      <w:pPr>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1、环保管理制度的建立</w:t>
      </w:r>
    </w:p>
    <w:p w14:paraId="1E01C9F0">
      <w:pPr>
        <w:ind w:firstLine="480" w:firstLineChars="200"/>
        <w:rPr>
          <w:rFonts w:hint="default" w:ascii="Times New Roman" w:hAnsi="Times New Roman" w:eastAsia="宋体" w:cs="Times New Roman"/>
          <w:color w:val="auto"/>
          <w:sz w:val="24"/>
          <w:szCs w:val="24"/>
          <w:highlight w:val="none"/>
        </w:rPr>
      </w:pPr>
      <w:bookmarkStart w:id="268" w:name="_Toc107395067"/>
      <w:bookmarkStart w:id="269" w:name="_Toc109551713"/>
      <w:bookmarkStart w:id="270" w:name="_Toc109125432"/>
      <w:bookmarkStart w:id="271" w:name="_Toc109125725"/>
      <w:bookmarkStart w:id="272" w:name="_Toc109124446"/>
      <w:bookmarkStart w:id="273" w:name="_Toc107735400"/>
      <w:r>
        <w:rPr>
          <w:rFonts w:hint="default" w:ascii="Times New Roman" w:hAnsi="Times New Roman" w:eastAsia="宋体" w:cs="Times New Roman"/>
          <w:color w:val="auto"/>
          <w:sz w:val="24"/>
          <w:szCs w:val="24"/>
          <w:highlight w:val="none"/>
        </w:rPr>
        <w:t>建设单位应建立健全相应的环境管理制度，如环保现场管理、环境监测、环保设施管理、岗位责任及奖惩等一系列制度。随着环境保护工作的深入和强化，要求以全面质量管理替代传统管理方法，因此从环境保护的角度，对本项目的环境管理提出如下建议：</w:t>
      </w:r>
    </w:p>
    <w:p w14:paraId="686CBE57">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建立和实施可持续发展的环境管理制度，逐步引入ISO14000管理机制，适应国际市场对环境保护的要求。将清洁生产纳入生产规范化管理，安装用水计量设施，不断完善节水、节能、降耗的具体措施，最大限度地减少废水、废气排放，建立健全环境管理与企业污染源档案，掌握企业的污染现状，为企业决策提供依据。</w:t>
      </w:r>
    </w:p>
    <w:p w14:paraId="62D19F09">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（2）加强生产设备的管理与维护，严防跑冒滴漏和非正常工况事故的发生，维护环保设施特别是污水处理站的正常运行，保证达标排放。</w:t>
      </w:r>
    </w:p>
    <w:p w14:paraId="5A718054">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（3）建设单位成立总经理负责的应急小组，制定应急方案，配套相应的设施，地方环保部门定期对应急系统进行检查。</w:t>
      </w:r>
    </w:p>
    <w:p w14:paraId="5763653D">
      <w:pPr>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2、环境管理计划</w:t>
      </w:r>
      <w:bookmarkEnd w:id="268"/>
      <w:bookmarkEnd w:id="269"/>
      <w:bookmarkEnd w:id="270"/>
      <w:bookmarkEnd w:id="271"/>
      <w:bookmarkEnd w:id="272"/>
      <w:bookmarkEnd w:id="273"/>
      <w:r>
        <w:rPr>
          <w:rFonts w:hint="default" w:ascii="Times New Roman" w:hAnsi="Times New Roman" w:eastAsia="宋体" w:cs="Times New Roman"/>
          <w:b/>
          <w:bCs/>
          <w:color w:val="auto"/>
          <w:sz w:val="24"/>
          <w:szCs w:val="24"/>
          <w:highlight w:val="none"/>
        </w:rPr>
        <w:t>：</w:t>
      </w:r>
    </w:p>
    <w:p w14:paraId="70CEB777">
      <w:pPr>
        <w:ind w:firstLine="480" w:firstLineChars="200"/>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环境管理计划从本项目建设全过程进行，如施工阶段的污染防治，运营期的环保设施管理，由信息反馈和群众监督等各方面形成的网络管理等等，使环境管理工作贯穿于生产的全过程中。</w:t>
      </w:r>
    </w:p>
    <w:p w14:paraId="3D119F06">
      <w:pPr>
        <w:pStyle w:val="7"/>
        <w:bidi w:val="0"/>
        <w:rPr>
          <w:highlight w:val="none"/>
        </w:rPr>
      </w:pPr>
      <w:bookmarkStart w:id="274" w:name="_Toc17955"/>
      <w:r>
        <w:rPr>
          <w:rFonts w:hint="eastAsia"/>
          <w:highlight w:val="none"/>
        </w:rPr>
        <w:t>9.1.3 污染物排放清单</w:t>
      </w:r>
      <w:bookmarkEnd w:id="274"/>
    </w:p>
    <w:p w14:paraId="75FE575B">
      <w:pPr>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本项目污染物排放清单见表9.1-1。</w:t>
      </w:r>
    </w:p>
    <w:p w14:paraId="485DC5D3">
      <w:pPr>
        <w:keepNext w:val="0"/>
        <w:keepLines w:val="0"/>
        <w:pageBreakBefore w:val="0"/>
        <w:widowControl w:val="0"/>
        <w:kinsoku/>
        <w:wordWrap/>
        <w:overflowPunct/>
        <w:topLinePunct w:val="0"/>
        <w:autoSpaceDE/>
        <w:autoSpaceDN/>
        <w:bidi w:val="0"/>
        <w:adjustRightInd/>
        <w:snapToGrid/>
        <w:ind w:firstLine="482" w:firstLineChars="20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表9.1-1  污染物排放清单一览表</w:t>
      </w:r>
    </w:p>
    <w:tbl>
      <w:tblPr>
        <w:tblStyle w:val="23"/>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2"/>
        <w:gridCol w:w="412"/>
        <w:gridCol w:w="948"/>
        <w:gridCol w:w="832"/>
        <w:gridCol w:w="516"/>
        <w:gridCol w:w="1740"/>
        <w:gridCol w:w="1230"/>
        <w:gridCol w:w="2120"/>
      </w:tblGrid>
      <w:tr w14:paraId="08158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tcBorders>
              <w:tl2br w:val="nil"/>
              <w:tr2bl w:val="nil"/>
            </w:tcBorders>
            <w:noWrap w:val="0"/>
            <w:vAlign w:val="center"/>
          </w:tcPr>
          <w:p w14:paraId="6D609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799" w:type="pct"/>
            <w:gridSpan w:val="2"/>
            <w:tcBorders>
              <w:tl2br w:val="nil"/>
              <w:tr2bl w:val="nil"/>
            </w:tcBorders>
            <w:noWrap w:val="0"/>
            <w:vAlign w:val="center"/>
          </w:tcPr>
          <w:p w14:paraId="1E7AC3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产生环节</w:t>
            </w:r>
          </w:p>
        </w:tc>
        <w:tc>
          <w:tcPr>
            <w:tcW w:w="791" w:type="pct"/>
            <w:gridSpan w:val="2"/>
            <w:tcBorders>
              <w:tl2br w:val="nil"/>
              <w:tr2bl w:val="nil"/>
            </w:tcBorders>
            <w:noWrap w:val="0"/>
            <w:vAlign w:val="center"/>
          </w:tcPr>
          <w:p w14:paraId="32EF5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污染物</w:t>
            </w:r>
          </w:p>
        </w:tc>
        <w:tc>
          <w:tcPr>
            <w:tcW w:w="1022" w:type="pct"/>
            <w:tcBorders>
              <w:tl2br w:val="nil"/>
              <w:tr2bl w:val="nil"/>
            </w:tcBorders>
            <w:noWrap w:val="0"/>
            <w:vAlign w:val="center"/>
          </w:tcPr>
          <w:p w14:paraId="04822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措施及去向</w:t>
            </w:r>
          </w:p>
        </w:tc>
        <w:tc>
          <w:tcPr>
            <w:tcW w:w="722" w:type="pct"/>
            <w:tcBorders>
              <w:tl2br w:val="nil"/>
              <w:tr2bl w:val="nil"/>
            </w:tcBorders>
            <w:noWrap w:val="0"/>
            <w:vAlign w:val="center"/>
          </w:tcPr>
          <w:p w14:paraId="4B0CB8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w:t>
            </w:r>
          </w:p>
        </w:tc>
        <w:tc>
          <w:tcPr>
            <w:tcW w:w="1245" w:type="pct"/>
            <w:tcBorders>
              <w:tl2br w:val="nil"/>
              <w:tr2bl w:val="nil"/>
            </w:tcBorders>
            <w:noWrap w:val="0"/>
            <w:vAlign w:val="center"/>
          </w:tcPr>
          <w:p w14:paraId="0C9FE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排放标准</w:t>
            </w:r>
          </w:p>
        </w:tc>
      </w:tr>
      <w:tr w14:paraId="7E73F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tcBorders>
              <w:tl2br w:val="nil"/>
              <w:tr2bl w:val="nil"/>
            </w:tcBorders>
            <w:noWrap w:val="0"/>
            <w:vAlign w:val="center"/>
          </w:tcPr>
          <w:p w14:paraId="6D546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799" w:type="pct"/>
            <w:gridSpan w:val="2"/>
            <w:tcBorders>
              <w:tl2br w:val="nil"/>
              <w:tr2bl w:val="nil"/>
            </w:tcBorders>
            <w:noWrap w:val="0"/>
            <w:vAlign w:val="center"/>
          </w:tcPr>
          <w:p w14:paraId="03B569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投料、打粉</w:t>
            </w:r>
            <w:r>
              <w:rPr>
                <w:rFonts w:hint="default" w:ascii="Times New Roman" w:hAnsi="Times New Roman" w:eastAsia="宋体" w:cs="Times New Roman"/>
                <w:color w:val="auto"/>
                <w:sz w:val="21"/>
                <w:szCs w:val="21"/>
                <w:highlight w:val="none"/>
              </w:rPr>
              <w:t>粉尘</w:t>
            </w:r>
          </w:p>
        </w:tc>
        <w:tc>
          <w:tcPr>
            <w:tcW w:w="791" w:type="pct"/>
            <w:gridSpan w:val="2"/>
            <w:tcBorders>
              <w:tl2br w:val="nil"/>
              <w:tr2bl w:val="nil"/>
            </w:tcBorders>
            <w:noWrap w:val="0"/>
            <w:vAlign w:val="center"/>
          </w:tcPr>
          <w:p w14:paraId="22BB350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颗粒物</w:t>
            </w:r>
          </w:p>
        </w:tc>
        <w:tc>
          <w:tcPr>
            <w:tcW w:w="1022" w:type="pct"/>
            <w:tcBorders>
              <w:tl2br w:val="nil"/>
              <w:tr2bl w:val="nil"/>
            </w:tcBorders>
            <w:noWrap w:val="0"/>
            <w:vAlign w:val="center"/>
          </w:tcPr>
          <w:p w14:paraId="6522EA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布袋除尘器处理后车间内</w:t>
            </w:r>
            <w:r>
              <w:rPr>
                <w:rFonts w:hint="default" w:ascii="Times New Roman" w:hAnsi="Times New Roman" w:eastAsia="宋体" w:cs="Times New Roman"/>
                <w:color w:val="auto"/>
                <w:sz w:val="21"/>
                <w:szCs w:val="21"/>
                <w:highlight w:val="none"/>
              </w:rPr>
              <w:t>无组织排放</w:t>
            </w:r>
          </w:p>
        </w:tc>
        <w:tc>
          <w:tcPr>
            <w:tcW w:w="722" w:type="pct"/>
            <w:tcBorders>
              <w:tl2br w:val="nil"/>
              <w:tr2bl w:val="nil"/>
            </w:tcBorders>
            <w:noWrap w:val="0"/>
            <w:vAlign w:val="center"/>
          </w:tcPr>
          <w:p w14:paraId="734B5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0.0134</w:t>
            </w:r>
            <w:r>
              <w:rPr>
                <w:rFonts w:hint="default" w:ascii="Times New Roman" w:hAnsi="Times New Roman" w:eastAsia="宋体" w:cs="Times New Roman"/>
                <w:color w:val="auto"/>
                <w:sz w:val="21"/>
                <w:szCs w:val="21"/>
                <w:highlight w:val="none"/>
              </w:rPr>
              <w:t>t/a</w:t>
            </w:r>
          </w:p>
        </w:tc>
        <w:tc>
          <w:tcPr>
            <w:tcW w:w="1245" w:type="pct"/>
            <w:tcBorders>
              <w:tl2br w:val="nil"/>
              <w:tr2bl w:val="nil"/>
            </w:tcBorders>
            <w:noWrap w:val="0"/>
            <w:vAlign w:val="center"/>
          </w:tcPr>
          <w:p w14:paraId="0F78C5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厂界执行</w:t>
            </w:r>
            <w:r>
              <w:rPr>
                <w:rFonts w:hint="default" w:ascii="Times New Roman" w:hAnsi="Times New Roman" w:eastAsia="宋体" w:cs="Times New Roman"/>
                <w:color w:val="auto"/>
                <w:sz w:val="21"/>
                <w:szCs w:val="21"/>
                <w:highlight w:val="none"/>
                <w:lang w:val="en-US" w:eastAsia="zh-CN"/>
              </w:rPr>
              <w:t>《大气污染物综合排放标准》（GB 16297-1966 ）表2标准限值</w:t>
            </w:r>
          </w:p>
        </w:tc>
      </w:tr>
      <w:tr w14:paraId="12A1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418" w:type="pct"/>
            <w:vMerge w:val="continue"/>
            <w:tcBorders>
              <w:tl2br w:val="nil"/>
              <w:tr2bl w:val="nil"/>
            </w:tcBorders>
            <w:noWrap w:val="0"/>
            <w:vAlign w:val="center"/>
          </w:tcPr>
          <w:p w14:paraId="55E2AD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restart"/>
            <w:tcBorders>
              <w:tl2br w:val="nil"/>
              <w:tr2bl w:val="nil"/>
            </w:tcBorders>
            <w:noWrap w:val="0"/>
            <w:vAlign w:val="center"/>
          </w:tcPr>
          <w:p w14:paraId="4A2FD1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助剂粉剂冷却</w:t>
            </w:r>
            <w:r>
              <w:rPr>
                <w:rFonts w:hint="eastAsia" w:eastAsia="宋体" w:cs="Times New Roman"/>
                <w:color w:val="auto"/>
                <w:sz w:val="21"/>
                <w:szCs w:val="21"/>
                <w:highlight w:val="none"/>
                <w:lang w:val="en-US" w:eastAsia="zh-CN"/>
              </w:rPr>
              <w:t>放料</w:t>
            </w:r>
            <w:r>
              <w:rPr>
                <w:rFonts w:hint="default" w:ascii="Times New Roman" w:hAnsi="Times New Roman" w:eastAsia="宋体" w:cs="Times New Roman"/>
                <w:color w:val="auto"/>
                <w:sz w:val="21"/>
                <w:szCs w:val="21"/>
                <w:highlight w:val="none"/>
                <w:lang w:val="en-US" w:eastAsia="zh-CN"/>
              </w:rPr>
              <w:t>废气</w:t>
            </w:r>
          </w:p>
        </w:tc>
        <w:tc>
          <w:tcPr>
            <w:tcW w:w="488" w:type="pct"/>
            <w:vMerge w:val="restart"/>
            <w:tcBorders>
              <w:tl2br w:val="nil"/>
              <w:tr2bl w:val="nil"/>
            </w:tcBorders>
            <w:noWrap w:val="0"/>
            <w:vAlign w:val="center"/>
          </w:tcPr>
          <w:p w14:paraId="60FE3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VOCs</w:t>
            </w:r>
          </w:p>
        </w:tc>
        <w:tc>
          <w:tcPr>
            <w:tcW w:w="303" w:type="pct"/>
            <w:tcBorders>
              <w:tl2br w:val="nil"/>
              <w:tr2bl w:val="nil"/>
            </w:tcBorders>
            <w:noWrap w:val="0"/>
            <w:vAlign w:val="center"/>
          </w:tcPr>
          <w:p w14:paraId="324D4D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有组织</w:t>
            </w:r>
          </w:p>
        </w:tc>
        <w:tc>
          <w:tcPr>
            <w:tcW w:w="1022" w:type="pct"/>
            <w:vMerge w:val="restart"/>
            <w:tcBorders>
              <w:tl2br w:val="nil"/>
              <w:tr2bl w:val="nil"/>
            </w:tcBorders>
            <w:noWrap w:val="0"/>
            <w:vAlign w:val="center"/>
          </w:tcPr>
          <w:p w14:paraId="315080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活性炭吸附</w:t>
            </w:r>
            <w:r>
              <w:rPr>
                <w:rFonts w:hint="default" w:ascii="Times New Roman" w:hAnsi="Times New Roman" w:eastAsia="宋体" w:cs="Times New Roman"/>
                <w:color w:val="auto"/>
                <w:sz w:val="21"/>
                <w:szCs w:val="21"/>
                <w:highlight w:val="none"/>
                <w:lang w:val="en-US" w:eastAsia="zh-CN"/>
              </w:rPr>
              <w:t>+15m排气筒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吸附效率</w:t>
            </w:r>
            <w:r>
              <w:rPr>
                <w:rFonts w:hint="default"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w:t>
            </w:r>
          </w:p>
        </w:tc>
        <w:tc>
          <w:tcPr>
            <w:tcW w:w="722" w:type="pct"/>
            <w:tcBorders>
              <w:tl2br w:val="nil"/>
              <w:tr2bl w:val="nil"/>
            </w:tcBorders>
            <w:noWrap w:val="0"/>
            <w:vAlign w:val="center"/>
          </w:tcPr>
          <w:p w14:paraId="1CF48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 xml:space="preserve">0.2779  </w:t>
            </w:r>
            <w:r>
              <w:rPr>
                <w:rFonts w:hint="default" w:ascii="Times New Roman" w:hAnsi="Times New Roman" w:eastAsia="宋体" w:cs="Times New Roman"/>
                <w:color w:val="auto"/>
                <w:sz w:val="21"/>
                <w:szCs w:val="21"/>
                <w:highlight w:val="none"/>
              </w:rPr>
              <w:t>t/a</w:t>
            </w:r>
          </w:p>
        </w:tc>
        <w:tc>
          <w:tcPr>
            <w:tcW w:w="1245" w:type="pct"/>
            <w:vMerge w:val="restart"/>
            <w:tcBorders>
              <w:tl2br w:val="nil"/>
              <w:tr2bl w:val="nil"/>
            </w:tcBorders>
            <w:noWrap w:val="0"/>
            <w:vAlign w:val="center"/>
          </w:tcPr>
          <w:p w14:paraId="6231F9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VOCs有组织排放参考执行天津市地方标准《工业企业挥发性有机物排放控制标准》（DB12/ 524—2020）。厂区内VOCs无组织废气满足《挥发性有机物无组织排放控制标准》（GB 37822—2019）；厂界无组织执行</w:t>
            </w:r>
            <w:r>
              <w:rPr>
                <w:rFonts w:hint="default" w:ascii="Times New Roman" w:hAnsi="Times New Roman" w:eastAsia="宋体" w:cs="Times New Roman"/>
                <w:color w:val="auto"/>
                <w:sz w:val="21"/>
                <w:szCs w:val="21"/>
                <w:highlight w:val="none"/>
                <w:lang w:val="en-US" w:eastAsia="zh-CN"/>
              </w:rPr>
              <w:t>《大气污染物综合排放标准》（GB 16297-1966 ）表2标准限值</w:t>
            </w:r>
            <w:r>
              <w:rPr>
                <w:rFonts w:hint="eastAsia" w:ascii="Times New Roman" w:hAnsi="Times New Roman" w:eastAsia="宋体" w:cs="Times New Roman"/>
                <w:color w:val="auto"/>
                <w:sz w:val="21"/>
                <w:szCs w:val="21"/>
                <w:highlight w:val="none"/>
                <w:lang w:val="en-US" w:eastAsia="zh-CN"/>
              </w:rPr>
              <w:t>；</w:t>
            </w:r>
          </w:p>
        </w:tc>
      </w:tr>
      <w:tr w14:paraId="23992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8" w:type="pct"/>
            <w:vMerge w:val="continue"/>
            <w:tcBorders>
              <w:tl2br w:val="nil"/>
              <w:tr2bl w:val="nil"/>
            </w:tcBorders>
            <w:noWrap w:val="0"/>
            <w:vAlign w:val="center"/>
          </w:tcPr>
          <w:p w14:paraId="52F6A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continue"/>
            <w:tcBorders>
              <w:tl2br w:val="nil"/>
              <w:tr2bl w:val="nil"/>
            </w:tcBorders>
            <w:noWrap w:val="0"/>
            <w:vAlign w:val="center"/>
          </w:tcPr>
          <w:p w14:paraId="59320F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88" w:type="pct"/>
            <w:vMerge w:val="continue"/>
            <w:tcBorders>
              <w:tl2br w:val="nil"/>
              <w:tr2bl w:val="nil"/>
            </w:tcBorders>
            <w:noWrap w:val="0"/>
            <w:vAlign w:val="center"/>
          </w:tcPr>
          <w:p w14:paraId="23E40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highlight w:val="none"/>
                <w:lang w:val="en-US" w:eastAsia="zh-CN"/>
              </w:rPr>
            </w:pPr>
          </w:p>
        </w:tc>
        <w:tc>
          <w:tcPr>
            <w:tcW w:w="303" w:type="pct"/>
            <w:tcBorders>
              <w:tl2br w:val="nil"/>
              <w:tr2bl w:val="nil"/>
            </w:tcBorders>
            <w:noWrap w:val="0"/>
            <w:vAlign w:val="center"/>
          </w:tcPr>
          <w:p w14:paraId="084331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无组织</w:t>
            </w:r>
          </w:p>
        </w:tc>
        <w:tc>
          <w:tcPr>
            <w:tcW w:w="1022" w:type="pct"/>
            <w:vMerge w:val="continue"/>
            <w:tcBorders>
              <w:tl2br w:val="nil"/>
              <w:tr2bl w:val="nil"/>
            </w:tcBorders>
            <w:noWrap w:val="0"/>
            <w:vAlign w:val="center"/>
          </w:tcPr>
          <w:p w14:paraId="19E88C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22" w:type="pct"/>
            <w:tcBorders>
              <w:tl2br w:val="nil"/>
              <w:tr2bl w:val="nil"/>
            </w:tcBorders>
            <w:noWrap w:val="0"/>
            <w:vAlign w:val="center"/>
          </w:tcPr>
          <w:p w14:paraId="1030E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 xml:space="preserve">0.0585 </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13EE70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z w:val="21"/>
                <w:szCs w:val="21"/>
                <w:highlight w:val="none"/>
                <w:lang w:val="en-US" w:eastAsia="zh-CN"/>
              </w:rPr>
            </w:pPr>
          </w:p>
        </w:tc>
      </w:tr>
      <w:tr w14:paraId="1847B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06538B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tcBorders>
              <w:tl2br w:val="nil"/>
              <w:tr2bl w:val="nil"/>
            </w:tcBorders>
            <w:noWrap w:val="0"/>
            <w:vAlign w:val="center"/>
          </w:tcPr>
          <w:p w14:paraId="47CC7E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厨房油烟废气</w:t>
            </w:r>
          </w:p>
        </w:tc>
        <w:tc>
          <w:tcPr>
            <w:tcW w:w="791" w:type="pct"/>
            <w:gridSpan w:val="2"/>
            <w:tcBorders>
              <w:tl2br w:val="nil"/>
              <w:tr2bl w:val="nil"/>
            </w:tcBorders>
            <w:noWrap w:val="0"/>
            <w:vAlign w:val="center"/>
          </w:tcPr>
          <w:p w14:paraId="48AF1B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w:t>
            </w:r>
          </w:p>
        </w:tc>
        <w:tc>
          <w:tcPr>
            <w:tcW w:w="1022" w:type="pct"/>
            <w:tcBorders>
              <w:tl2br w:val="nil"/>
              <w:tr2bl w:val="nil"/>
            </w:tcBorders>
            <w:noWrap w:val="0"/>
            <w:vAlign w:val="center"/>
          </w:tcPr>
          <w:p w14:paraId="6F234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油烟净化器</w:t>
            </w:r>
          </w:p>
        </w:tc>
        <w:tc>
          <w:tcPr>
            <w:tcW w:w="722" w:type="pct"/>
            <w:tcBorders>
              <w:tl2br w:val="nil"/>
              <w:tr2bl w:val="nil"/>
            </w:tcBorders>
            <w:noWrap w:val="0"/>
            <w:vAlign w:val="center"/>
          </w:tcPr>
          <w:p w14:paraId="07C279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0.4</w:t>
            </w:r>
            <w:r>
              <w:rPr>
                <w:rFonts w:hint="default" w:ascii="Times New Roman" w:hAnsi="Times New Roman" w:eastAsia="宋体" w:cs="Times New Roman"/>
                <w:color w:val="auto"/>
                <w:sz w:val="21"/>
                <w:szCs w:val="21"/>
                <w:highlight w:val="none"/>
                <w:lang w:val="en-US" w:eastAsia="zh-CN"/>
              </w:rPr>
              <w:t>kg/a</w:t>
            </w:r>
          </w:p>
        </w:tc>
        <w:tc>
          <w:tcPr>
            <w:tcW w:w="1245" w:type="pct"/>
            <w:tcBorders>
              <w:tl2br w:val="nil"/>
              <w:tr2bl w:val="nil"/>
            </w:tcBorders>
            <w:noWrap w:val="0"/>
            <w:vAlign w:val="center"/>
          </w:tcPr>
          <w:p w14:paraId="1ABDD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《饮食油烟排放标准》（GB18483-2001）</w:t>
            </w:r>
          </w:p>
        </w:tc>
      </w:tr>
      <w:tr w14:paraId="06038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restart"/>
            <w:tcBorders>
              <w:tl2br w:val="nil"/>
              <w:tr2bl w:val="nil"/>
            </w:tcBorders>
            <w:noWrap w:val="0"/>
            <w:vAlign w:val="center"/>
          </w:tcPr>
          <w:p w14:paraId="00D2DB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799" w:type="pct"/>
            <w:gridSpan w:val="2"/>
            <w:vMerge w:val="restart"/>
            <w:tcBorders>
              <w:tl2br w:val="nil"/>
              <w:tr2bl w:val="nil"/>
            </w:tcBorders>
            <w:noWrap w:val="0"/>
            <w:vAlign w:val="center"/>
          </w:tcPr>
          <w:p w14:paraId="721705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生活废水</w:t>
            </w:r>
            <w:r>
              <w:rPr>
                <w:rFonts w:hint="default" w:ascii="Times New Roman" w:hAnsi="Times New Roman" w:eastAsia="宋体" w:cs="Times New Roman"/>
                <w:color w:val="auto"/>
                <w:sz w:val="21"/>
                <w:szCs w:val="21"/>
                <w:highlight w:val="none"/>
                <w:lang w:val="en-US" w:eastAsia="zh-CN"/>
              </w:rPr>
              <w:t>355.2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791" w:type="pct"/>
            <w:gridSpan w:val="2"/>
            <w:tcBorders>
              <w:tl2br w:val="nil"/>
              <w:tr2bl w:val="nil"/>
            </w:tcBorders>
            <w:noWrap w:val="0"/>
            <w:vAlign w:val="center"/>
          </w:tcPr>
          <w:p w14:paraId="7FAE7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022" w:type="pct"/>
            <w:vMerge w:val="restart"/>
            <w:tcBorders>
              <w:tl2br w:val="nil"/>
              <w:tr2bl w:val="nil"/>
            </w:tcBorders>
            <w:noWrap w:val="0"/>
            <w:vAlign w:val="center"/>
          </w:tcPr>
          <w:p w14:paraId="01FA5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岳阳高新技术产业园区污水处理厂处理达《城镇污水处理厂污染物排放标准》（GB18918-2002）及修改单中一级 A 标准。</w:t>
            </w:r>
          </w:p>
        </w:tc>
        <w:tc>
          <w:tcPr>
            <w:tcW w:w="722" w:type="pct"/>
            <w:tcBorders>
              <w:tl2br w:val="nil"/>
              <w:tr2bl w:val="nil"/>
            </w:tcBorders>
            <w:noWrap w:val="0"/>
            <w:vAlign w:val="center"/>
          </w:tcPr>
          <w:p w14:paraId="677CF16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0.018</w:t>
            </w:r>
            <w:r>
              <w:rPr>
                <w:rFonts w:hint="default" w:ascii="Times New Roman" w:hAnsi="Times New Roman" w:eastAsia="宋体" w:cs="Times New Roman"/>
                <w:color w:val="auto"/>
                <w:sz w:val="21"/>
                <w:szCs w:val="21"/>
                <w:highlight w:val="none"/>
              </w:rPr>
              <w:t>t/a</w:t>
            </w:r>
          </w:p>
        </w:tc>
        <w:tc>
          <w:tcPr>
            <w:tcW w:w="1245" w:type="pct"/>
            <w:vMerge w:val="restart"/>
            <w:tcBorders>
              <w:tl2br w:val="nil"/>
              <w:tr2bl w:val="nil"/>
            </w:tcBorders>
            <w:noWrap w:val="0"/>
            <w:vAlign w:val="center"/>
          </w:tcPr>
          <w:p w14:paraId="48FC94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同时满足《污水综合排放标准》 （GB8978-1996）中表 4 三级标准以及岳阳高新技术产业园区污水处理厂接管标准要求</w:t>
            </w:r>
            <w:r>
              <w:rPr>
                <w:rFonts w:hint="eastAsia" w:ascii="Times New Roman" w:hAnsi="Times New Roman" w:eastAsia="宋体" w:cs="Times New Roman"/>
                <w:color w:val="auto"/>
                <w:sz w:val="21"/>
                <w:szCs w:val="21"/>
                <w:highlight w:val="none"/>
                <w:lang w:val="en-US" w:eastAsia="zh-CN"/>
              </w:rPr>
              <w:t>；</w:t>
            </w:r>
          </w:p>
        </w:tc>
      </w:tr>
      <w:tr w14:paraId="30426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2BD59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continue"/>
            <w:tcBorders>
              <w:tl2br w:val="nil"/>
              <w:tr2bl w:val="nil"/>
            </w:tcBorders>
            <w:noWrap w:val="0"/>
            <w:vAlign w:val="center"/>
          </w:tcPr>
          <w:p w14:paraId="545C8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1" w:type="pct"/>
            <w:gridSpan w:val="2"/>
            <w:tcBorders>
              <w:tl2br w:val="nil"/>
              <w:tr2bl w:val="nil"/>
            </w:tcBorders>
            <w:noWrap w:val="0"/>
            <w:vAlign w:val="center"/>
          </w:tcPr>
          <w:p w14:paraId="13C6B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1022" w:type="pct"/>
            <w:vMerge w:val="continue"/>
            <w:tcBorders>
              <w:tl2br w:val="nil"/>
              <w:tr2bl w:val="nil"/>
            </w:tcBorders>
            <w:noWrap w:val="0"/>
            <w:vAlign w:val="center"/>
          </w:tcPr>
          <w:p w14:paraId="5D73B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22" w:type="pct"/>
            <w:tcBorders>
              <w:tl2br w:val="nil"/>
              <w:tr2bl w:val="nil"/>
            </w:tcBorders>
            <w:noWrap w:val="0"/>
            <w:vAlign w:val="center"/>
          </w:tcPr>
          <w:p w14:paraId="34AD8D2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0.0035</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644217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570A1C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547FD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continue"/>
            <w:tcBorders>
              <w:tl2br w:val="nil"/>
              <w:tr2bl w:val="nil"/>
            </w:tcBorders>
            <w:noWrap w:val="0"/>
            <w:vAlign w:val="center"/>
          </w:tcPr>
          <w:p w14:paraId="5D0047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1" w:type="pct"/>
            <w:gridSpan w:val="2"/>
            <w:tcBorders>
              <w:tl2br w:val="nil"/>
              <w:tr2bl w:val="nil"/>
            </w:tcBorders>
            <w:noWrap w:val="0"/>
            <w:vAlign w:val="center"/>
          </w:tcPr>
          <w:p w14:paraId="56FA62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1022" w:type="pct"/>
            <w:vMerge w:val="continue"/>
            <w:tcBorders>
              <w:tl2br w:val="nil"/>
              <w:tr2bl w:val="nil"/>
            </w:tcBorders>
            <w:noWrap w:val="0"/>
            <w:vAlign w:val="center"/>
          </w:tcPr>
          <w:p w14:paraId="5E9BD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22" w:type="pct"/>
            <w:tcBorders>
              <w:tl2br w:val="nil"/>
              <w:tr2bl w:val="nil"/>
            </w:tcBorders>
            <w:noWrap w:val="0"/>
            <w:vAlign w:val="center"/>
          </w:tcPr>
          <w:p w14:paraId="5C8795D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0.0035</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4076A05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12DC3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12BC9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continue"/>
            <w:tcBorders>
              <w:tl2br w:val="nil"/>
              <w:tr2bl w:val="nil"/>
            </w:tcBorders>
            <w:noWrap w:val="0"/>
            <w:vAlign w:val="center"/>
          </w:tcPr>
          <w:p w14:paraId="744BEF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1" w:type="pct"/>
            <w:gridSpan w:val="2"/>
            <w:tcBorders>
              <w:tl2br w:val="nil"/>
              <w:tr2bl w:val="nil"/>
            </w:tcBorders>
            <w:noWrap w:val="0"/>
            <w:vAlign w:val="center"/>
          </w:tcPr>
          <w:p w14:paraId="29EB6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022" w:type="pct"/>
            <w:vMerge w:val="continue"/>
            <w:tcBorders>
              <w:tl2br w:val="nil"/>
              <w:tr2bl w:val="nil"/>
            </w:tcBorders>
            <w:noWrap w:val="0"/>
            <w:vAlign w:val="center"/>
          </w:tcPr>
          <w:p w14:paraId="0FFE59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22" w:type="pct"/>
            <w:tcBorders>
              <w:tl2br w:val="nil"/>
              <w:tr2bl w:val="nil"/>
            </w:tcBorders>
            <w:noWrap w:val="0"/>
            <w:vAlign w:val="center"/>
          </w:tcPr>
          <w:p w14:paraId="1A8320E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0.0017</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7E31FE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44988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33F7A7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continue"/>
            <w:tcBorders>
              <w:tl2br w:val="nil"/>
              <w:tr2bl w:val="nil"/>
            </w:tcBorders>
            <w:noWrap w:val="0"/>
            <w:vAlign w:val="center"/>
          </w:tcPr>
          <w:p w14:paraId="6BB7F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1" w:type="pct"/>
            <w:gridSpan w:val="2"/>
            <w:tcBorders>
              <w:tl2br w:val="nil"/>
              <w:tr2bl w:val="nil"/>
            </w:tcBorders>
            <w:noWrap w:val="0"/>
            <w:vAlign w:val="center"/>
          </w:tcPr>
          <w:p w14:paraId="010BCC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w:t>
            </w:r>
          </w:p>
        </w:tc>
        <w:tc>
          <w:tcPr>
            <w:tcW w:w="1022" w:type="pct"/>
            <w:vMerge w:val="continue"/>
            <w:tcBorders>
              <w:tl2br w:val="nil"/>
              <w:tr2bl w:val="nil"/>
            </w:tcBorders>
            <w:noWrap w:val="0"/>
            <w:vAlign w:val="center"/>
          </w:tcPr>
          <w:p w14:paraId="6025F5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22" w:type="pct"/>
            <w:tcBorders>
              <w:tl2br w:val="nil"/>
              <w:tr2bl w:val="nil"/>
            </w:tcBorders>
            <w:noWrap w:val="0"/>
            <w:vAlign w:val="center"/>
          </w:tcPr>
          <w:p w14:paraId="3B07618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0.018</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35BD81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42857E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418" w:type="pct"/>
            <w:vMerge w:val="continue"/>
            <w:tcBorders>
              <w:tl2br w:val="nil"/>
              <w:tr2bl w:val="nil"/>
            </w:tcBorders>
            <w:noWrap w:val="0"/>
            <w:vAlign w:val="center"/>
          </w:tcPr>
          <w:p w14:paraId="3977DE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799" w:type="pct"/>
            <w:gridSpan w:val="2"/>
            <w:tcBorders>
              <w:tl2br w:val="nil"/>
              <w:tr2bl w:val="nil"/>
            </w:tcBorders>
            <w:noWrap w:val="0"/>
            <w:vAlign w:val="center"/>
          </w:tcPr>
          <w:p w14:paraId="3C116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纯水制备浓水400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791" w:type="pct"/>
            <w:gridSpan w:val="2"/>
            <w:tcBorders>
              <w:tl2br w:val="nil"/>
              <w:tr2bl w:val="nil"/>
            </w:tcBorders>
            <w:noWrap w:val="0"/>
            <w:vAlign w:val="center"/>
          </w:tcPr>
          <w:p w14:paraId="26CFD1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022" w:type="pct"/>
            <w:vMerge w:val="continue"/>
            <w:tcBorders>
              <w:tl2br w:val="nil"/>
              <w:tr2bl w:val="nil"/>
            </w:tcBorders>
            <w:noWrap w:val="0"/>
            <w:vAlign w:val="center"/>
          </w:tcPr>
          <w:p w14:paraId="72A32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22" w:type="pct"/>
            <w:tcBorders>
              <w:tl2br w:val="nil"/>
              <w:tr2bl w:val="nil"/>
            </w:tcBorders>
            <w:shd w:val="clear" w:color="auto" w:fill="auto"/>
            <w:noWrap w:val="0"/>
            <w:vAlign w:val="center"/>
          </w:tcPr>
          <w:p w14:paraId="2BC0CC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0.02</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shd w:val="clear" w:color="auto" w:fill="auto"/>
            <w:noWrap w:val="0"/>
            <w:vAlign w:val="center"/>
          </w:tcPr>
          <w:p w14:paraId="4FD334A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23C0B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18" w:type="pct"/>
            <w:vMerge w:val="continue"/>
            <w:tcBorders>
              <w:tl2br w:val="nil"/>
              <w:tr2bl w:val="nil"/>
            </w:tcBorders>
            <w:noWrap w:val="0"/>
            <w:vAlign w:val="center"/>
          </w:tcPr>
          <w:p w14:paraId="690DB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799" w:type="pct"/>
            <w:gridSpan w:val="2"/>
            <w:vMerge w:val="restart"/>
            <w:tcBorders>
              <w:tl2br w:val="nil"/>
              <w:tr2bl w:val="nil"/>
            </w:tcBorders>
            <w:noWrap w:val="0"/>
            <w:vAlign w:val="center"/>
          </w:tcPr>
          <w:p w14:paraId="68EB6F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sz w:val="21"/>
                <w:szCs w:val="21"/>
                <w:highlight w:val="none"/>
                <w:lang w:val="en-US" w:eastAsia="zh-CN"/>
              </w:rPr>
              <w:t>地面清洁废水24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791" w:type="pct"/>
            <w:gridSpan w:val="2"/>
            <w:tcBorders>
              <w:tl2br w:val="nil"/>
              <w:tr2bl w:val="nil"/>
            </w:tcBorders>
            <w:noWrap w:val="0"/>
            <w:vAlign w:val="center"/>
          </w:tcPr>
          <w:p w14:paraId="03395B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1022" w:type="pct"/>
            <w:vMerge w:val="continue"/>
            <w:tcBorders>
              <w:tl2br w:val="nil"/>
              <w:tr2bl w:val="nil"/>
            </w:tcBorders>
            <w:noWrap w:val="0"/>
            <w:vAlign w:val="center"/>
          </w:tcPr>
          <w:p w14:paraId="262F0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22" w:type="pct"/>
            <w:tcBorders>
              <w:tl2br w:val="nil"/>
              <w:tr2bl w:val="nil"/>
            </w:tcBorders>
            <w:noWrap w:val="0"/>
            <w:vAlign w:val="center"/>
          </w:tcPr>
          <w:p w14:paraId="094AE3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0.0012</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575F1F9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150D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03F81E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continue"/>
            <w:tcBorders>
              <w:tl2br w:val="nil"/>
              <w:tr2bl w:val="nil"/>
            </w:tcBorders>
            <w:noWrap w:val="0"/>
            <w:vAlign w:val="center"/>
          </w:tcPr>
          <w:p w14:paraId="38464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1" w:type="pct"/>
            <w:gridSpan w:val="2"/>
            <w:tcBorders>
              <w:tl2br w:val="nil"/>
              <w:tr2bl w:val="nil"/>
            </w:tcBorders>
            <w:noWrap w:val="0"/>
            <w:vAlign w:val="center"/>
          </w:tcPr>
          <w:p w14:paraId="387B36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022" w:type="pct"/>
            <w:vMerge w:val="continue"/>
            <w:tcBorders>
              <w:tl2br w:val="nil"/>
              <w:tr2bl w:val="nil"/>
            </w:tcBorders>
            <w:noWrap w:val="0"/>
            <w:vAlign w:val="center"/>
          </w:tcPr>
          <w:p w14:paraId="6C5FC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22" w:type="pct"/>
            <w:tcBorders>
              <w:tl2br w:val="nil"/>
              <w:tr2bl w:val="nil"/>
            </w:tcBorders>
            <w:noWrap w:val="0"/>
            <w:vAlign w:val="center"/>
          </w:tcPr>
          <w:p w14:paraId="3CE2807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0.0001</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6C40001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65ABE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48234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vMerge w:val="continue"/>
            <w:tcBorders>
              <w:tl2br w:val="nil"/>
              <w:tr2bl w:val="nil"/>
            </w:tcBorders>
            <w:noWrap w:val="0"/>
            <w:vAlign w:val="center"/>
          </w:tcPr>
          <w:p w14:paraId="32A95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1" w:type="pct"/>
            <w:gridSpan w:val="2"/>
            <w:tcBorders>
              <w:tl2br w:val="nil"/>
              <w:tr2bl w:val="nil"/>
            </w:tcBorders>
            <w:noWrap w:val="0"/>
            <w:vAlign w:val="center"/>
          </w:tcPr>
          <w:p w14:paraId="764CCF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1022" w:type="pct"/>
            <w:vMerge w:val="continue"/>
            <w:tcBorders>
              <w:tl2br w:val="nil"/>
              <w:tr2bl w:val="nil"/>
            </w:tcBorders>
            <w:noWrap w:val="0"/>
            <w:vAlign w:val="center"/>
          </w:tcPr>
          <w:p w14:paraId="1C49C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22" w:type="pct"/>
            <w:tcBorders>
              <w:tl2br w:val="nil"/>
              <w:tr2bl w:val="nil"/>
            </w:tcBorders>
            <w:noWrap w:val="0"/>
            <w:vAlign w:val="center"/>
          </w:tcPr>
          <w:p w14:paraId="4CEA6C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0.0002</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5F28BE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14:paraId="3409B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18" w:type="pct"/>
            <w:vMerge w:val="restart"/>
            <w:tcBorders>
              <w:tl2br w:val="nil"/>
              <w:tr2bl w:val="nil"/>
            </w:tcBorders>
            <w:noWrap w:val="0"/>
            <w:vAlign w:val="center"/>
          </w:tcPr>
          <w:p w14:paraId="503A3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242" w:type="pct"/>
            <w:vMerge w:val="restart"/>
            <w:tcBorders>
              <w:tl2br w:val="nil"/>
              <w:tr2bl w:val="nil"/>
            </w:tcBorders>
            <w:noWrap w:val="0"/>
            <w:vAlign w:val="center"/>
          </w:tcPr>
          <w:p w14:paraId="020F5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一般工业固废</w:t>
            </w:r>
          </w:p>
        </w:tc>
        <w:tc>
          <w:tcPr>
            <w:tcW w:w="557" w:type="pct"/>
            <w:tcBorders>
              <w:tl2br w:val="nil"/>
              <w:tr2bl w:val="nil"/>
            </w:tcBorders>
            <w:noWrap w:val="0"/>
            <w:vAlign w:val="center"/>
          </w:tcPr>
          <w:p w14:paraId="5E6F27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除尘器</w:t>
            </w:r>
          </w:p>
        </w:tc>
        <w:tc>
          <w:tcPr>
            <w:tcW w:w="791" w:type="pct"/>
            <w:gridSpan w:val="2"/>
            <w:tcBorders>
              <w:tl2br w:val="nil"/>
              <w:tr2bl w:val="nil"/>
            </w:tcBorders>
            <w:noWrap w:val="0"/>
            <w:vAlign w:val="center"/>
          </w:tcPr>
          <w:p w14:paraId="67572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布袋除尘器收集粉尘</w:t>
            </w:r>
          </w:p>
        </w:tc>
        <w:tc>
          <w:tcPr>
            <w:tcW w:w="1022" w:type="pct"/>
            <w:tcBorders>
              <w:tl2br w:val="nil"/>
              <w:tr2bl w:val="nil"/>
            </w:tcBorders>
            <w:noWrap w:val="0"/>
            <w:vAlign w:val="center"/>
          </w:tcPr>
          <w:p w14:paraId="1B63F7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c>
          <w:tcPr>
            <w:tcW w:w="722" w:type="pct"/>
            <w:tcBorders>
              <w:tl2br w:val="nil"/>
              <w:tr2bl w:val="nil"/>
            </w:tcBorders>
            <w:noWrap w:val="0"/>
            <w:vAlign w:val="center"/>
          </w:tcPr>
          <w:p w14:paraId="25C515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2.127</w:t>
            </w:r>
            <w:r>
              <w:rPr>
                <w:rFonts w:hint="default" w:ascii="Times New Roman" w:hAnsi="Times New Roman" w:eastAsia="宋体" w:cs="Times New Roman"/>
                <w:color w:val="auto"/>
                <w:sz w:val="21"/>
                <w:szCs w:val="21"/>
                <w:highlight w:val="none"/>
              </w:rPr>
              <w:t>t/a</w:t>
            </w:r>
          </w:p>
        </w:tc>
        <w:tc>
          <w:tcPr>
            <w:tcW w:w="1245" w:type="pct"/>
            <w:vMerge w:val="restart"/>
            <w:tcBorders>
              <w:tl2br w:val="nil"/>
              <w:tr2bl w:val="nil"/>
            </w:tcBorders>
            <w:noWrap w:val="0"/>
            <w:vAlign w:val="center"/>
          </w:tcPr>
          <w:p w14:paraId="6ECD1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《一般工业固体废物贮存和填埋污染控制标准》（GB 18599-2020）</w:t>
            </w:r>
          </w:p>
        </w:tc>
      </w:tr>
      <w:tr w14:paraId="09DE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4FCFE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14:paraId="69E42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57" w:type="pct"/>
            <w:tcBorders>
              <w:tl2br w:val="nil"/>
              <w:tr2bl w:val="nil"/>
            </w:tcBorders>
            <w:noWrap w:val="0"/>
            <w:vAlign w:val="center"/>
          </w:tcPr>
          <w:p w14:paraId="46F2A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生产线</w:t>
            </w:r>
          </w:p>
        </w:tc>
        <w:tc>
          <w:tcPr>
            <w:tcW w:w="791" w:type="pct"/>
            <w:gridSpan w:val="2"/>
            <w:tcBorders>
              <w:tl2br w:val="nil"/>
              <w:tr2bl w:val="nil"/>
            </w:tcBorders>
            <w:noWrap w:val="0"/>
            <w:vAlign w:val="center"/>
          </w:tcPr>
          <w:p w14:paraId="689B99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地面收集粉尘</w:t>
            </w:r>
          </w:p>
        </w:tc>
        <w:tc>
          <w:tcPr>
            <w:tcW w:w="1022" w:type="pct"/>
            <w:tcBorders>
              <w:tl2br w:val="nil"/>
              <w:tr2bl w:val="nil"/>
            </w:tcBorders>
            <w:noWrap w:val="0"/>
            <w:vAlign w:val="center"/>
          </w:tcPr>
          <w:p w14:paraId="24E5A8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粉尘收集后返回生产线做原料</w:t>
            </w:r>
          </w:p>
        </w:tc>
        <w:tc>
          <w:tcPr>
            <w:tcW w:w="722" w:type="pct"/>
            <w:tcBorders>
              <w:tl2br w:val="nil"/>
              <w:tr2bl w:val="nil"/>
            </w:tcBorders>
            <w:noWrap w:val="0"/>
            <w:vAlign w:val="center"/>
          </w:tcPr>
          <w:p w14:paraId="2F8FE5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 xml:space="preserve">0.1206 </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2E095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p>
        </w:tc>
      </w:tr>
      <w:tr w14:paraId="31AC2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505ED9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14:paraId="5EF56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57" w:type="pct"/>
            <w:tcBorders>
              <w:tl2br w:val="nil"/>
              <w:tr2bl w:val="nil"/>
            </w:tcBorders>
            <w:noWrap w:val="0"/>
            <w:vAlign w:val="center"/>
          </w:tcPr>
          <w:p w14:paraId="7B6653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纯水制备</w:t>
            </w:r>
          </w:p>
        </w:tc>
        <w:tc>
          <w:tcPr>
            <w:tcW w:w="791" w:type="pct"/>
            <w:gridSpan w:val="2"/>
            <w:tcBorders>
              <w:tl2br w:val="nil"/>
              <w:tr2bl w:val="nil"/>
            </w:tcBorders>
            <w:noWrap w:val="0"/>
            <w:vAlign w:val="center"/>
          </w:tcPr>
          <w:p w14:paraId="44923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 RO 膜</w:t>
            </w:r>
          </w:p>
        </w:tc>
        <w:tc>
          <w:tcPr>
            <w:tcW w:w="1022" w:type="pct"/>
            <w:tcBorders>
              <w:tl2br w:val="nil"/>
              <w:tr2bl w:val="nil"/>
            </w:tcBorders>
            <w:noWrap w:val="0"/>
            <w:vAlign w:val="center"/>
          </w:tcPr>
          <w:p w14:paraId="18F4E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由厂家上门更换并对废RO膜进行回收处置</w:t>
            </w:r>
          </w:p>
        </w:tc>
        <w:tc>
          <w:tcPr>
            <w:tcW w:w="722" w:type="pct"/>
            <w:tcBorders>
              <w:tl2br w:val="nil"/>
              <w:tr2bl w:val="nil"/>
            </w:tcBorders>
            <w:noWrap w:val="0"/>
            <w:vAlign w:val="center"/>
          </w:tcPr>
          <w:p w14:paraId="6FFFB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0.01kg/a</w:t>
            </w:r>
          </w:p>
        </w:tc>
        <w:tc>
          <w:tcPr>
            <w:tcW w:w="1245" w:type="pct"/>
            <w:vMerge w:val="continue"/>
            <w:tcBorders>
              <w:tl2br w:val="nil"/>
              <w:tr2bl w:val="nil"/>
            </w:tcBorders>
            <w:noWrap w:val="0"/>
            <w:vAlign w:val="center"/>
          </w:tcPr>
          <w:p w14:paraId="56E94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p>
        </w:tc>
      </w:tr>
      <w:tr w14:paraId="7194F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56F52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14:paraId="1AA6B7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FF"/>
                <w:kern w:val="0"/>
                <w:sz w:val="21"/>
                <w:szCs w:val="21"/>
                <w:highlight w:val="none"/>
                <w:lang w:val="en-US" w:eastAsia="zh-CN"/>
              </w:rPr>
            </w:pPr>
          </w:p>
        </w:tc>
        <w:tc>
          <w:tcPr>
            <w:tcW w:w="557" w:type="pct"/>
            <w:tcBorders>
              <w:tl2br w:val="nil"/>
              <w:tr2bl w:val="nil"/>
            </w:tcBorders>
            <w:noWrap w:val="0"/>
            <w:vAlign w:val="center"/>
          </w:tcPr>
          <w:p w14:paraId="33706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原料储存</w:t>
            </w:r>
          </w:p>
        </w:tc>
        <w:tc>
          <w:tcPr>
            <w:tcW w:w="791" w:type="pct"/>
            <w:gridSpan w:val="2"/>
            <w:tcBorders>
              <w:tl2br w:val="nil"/>
              <w:tr2bl w:val="nil"/>
            </w:tcBorders>
            <w:noWrap w:val="0"/>
            <w:vAlign w:val="center"/>
          </w:tcPr>
          <w:p w14:paraId="634BB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FF"/>
                <w:kern w:val="0"/>
                <w:sz w:val="21"/>
                <w:szCs w:val="21"/>
                <w:highlight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废包装材料</w:t>
            </w:r>
          </w:p>
        </w:tc>
        <w:tc>
          <w:tcPr>
            <w:tcW w:w="1022" w:type="pct"/>
            <w:tcBorders>
              <w:tl2br w:val="nil"/>
              <w:tr2bl w:val="nil"/>
            </w:tcBorders>
            <w:noWrap w:val="0"/>
            <w:vAlign w:val="center"/>
          </w:tcPr>
          <w:p w14:paraId="11799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收集后交由厂家回收</w:t>
            </w:r>
          </w:p>
        </w:tc>
        <w:tc>
          <w:tcPr>
            <w:tcW w:w="722" w:type="pct"/>
            <w:tcBorders>
              <w:tl2br w:val="nil"/>
              <w:tr2bl w:val="nil"/>
            </w:tcBorders>
            <w:noWrap w:val="0"/>
            <w:vAlign w:val="center"/>
          </w:tcPr>
          <w:p w14:paraId="613EF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highlight w:val="none"/>
                <w:u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1DD6C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highlight w:val="none"/>
                <w:u w:val="none"/>
                <w:lang w:val="en-US" w:eastAsia="zh-CN"/>
              </w:rPr>
            </w:pPr>
          </w:p>
        </w:tc>
      </w:tr>
      <w:tr w14:paraId="5C691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20978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14:paraId="5A9FE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FF"/>
                <w:kern w:val="0"/>
                <w:sz w:val="21"/>
                <w:szCs w:val="21"/>
                <w:highlight w:val="none"/>
                <w:lang w:val="en-US" w:eastAsia="zh-CN"/>
              </w:rPr>
            </w:pPr>
          </w:p>
        </w:tc>
        <w:tc>
          <w:tcPr>
            <w:tcW w:w="557" w:type="pct"/>
            <w:tcBorders>
              <w:tl2br w:val="nil"/>
              <w:tr2bl w:val="nil"/>
            </w:tcBorders>
            <w:noWrap w:val="0"/>
            <w:vAlign w:val="center"/>
          </w:tcPr>
          <w:p w14:paraId="6AFD6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产品检验</w:t>
            </w:r>
          </w:p>
        </w:tc>
        <w:tc>
          <w:tcPr>
            <w:tcW w:w="791" w:type="pct"/>
            <w:gridSpan w:val="2"/>
            <w:tcBorders>
              <w:tl2br w:val="nil"/>
              <w:tr2bl w:val="nil"/>
            </w:tcBorders>
            <w:noWrap w:val="0"/>
            <w:vAlign w:val="center"/>
          </w:tcPr>
          <w:p w14:paraId="5BAD43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FF"/>
                <w:kern w:val="0"/>
                <w:sz w:val="21"/>
                <w:szCs w:val="21"/>
                <w:highlight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实验室检验成品</w:t>
            </w:r>
          </w:p>
        </w:tc>
        <w:tc>
          <w:tcPr>
            <w:tcW w:w="1022" w:type="pct"/>
            <w:tcBorders>
              <w:tl2br w:val="nil"/>
              <w:tr2bl w:val="nil"/>
            </w:tcBorders>
            <w:noWrap w:val="0"/>
            <w:vAlign w:val="center"/>
          </w:tcPr>
          <w:p w14:paraId="3444B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sz w:val="21"/>
                <w:szCs w:val="21"/>
                <w:highlight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回用于工艺</w:t>
            </w:r>
          </w:p>
        </w:tc>
        <w:tc>
          <w:tcPr>
            <w:tcW w:w="722" w:type="pct"/>
            <w:tcBorders>
              <w:tl2br w:val="nil"/>
              <w:tr2bl w:val="nil"/>
            </w:tcBorders>
            <w:noWrap w:val="0"/>
            <w:vAlign w:val="center"/>
          </w:tcPr>
          <w:p w14:paraId="0E7A88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highlight w:val="none"/>
                <w:u w:val="none"/>
                <w:lang w:val="en-US" w:eastAsia="zh-CN"/>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0.01</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0D930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highlight w:val="none"/>
                <w:u w:val="none"/>
                <w:lang w:val="en-US" w:eastAsia="zh-CN"/>
              </w:rPr>
            </w:pPr>
          </w:p>
        </w:tc>
      </w:tr>
      <w:tr w14:paraId="3F75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2D3F6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42" w:type="pct"/>
            <w:vMerge w:val="restart"/>
            <w:tcBorders>
              <w:tl2br w:val="nil"/>
              <w:tr2bl w:val="nil"/>
            </w:tcBorders>
            <w:noWrap w:val="0"/>
            <w:vAlign w:val="center"/>
          </w:tcPr>
          <w:p w14:paraId="36B14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tc>
        <w:tc>
          <w:tcPr>
            <w:tcW w:w="557" w:type="pct"/>
            <w:tcBorders>
              <w:tl2br w:val="nil"/>
              <w:tr2bl w:val="nil"/>
            </w:tcBorders>
            <w:noWrap w:val="0"/>
            <w:vAlign w:val="center"/>
          </w:tcPr>
          <w:p w14:paraId="4083AC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废气处理</w:t>
            </w:r>
          </w:p>
        </w:tc>
        <w:tc>
          <w:tcPr>
            <w:tcW w:w="791" w:type="pct"/>
            <w:gridSpan w:val="2"/>
            <w:tcBorders>
              <w:tl2br w:val="nil"/>
              <w:tr2bl w:val="nil"/>
            </w:tcBorders>
            <w:noWrap w:val="0"/>
            <w:vAlign w:val="center"/>
          </w:tcPr>
          <w:p w14:paraId="0F2BCB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auto"/>
                <w:kern w:val="0"/>
                <w:sz w:val="21"/>
                <w:szCs w:val="21"/>
                <w:highlight w:val="none"/>
                <w:lang w:val="en-US" w:eastAsia="zh-CN"/>
              </w:rPr>
              <w:t>废活性炭</w:t>
            </w:r>
          </w:p>
        </w:tc>
        <w:tc>
          <w:tcPr>
            <w:tcW w:w="1022" w:type="pct"/>
            <w:tcBorders>
              <w:tl2br w:val="nil"/>
              <w:tr2bl w:val="nil"/>
            </w:tcBorders>
            <w:noWrap w:val="0"/>
            <w:vAlign w:val="center"/>
          </w:tcPr>
          <w:p w14:paraId="12D14F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722" w:type="pct"/>
            <w:tcBorders>
              <w:tl2br w:val="nil"/>
              <w:tr2bl w:val="nil"/>
            </w:tcBorders>
            <w:noWrap w:val="0"/>
            <w:vAlign w:val="center"/>
          </w:tcPr>
          <w:p w14:paraId="205BCC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b w:val="0"/>
                <w:bCs/>
                <w:color w:val="auto"/>
                <w:sz w:val="21"/>
                <w:szCs w:val="21"/>
                <w:highlight w:val="none"/>
                <w:lang w:val="en-US" w:eastAsia="zh-CN"/>
              </w:rPr>
              <w:t>3.654</w:t>
            </w:r>
            <w:r>
              <w:rPr>
                <w:rFonts w:hint="default" w:ascii="Times New Roman" w:hAnsi="Times New Roman" w:eastAsia="宋体" w:cs="Times New Roman"/>
                <w:color w:val="auto"/>
                <w:sz w:val="21"/>
                <w:szCs w:val="21"/>
                <w:highlight w:val="none"/>
              </w:rPr>
              <w:t>/a</w:t>
            </w:r>
          </w:p>
        </w:tc>
        <w:tc>
          <w:tcPr>
            <w:tcW w:w="1245" w:type="pct"/>
            <w:vMerge w:val="restart"/>
            <w:tcBorders>
              <w:tl2br w:val="nil"/>
              <w:tr2bl w:val="nil"/>
            </w:tcBorders>
            <w:noWrap w:val="0"/>
            <w:vAlign w:val="center"/>
          </w:tcPr>
          <w:p w14:paraId="64A85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highlight w:val="none"/>
                <w:u w:val="none"/>
                <w:lang w:val="en-US" w:eastAsia="zh-CN"/>
              </w:rPr>
            </w:pPr>
            <w:r>
              <w:rPr>
                <w:rFonts w:hint="default" w:ascii="Times New Roman" w:hAnsi="Times New Roman" w:eastAsia="宋体" w:cs="Times New Roman"/>
                <w:b w:val="0"/>
                <w:bCs/>
                <w:color w:val="auto"/>
                <w:kern w:val="2"/>
                <w:sz w:val="21"/>
                <w:szCs w:val="21"/>
                <w:highlight w:val="none"/>
                <w:u w:val="none"/>
                <w:lang w:val="en-US" w:eastAsia="zh-CN"/>
              </w:rPr>
              <w:t>《危险废物贮存污染控制标准》（GB 18597—2023）</w:t>
            </w:r>
          </w:p>
        </w:tc>
      </w:tr>
      <w:tr w14:paraId="20902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714F9C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14:paraId="2BECC0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57" w:type="pct"/>
            <w:tcBorders>
              <w:tl2br w:val="nil"/>
              <w:tr2bl w:val="nil"/>
            </w:tcBorders>
            <w:noWrap w:val="0"/>
            <w:vAlign w:val="center"/>
          </w:tcPr>
          <w:p w14:paraId="07BA64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设备运行</w:t>
            </w:r>
          </w:p>
        </w:tc>
        <w:tc>
          <w:tcPr>
            <w:tcW w:w="791" w:type="pct"/>
            <w:gridSpan w:val="2"/>
            <w:tcBorders>
              <w:tl2br w:val="nil"/>
              <w:tr2bl w:val="nil"/>
            </w:tcBorders>
            <w:noWrap w:val="0"/>
            <w:vAlign w:val="center"/>
          </w:tcPr>
          <w:p w14:paraId="12C8F5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auto"/>
                <w:kern w:val="0"/>
                <w:sz w:val="21"/>
                <w:szCs w:val="21"/>
                <w:highlight w:val="none"/>
                <w:lang w:val="en-US" w:eastAsia="zh-CN"/>
              </w:rPr>
              <w:t>废导热油</w:t>
            </w:r>
          </w:p>
        </w:tc>
        <w:tc>
          <w:tcPr>
            <w:tcW w:w="1022" w:type="pct"/>
            <w:tcBorders>
              <w:tl2br w:val="nil"/>
              <w:tr2bl w:val="nil"/>
            </w:tcBorders>
            <w:noWrap w:val="0"/>
            <w:vAlign w:val="center"/>
          </w:tcPr>
          <w:p w14:paraId="7D1B0C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722" w:type="pct"/>
            <w:tcBorders>
              <w:tl2br w:val="nil"/>
              <w:tr2bl w:val="nil"/>
            </w:tcBorders>
            <w:noWrap w:val="0"/>
            <w:vAlign w:val="center"/>
          </w:tcPr>
          <w:p w14:paraId="7BFB90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kern w:val="2"/>
                <w:sz w:val="21"/>
                <w:szCs w:val="21"/>
                <w:highlight w:val="none"/>
                <w:u w:val="none"/>
                <w:lang w:val="en-US" w:eastAsia="zh-CN" w:bidi="ar-SA"/>
              </w:rPr>
              <w:t>0.3</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7E01EF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FF"/>
                <w:kern w:val="2"/>
                <w:sz w:val="21"/>
                <w:szCs w:val="21"/>
                <w:highlight w:val="none"/>
                <w:u w:val="none"/>
                <w:lang w:val="en-US" w:eastAsia="zh-CN" w:bidi="ar-SA"/>
              </w:rPr>
            </w:pPr>
          </w:p>
        </w:tc>
      </w:tr>
      <w:tr w14:paraId="3AE79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5F0A4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42" w:type="pct"/>
            <w:vMerge w:val="continue"/>
            <w:tcBorders>
              <w:tl2br w:val="nil"/>
              <w:tr2bl w:val="nil"/>
            </w:tcBorders>
            <w:noWrap w:val="0"/>
            <w:vAlign w:val="center"/>
          </w:tcPr>
          <w:p w14:paraId="09D91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57" w:type="pct"/>
            <w:tcBorders>
              <w:tl2br w:val="nil"/>
              <w:tr2bl w:val="nil"/>
            </w:tcBorders>
            <w:noWrap w:val="0"/>
            <w:vAlign w:val="center"/>
          </w:tcPr>
          <w:p w14:paraId="771AB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highlight w:val="none"/>
                <w:lang w:val="en-US" w:eastAsia="zh-CN"/>
              </w:rPr>
            </w:pPr>
            <w:r>
              <w:rPr>
                <w:rFonts w:hint="default" w:ascii="Times New Roman" w:hAnsi="Times New Roman" w:eastAsia="宋体" w:cs="Times New Roman"/>
                <w:b w:val="0"/>
                <w:bCs/>
                <w:snapToGrid w:val="0"/>
                <w:color w:val="auto"/>
                <w:kern w:val="0"/>
                <w:sz w:val="21"/>
                <w:szCs w:val="21"/>
                <w:highlight w:val="none"/>
                <w:lang w:val="en-US" w:eastAsia="zh-CN"/>
              </w:rPr>
              <w:t>产品检验</w:t>
            </w:r>
          </w:p>
        </w:tc>
        <w:tc>
          <w:tcPr>
            <w:tcW w:w="791" w:type="pct"/>
            <w:gridSpan w:val="2"/>
            <w:tcBorders>
              <w:tl2br w:val="nil"/>
              <w:tr2bl w:val="nil"/>
            </w:tcBorders>
            <w:noWrap w:val="0"/>
            <w:vAlign w:val="center"/>
          </w:tcPr>
          <w:p w14:paraId="542977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kern w:val="2"/>
                <w:sz w:val="21"/>
                <w:szCs w:val="21"/>
                <w:highlight w:val="none"/>
                <w:u w:val="none"/>
                <w:lang w:val="en-US" w:eastAsia="zh-CN" w:bidi="ar-SA"/>
              </w:rPr>
              <w:t>实验室废液</w:t>
            </w:r>
          </w:p>
        </w:tc>
        <w:tc>
          <w:tcPr>
            <w:tcW w:w="1022" w:type="pct"/>
            <w:tcBorders>
              <w:tl2br w:val="nil"/>
              <w:tr2bl w:val="nil"/>
            </w:tcBorders>
            <w:noWrap w:val="0"/>
            <w:vAlign w:val="center"/>
          </w:tcPr>
          <w:p w14:paraId="593FC3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暂存于危废间，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p>
        </w:tc>
        <w:tc>
          <w:tcPr>
            <w:tcW w:w="722" w:type="pct"/>
            <w:tcBorders>
              <w:tl2br w:val="nil"/>
              <w:tr2bl w:val="nil"/>
            </w:tcBorders>
            <w:noWrap w:val="0"/>
            <w:vAlign w:val="center"/>
          </w:tcPr>
          <w:p w14:paraId="2152B9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auto"/>
                <w:kern w:val="0"/>
                <w:sz w:val="21"/>
                <w:szCs w:val="21"/>
                <w:highlight w:val="none"/>
                <w:lang w:val="en-US" w:eastAsia="zh-CN"/>
              </w:rPr>
              <w:t>0.06</w:t>
            </w:r>
            <w:r>
              <w:rPr>
                <w:rFonts w:hint="default" w:ascii="Times New Roman" w:hAnsi="Times New Roman" w:eastAsia="宋体" w:cs="Times New Roman"/>
                <w:color w:val="auto"/>
                <w:sz w:val="21"/>
                <w:szCs w:val="21"/>
                <w:highlight w:val="none"/>
              </w:rPr>
              <w:t>t/a</w:t>
            </w:r>
          </w:p>
        </w:tc>
        <w:tc>
          <w:tcPr>
            <w:tcW w:w="1245" w:type="pct"/>
            <w:vMerge w:val="continue"/>
            <w:tcBorders>
              <w:tl2br w:val="nil"/>
              <w:tr2bl w:val="nil"/>
            </w:tcBorders>
            <w:noWrap w:val="0"/>
            <w:vAlign w:val="center"/>
          </w:tcPr>
          <w:p w14:paraId="25C93D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p>
        </w:tc>
      </w:tr>
      <w:tr w14:paraId="4E4DA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vMerge w:val="continue"/>
            <w:tcBorders>
              <w:tl2br w:val="nil"/>
              <w:tr2bl w:val="nil"/>
            </w:tcBorders>
            <w:noWrap w:val="0"/>
            <w:vAlign w:val="center"/>
          </w:tcPr>
          <w:p w14:paraId="355B6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9" w:type="pct"/>
            <w:gridSpan w:val="2"/>
            <w:tcBorders>
              <w:tl2br w:val="nil"/>
              <w:tr2bl w:val="nil"/>
            </w:tcBorders>
            <w:noWrap w:val="0"/>
            <w:vAlign w:val="center"/>
          </w:tcPr>
          <w:p w14:paraId="2419D7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员工生活</w:t>
            </w:r>
          </w:p>
        </w:tc>
        <w:tc>
          <w:tcPr>
            <w:tcW w:w="791" w:type="pct"/>
            <w:gridSpan w:val="2"/>
            <w:tcBorders>
              <w:tl2br w:val="nil"/>
              <w:tr2bl w:val="nil"/>
            </w:tcBorders>
            <w:noWrap w:val="0"/>
            <w:vAlign w:val="center"/>
          </w:tcPr>
          <w:p w14:paraId="252E08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生活垃圾</w:t>
            </w:r>
          </w:p>
        </w:tc>
        <w:tc>
          <w:tcPr>
            <w:tcW w:w="1022" w:type="pct"/>
            <w:tcBorders>
              <w:tl2br w:val="nil"/>
              <w:tr2bl w:val="nil"/>
            </w:tcBorders>
            <w:noWrap w:val="0"/>
            <w:vAlign w:val="center"/>
          </w:tcPr>
          <w:p w14:paraId="131BDA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收集后交由环卫部门处置</w:t>
            </w:r>
          </w:p>
        </w:tc>
        <w:tc>
          <w:tcPr>
            <w:tcW w:w="722" w:type="pct"/>
            <w:tcBorders>
              <w:tl2br w:val="nil"/>
              <w:tr2bl w:val="nil"/>
            </w:tcBorders>
            <w:noWrap w:val="0"/>
            <w:vAlign w:val="center"/>
          </w:tcPr>
          <w:p w14:paraId="492E5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2.7</w:t>
            </w:r>
            <w:r>
              <w:rPr>
                <w:rFonts w:hint="default" w:ascii="Times New Roman" w:hAnsi="Times New Roman" w:eastAsia="宋体" w:cs="Times New Roman"/>
                <w:color w:val="auto"/>
                <w:sz w:val="21"/>
                <w:szCs w:val="21"/>
                <w:highlight w:val="none"/>
              </w:rPr>
              <w:t>t/a</w:t>
            </w:r>
          </w:p>
        </w:tc>
        <w:tc>
          <w:tcPr>
            <w:tcW w:w="1245" w:type="pct"/>
            <w:tcBorders>
              <w:tl2br w:val="nil"/>
              <w:tr2bl w:val="nil"/>
            </w:tcBorders>
            <w:noWrap w:val="0"/>
            <w:vAlign w:val="center"/>
          </w:tcPr>
          <w:p w14:paraId="6370DA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w:t>
            </w:r>
          </w:p>
        </w:tc>
      </w:tr>
      <w:tr w14:paraId="59C2D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8" w:type="pct"/>
            <w:tcBorders>
              <w:tl2br w:val="nil"/>
              <w:tr2bl w:val="nil"/>
            </w:tcBorders>
            <w:noWrap w:val="0"/>
            <w:vAlign w:val="center"/>
          </w:tcPr>
          <w:p w14:paraId="188E59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噪声</w:t>
            </w:r>
          </w:p>
        </w:tc>
        <w:tc>
          <w:tcPr>
            <w:tcW w:w="3335" w:type="pct"/>
            <w:gridSpan w:val="6"/>
            <w:tcBorders>
              <w:tl2br w:val="nil"/>
              <w:tr2bl w:val="nil"/>
            </w:tcBorders>
            <w:noWrap w:val="0"/>
            <w:vAlign w:val="center"/>
          </w:tcPr>
          <w:p w14:paraId="26C86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auto"/>
                <w:sz w:val="21"/>
                <w:szCs w:val="21"/>
                <w:highlight w:val="none"/>
                <w:u w:val="none" w:color="auto"/>
              </w:rPr>
              <w:t>选用低噪设备、减振、吸声、隔声措施</w:t>
            </w:r>
          </w:p>
        </w:tc>
        <w:tc>
          <w:tcPr>
            <w:tcW w:w="1245" w:type="pct"/>
            <w:tcBorders>
              <w:tl2br w:val="nil"/>
              <w:tr2bl w:val="nil"/>
            </w:tcBorders>
            <w:noWrap w:val="0"/>
            <w:vAlign w:val="center"/>
          </w:tcPr>
          <w:p w14:paraId="465ABF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营运期东厂界、北厂界、南厂界执行《工业企业厂界环境噪声排放标准》（GB12348-2008）中的3 类区标准，西厂界执行《工业企业厂界环境噪声排放标准》（GB12348-2008）中的4 类区标准</w:t>
            </w:r>
          </w:p>
        </w:tc>
      </w:tr>
    </w:tbl>
    <w:p w14:paraId="12A0455A">
      <w:pPr>
        <w:pStyle w:val="7"/>
        <w:bidi w:val="0"/>
        <w:rPr>
          <w:highlight w:val="none"/>
        </w:rPr>
      </w:pPr>
      <w:bookmarkStart w:id="275" w:name="_Toc4879"/>
      <w:r>
        <w:rPr>
          <w:rFonts w:hint="eastAsia"/>
          <w:highlight w:val="none"/>
        </w:rPr>
        <w:t xml:space="preserve">9.1.4 </w:t>
      </w:r>
      <w:r>
        <w:rPr>
          <w:rFonts w:hint="default" w:ascii="Times New Roman" w:hAnsi="Times New Roman" w:eastAsia="宋体" w:cs="Times New Roman"/>
          <w:color w:val="auto"/>
          <w:szCs w:val="22"/>
          <w:highlight w:val="none"/>
          <w:u w:val="none" w:color="auto"/>
        </w:rPr>
        <w:t>主要污染物</w:t>
      </w:r>
      <w:r>
        <w:rPr>
          <w:highlight w:val="none"/>
        </w:rPr>
        <w:t>总量控制指标</w:t>
      </w:r>
      <w:bookmarkEnd w:id="275"/>
    </w:p>
    <w:p w14:paraId="1D35ECC2">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根据建设项目污染物排放特点，确定的污染物排放总量控制因子为：</w:t>
      </w:r>
      <w:r>
        <w:rPr>
          <w:rFonts w:hint="default" w:ascii="Times New Roman" w:hAnsi="Times New Roman" w:eastAsia="宋体" w:cs="Times New Roman"/>
          <w:color w:val="000000"/>
          <w:kern w:val="0"/>
          <w:sz w:val="24"/>
          <w:szCs w:val="24"/>
          <w:highlight w:val="none"/>
          <w:lang w:val="en-US" w:eastAsia="zh-CN" w:bidi="ar"/>
        </w:rPr>
        <w:t>COD</w:t>
      </w:r>
      <w:r>
        <w:rPr>
          <w:rFonts w:hint="default" w:ascii="Times New Roman" w:hAnsi="Times New Roman" w:eastAsia="宋体" w:cs="Times New Roman"/>
          <w:color w:val="000000"/>
          <w:kern w:val="0"/>
          <w:sz w:val="15"/>
          <w:szCs w:val="15"/>
          <w:highlight w:val="none"/>
          <w:lang w:val="en-US" w:eastAsia="zh-CN" w:bidi="ar"/>
        </w:rPr>
        <w:t>Cr</w:t>
      </w:r>
    </w:p>
    <w:p w14:paraId="29B3FA62">
      <w:pPr>
        <w:keepNext w:val="0"/>
        <w:keepLines w:val="0"/>
        <w:widowControl/>
        <w:suppressLineNumbers w:val="0"/>
        <w:jc w:val="left"/>
        <w:rPr>
          <w:highlight w:val="none"/>
        </w:rPr>
      </w:pPr>
      <w:r>
        <w:rPr>
          <w:rFonts w:hint="eastAsia" w:ascii="宋体" w:hAnsi="宋体" w:eastAsia="宋体" w:cs="宋体"/>
          <w:color w:val="000000"/>
          <w:kern w:val="0"/>
          <w:sz w:val="12"/>
          <w:szCs w:val="12"/>
          <w:highlight w:val="none"/>
          <w:lang w:val="en-US" w:eastAsia="zh-CN" w:bidi="ar"/>
        </w:rPr>
        <w:t xml:space="preserve">、 </w:t>
      </w:r>
      <w:r>
        <w:rPr>
          <w:rFonts w:hint="default" w:ascii="Times New Roman" w:hAnsi="Times New Roman" w:eastAsia="宋体" w:cs="Times New Roman"/>
          <w:color w:val="000000"/>
          <w:kern w:val="0"/>
          <w:sz w:val="24"/>
          <w:szCs w:val="24"/>
          <w:highlight w:val="none"/>
          <w:lang w:val="en-US" w:eastAsia="zh-CN" w:bidi="ar"/>
        </w:rPr>
        <w:t>NH</w:t>
      </w:r>
      <w:r>
        <w:rPr>
          <w:rFonts w:hint="default" w:ascii="Times New Roman" w:hAnsi="Times New Roman" w:eastAsia="宋体" w:cs="Times New Roman"/>
          <w:color w:val="000000"/>
          <w:kern w:val="0"/>
          <w:sz w:val="15"/>
          <w:szCs w:val="15"/>
          <w:highlight w:val="none"/>
          <w:lang w:val="en-US" w:eastAsia="zh-CN" w:bidi="ar"/>
        </w:rPr>
        <w:t>3</w:t>
      </w:r>
      <w:r>
        <w:rPr>
          <w:rFonts w:hint="default" w:ascii="Times New Roman" w:hAnsi="Times New Roman" w:eastAsia="宋体" w:cs="Times New Roman"/>
          <w:color w:val="000000"/>
          <w:kern w:val="0"/>
          <w:sz w:val="24"/>
          <w:szCs w:val="24"/>
          <w:highlight w:val="none"/>
          <w:lang w:val="en-US" w:eastAsia="zh-CN" w:bidi="ar"/>
        </w:rPr>
        <w:t>-N、挥发性有机物总量。</w:t>
      </w:r>
    </w:p>
    <w:p w14:paraId="65290D0C">
      <w:pPr>
        <w:pStyle w:val="2"/>
        <w:keepNext w:val="0"/>
        <w:keepLines w:val="0"/>
        <w:pageBreakBefore w:val="0"/>
        <w:kinsoku/>
        <w:wordWrap/>
        <w:overflowPunct/>
        <w:topLinePunct w:val="0"/>
        <w:autoSpaceDE/>
        <w:autoSpaceDN/>
        <w:bidi w:val="0"/>
        <w:adjustRightInd/>
        <w:snapToGrid/>
        <w:spacing w:before="0" w:after="0" w:line="360" w:lineRule="auto"/>
        <w:ind w:left="0" w:right="0" w:firstLine="479"/>
        <w:jc w:val="both"/>
        <w:textAlignment w:val="auto"/>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pP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1、废水总量指标</w:t>
      </w:r>
    </w:p>
    <w:p w14:paraId="6192D68F">
      <w:pPr>
        <w:pStyle w:val="2"/>
        <w:keepNext w:val="0"/>
        <w:keepLines w:val="0"/>
        <w:pageBreakBefore w:val="0"/>
        <w:kinsoku/>
        <w:wordWrap/>
        <w:overflowPunct/>
        <w:topLinePunct w:val="0"/>
        <w:autoSpaceDE/>
        <w:autoSpaceDN/>
        <w:bidi w:val="0"/>
        <w:adjustRightInd/>
        <w:snapToGrid/>
        <w:spacing w:before="0" w:after="0" w:line="360" w:lineRule="auto"/>
        <w:ind w:left="0" w:right="0" w:firstLine="479"/>
        <w:jc w:val="both"/>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本项目生产</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用水全部用于产品中不外排。</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搅拌罐设备清洗用水回用于生产不外排。冷却水循环利用不外排。</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地面清洁废水通过沉淀池沉淀后与纯水制备浓水一并进入园区污水管网，</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生活</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废水</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依托园区</w:t>
      </w:r>
      <w:r>
        <w:rPr>
          <w:rFonts w:hint="eastAsia" w:ascii="Times New Roman" w:hAnsi="Times New Roman" w:eastAsia="宋体" w:cs="Times New Roman"/>
          <w:color w:val="auto"/>
          <w:kern w:val="0"/>
          <w:sz w:val="24"/>
          <w:szCs w:val="24"/>
          <w:highlight w:val="none"/>
        </w:rPr>
        <w:t>创新创业基地</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隔油</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池与</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化粪池</w:t>
      </w:r>
      <w:r>
        <w:rPr>
          <w:rFonts w:hint="eastAsia" w:cs="Times New Roman" w:eastAsiaTheme="minorEastAsia"/>
          <w:color w:val="000000" w:themeColor="text1"/>
          <w:kern w:val="0"/>
          <w:sz w:val="24"/>
          <w:szCs w:val="24"/>
          <w:highlight w:val="none"/>
          <w:lang w:val="en-US" w:eastAsia="zh-CN" w:bidi="ar-SA"/>
          <w14:textFill>
            <w14:solidFill>
              <w14:schemeClr w14:val="tx1"/>
            </w14:solidFill>
          </w14:textFill>
        </w:rPr>
        <w:t>预</w:t>
      </w:r>
      <w:r>
        <w:rPr>
          <w:rFonts w:hint="eastAsia" w:ascii="Times New Roman" w:hAnsi="Times New Roman" w:cs="Times New Roman" w:eastAsiaTheme="minorEastAsia"/>
          <w:color w:val="000000" w:themeColor="text1"/>
          <w:kern w:val="0"/>
          <w:sz w:val="24"/>
          <w:szCs w:val="24"/>
          <w:highlight w:val="none"/>
          <w:lang w:val="en-US" w:eastAsia="zh-CN" w:bidi="ar-SA"/>
          <w14:textFill>
            <w14:solidFill>
              <w14:schemeClr w14:val="tx1"/>
            </w14:solidFill>
          </w14:textFill>
        </w:rPr>
        <w:t>处理进</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入园区污水管网。厂区各废水都最终通过厂区污水排口经园区污水管网进入岳阳高新技术产业园污水处理厂处理达标后排入新墙河。</w:t>
      </w:r>
    </w:p>
    <w:p w14:paraId="4DA4DA51">
      <w:pPr>
        <w:keepNext w:val="0"/>
        <w:keepLines w:val="0"/>
        <w:pageBreakBefore w:val="0"/>
        <w:widowControl/>
        <w:suppressLineNumbers w:val="0"/>
        <w:kinsoku/>
        <w:wordWrap/>
        <w:overflowPunct/>
        <w:topLinePunct w:val="0"/>
        <w:autoSpaceDE/>
        <w:autoSpaceDN/>
        <w:bidi w:val="0"/>
        <w:adjustRightInd/>
        <w:snapToGrid/>
        <w:ind w:left="0" w:right="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5"/>
          <w:sz w:val="24"/>
          <w:szCs w:val="24"/>
          <w:highlight w:val="none"/>
        </w:rPr>
        <w:t>项目外排废水需同时满足《污水综合排放</w:t>
      </w:r>
      <w:r>
        <w:rPr>
          <w:rFonts w:hint="default" w:ascii="Times New Roman" w:hAnsi="Times New Roman" w:eastAsia="宋体" w:cs="Times New Roman"/>
          <w:spacing w:val="-6"/>
          <w:sz w:val="24"/>
          <w:szCs w:val="24"/>
          <w:highlight w:val="none"/>
        </w:rPr>
        <w:t>标准》</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3"/>
          <w:sz w:val="24"/>
          <w:szCs w:val="24"/>
          <w:highlight w:val="none"/>
        </w:rPr>
        <w:t>（GB8978-1996）中表</w:t>
      </w:r>
      <w:r>
        <w:rPr>
          <w:rFonts w:hint="default" w:ascii="Times New Roman" w:hAnsi="Times New Roman" w:eastAsia="宋体" w:cs="Times New Roman"/>
          <w:spacing w:val="-56"/>
          <w:sz w:val="24"/>
          <w:szCs w:val="24"/>
          <w:highlight w:val="none"/>
        </w:rPr>
        <w:t xml:space="preserve"> </w:t>
      </w:r>
      <w:r>
        <w:rPr>
          <w:rFonts w:hint="default" w:ascii="Times New Roman" w:hAnsi="Times New Roman" w:eastAsia="宋体" w:cs="Times New Roman"/>
          <w:spacing w:val="-3"/>
          <w:sz w:val="24"/>
          <w:szCs w:val="24"/>
          <w:highlight w:val="none"/>
        </w:rPr>
        <w:t>4 三级标准以及岳阳高新技术产业园区污水处理厂接管标准要求，</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pacing w:val="18"/>
          <w:sz w:val="24"/>
          <w:szCs w:val="24"/>
          <w:highlight w:val="none"/>
        </w:rPr>
        <w:t>经岳阳高新技术产业园区污水处理厂处理达《城镇污水处理厂污染物排放标准》</w:t>
      </w:r>
      <w:r>
        <w:rPr>
          <w:rFonts w:hint="default" w:ascii="Times New Roman" w:hAnsi="Times New Roman" w:eastAsia="宋体" w:cs="Times New Roman"/>
          <w:spacing w:val="-1"/>
          <w:sz w:val="24"/>
          <w:szCs w:val="24"/>
          <w:highlight w:val="none"/>
        </w:rPr>
        <w:t>（GB18918-2002）及修改单中一级</w:t>
      </w:r>
      <w:r>
        <w:rPr>
          <w:rFonts w:hint="default" w:ascii="Times New Roman" w:hAnsi="Times New Roman" w:eastAsia="宋体" w:cs="Times New Roman"/>
          <w:spacing w:val="-48"/>
          <w:sz w:val="24"/>
          <w:szCs w:val="24"/>
          <w:highlight w:val="none"/>
        </w:rPr>
        <w:t xml:space="preserve"> </w:t>
      </w:r>
      <w:r>
        <w:rPr>
          <w:rFonts w:hint="default" w:ascii="Times New Roman" w:hAnsi="Times New Roman" w:eastAsia="宋体" w:cs="Times New Roman"/>
          <w:spacing w:val="-1"/>
          <w:sz w:val="24"/>
          <w:szCs w:val="24"/>
          <w:highlight w:val="none"/>
        </w:rPr>
        <w:t>A 标准</w:t>
      </w:r>
      <w:r>
        <w:rPr>
          <w:rFonts w:hint="default"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color w:val="000000"/>
          <w:kern w:val="0"/>
          <w:sz w:val="24"/>
          <w:szCs w:val="24"/>
          <w:highlight w:val="none"/>
          <w:lang w:val="en-US" w:eastAsia="zh-CN" w:bidi="ar"/>
        </w:rPr>
        <w:t>CODr 排放浓度为 50mg/L， 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 排放浓度为 5mg/L。</w:t>
      </w:r>
    </w:p>
    <w:p w14:paraId="5E80F0CD">
      <w:pPr>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sz w:val="24"/>
          <w:szCs w:val="24"/>
          <w:highlight w:val="none"/>
        </w:rPr>
        <w:t>综合，本项目排入岳阳高新技术产业园污水处理厂的废水总量为779.2m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rPr>
        <w:t>/a。经污水处理厂处理后排入环境的污染物总量</w:t>
      </w:r>
      <w:r>
        <w:rPr>
          <w:rFonts w:hint="default" w:ascii="Times New Roman" w:hAnsi="Times New Roman" w:eastAsia="宋体" w:cs="Times New Roman"/>
          <w:color w:val="000000"/>
          <w:kern w:val="0"/>
          <w:sz w:val="24"/>
          <w:szCs w:val="24"/>
          <w:highlight w:val="none"/>
          <w:lang w:val="en-US" w:eastAsia="zh-CN" w:bidi="ar"/>
        </w:rPr>
        <w:t>CODr为0.039t/a，NH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-N为0.0039t/a。</w:t>
      </w:r>
    </w:p>
    <w:p w14:paraId="3DD8A9BA">
      <w:pPr>
        <w:keepNext w:val="0"/>
        <w:keepLines w:val="0"/>
        <w:pageBreakBefore w:val="0"/>
        <w:numPr>
          <w:ilvl w:val="0"/>
          <w:numId w:val="0"/>
        </w:numPr>
        <w:tabs>
          <w:tab w:val="left" w:pos="624"/>
        </w:tabs>
        <w:kinsoku/>
        <w:wordWrap/>
        <w:overflowPunct/>
        <w:topLinePunct w:val="0"/>
        <w:autoSpaceDE/>
        <w:autoSpaceDN/>
        <w:bidi w:val="0"/>
        <w:adjustRightInd/>
        <w:spacing w:line="360" w:lineRule="auto"/>
        <w:ind w:leftChars="0" w:right="0" w:rightChars="0"/>
        <w:jc w:val="both"/>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 xml:space="preserve">   2、</w:t>
      </w:r>
      <w:r>
        <w:rPr>
          <w:rFonts w:hint="default" w:ascii="Times New Roman" w:hAnsi="Times New Roman" w:eastAsia="宋体" w:cs="Times New Roman"/>
          <w:sz w:val="24"/>
          <w:szCs w:val="24"/>
          <w:highlight w:val="none"/>
          <w:lang w:val="en-US" w:eastAsia="zh-CN"/>
        </w:rPr>
        <w:t>挥发性有机物总量</w:t>
      </w:r>
    </w:p>
    <w:p w14:paraId="50C2FD08">
      <w:pPr>
        <w:keepNext w:val="0"/>
        <w:keepLines w:val="0"/>
        <w:pageBreakBefore w:val="0"/>
        <w:widowControl/>
        <w:suppressLineNumbers w:val="0"/>
        <w:kinsoku/>
        <w:wordWrap/>
        <w:overflowPunct/>
        <w:topLinePunct w:val="0"/>
        <w:autoSpaceDE/>
        <w:autoSpaceDN/>
        <w:bidi w:val="0"/>
        <w:adjustRightInd/>
        <w:snapToGrid/>
        <w:ind w:left="0" w:right="0"/>
        <w:jc w:val="both"/>
        <w:textAlignment w:val="auto"/>
        <w:rPr>
          <w:rFonts w:hint="default" w:ascii="Times New Roman" w:hAnsi="Times New Roman" w:eastAsia="宋体" w:cs="Times New Roman"/>
          <w:spacing w:val="-1"/>
          <w:sz w:val="24"/>
          <w:szCs w:val="24"/>
          <w:highlight w:val="none"/>
        </w:rPr>
      </w:pPr>
      <w:r>
        <w:rPr>
          <w:rFonts w:hint="default" w:ascii="Times New Roman" w:hAnsi="Times New Roman" w:eastAsia="宋体" w:cs="Times New Roman"/>
          <w:spacing w:val="-1"/>
          <w:sz w:val="24"/>
          <w:szCs w:val="24"/>
          <w:highlight w:val="none"/>
          <w:lang w:val="en-US" w:eastAsia="zh-CN"/>
        </w:rPr>
        <w:t>助剂冷却废气</w:t>
      </w:r>
      <w:r>
        <w:rPr>
          <w:rFonts w:hint="default" w:ascii="Times New Roman" w:hAnsi="Times New Roman" w:eastAsia="宋体" w:cs="Times New Roman"/>
          <w:spacing w:val="-1"/>
          <w:sz w:val="24"/>
          <w:szCs w:val="24"/>
          <w:highlight w:val="none"/>
        </w:rPr>
        <w:t>中含有 VOCs 。故本项目需要申请总量主要为 VOCs：0.</w:t>
      </w:r>
      <w:r>
        <w:rPr>
          <w:rFonts w:hint="eastAsia" w:eastAsia="宋体" w:cs="Times New Roman"/>
          <w:spacing w:val="-1"/>
          <w:sz w:val="24"/>
          <w:szCs w:val="24"/>
          <w:highlight w:val="none"/>
          <w:lang w:val="en-US" w:eastAsia="zh-CN"/>
        </w:rPr>
        <w:t>3364</w:t>
      </w:r>
      <w:r>
        <w:rPr>
          <w:rFonts w:hint="default" w:ascii="Times New Roman" w:hAnsi="Times New Roman" w:eastAsia="宋体" w:cs="Times New Roman"/>
          <w:spacing w:val="-1"/>
          <w:sz w:val="24"/>
          <w:szCs w:val="24"/>
          <w:highlight w:val="none"/>
          <w:lang w:val="en-US" w:eastAsia="zh-CN"/>
        </w:rPr>
        <w:t>t</w:t>
      </w:r>
      <w:r>
        <w:rPr>
          <w:rFonts w:hint="default" w:ascii="Times New Roman" w:hAnsi="Times New Roman" w:eastAsia="宋体" w:cs="Times New Roman"/>
          <w:spacing w:val="-1"/>
          <w:sz w:val="24"/>
          <w:szCs w:val="24"/>
          <w:highlight w:val="none"/>
        </w:rPr>
        <w:t>/a。</w:t>
      </w:r>
    </w:p>
    <w:p w14:paraId="4483F537">
      <w:pPr>
        <w:pStyle w:val="6"/>
        <w:bidi w:val="0"/>
        <w:rPr>
          <w:highlight w:val="none"/>
          <w:lang w:val="en-US" w:eastAsia="zh-CN"/>
        </w:rPr>
      </w:pPr>
      <w:bookmarkStart w:id="276" w:name="_Toc23429"/>
      <w:r>
        <w:rPr>
          <w:highlight w:val="none"/>
          <w:lang w:val="en-US" w:eastAsia="zh-CN"/>
        </w:rPr>
        <w:t>9.2 环境监测计划</w:t>
      </w:r>
      <w:bookmarkEnd w:id="276"/>
    </w:p>
    <w:p w14:paraId="3C904B7B">
      <w:pPr>
        <w:keepNext w:val="0"/>
        <w:keepLines w:val="0"/>
        <w:pageBreakBefore w:val="0"/>
        <w:widowControl/>
        <w:suppressLineNumbers w:val="0"/>
        <w:kinsoku/>
        <w:wordWrap/>
        <w:overflowPunct/>
        <w:topLinePunct w:val="0"/>
        <w:autoSpaceDE/>
        <w:autoSpaceDN/>
        <w:bidi w:val="0"/>
        <w:adjustRightInd/>
        <w:snapToGrid/>
        <w:ind w:left="0" w:right="0"/>
        <w:jc w:val="both"/>
        <w:textAlignment w:val="auto"/>
        <w:rPr>
          <w:rFonts w:hint="eastAsia" w:eastAsia="宋体" w:cs="Times New Roman"/>
          <w:spacing w:val="-1"/>
          <w:sz w:val="24"/>
          <w:szCs w:val="24"/>
          <w:highlight w:val="none"/>
          <w:lang w:val="en-US" w:eastAsia="zh-CN"/>
        </w:rPr>
      </w:pPr>
      <w:r>
        <w:rPr>
          <w:rFonts w:hint="eastAsia" w:ascii="Times New Roman" w:hAnsi="Times New Roman" w:eastAsia="宋体" w:cs="Times New Roman"/>
          <w:spacing w:val="-1"/>
          <w:sz w:val="24"/>
          <w:szCs w:val="24"/>
          <w:highlight w:val="none"/>
          <w:lang w:val="en-US" w:eastAsia="zh-CN"/>
        </w:rPr>
        <w:t>本项目建设单位按照《排污单位自行监测技术指南总则》（</w:t>
      </w:r>
      <w:r>
        <w:rPr>
          <w:rFonts w:hint="default" w:ascii="Times New Roman" w:hAnsi="Times New Roman" w:eastAsia="宋体" w:cs="Times New Roman"/>
          <w:spacing w:val="-1"/>
          <w:sz w:val="24"/>
          <w:szCs w:val="24"/>
          <w:highlight w:val="none"/>
          <w:lang w:val="en-US" w:eastAsia="zh-CN"/>
        </w:rPr>
        <w:t>HJ819-2017</w:t>
      </w:r>
      <w:r>
        <w:rPr>
          <w:rFonts w:hint="eastAsia" w:ascii="Times New Roman" w:hAnsi="Times New Roman" w:eastAsia="宋体" w:cs="Times New Roman"/>
          <w:spacing w:val="-1"/>
          <w:sz w:val="24"/>
          <w:szCs w:val="24"/>
          <w:highlight w:val="none"/>
          <w:lang w:val="en-US" w:eastAsia="zh-CN"/>
        </w:rPr>
        <w:t>），同时参照《排污许可证申请与核发技术规范 专用化学产品制造工业》（HJ1103-2020），要求并结合本项目的污染源及污染物排放特点，制定本项目污染源监测计划</w:t>
      </w:r>
      <w:r>
        <w:rPr>
          <w:rFonts w:hint="eastAsia" w:eastAsia="宋体" w:cs="Times New Roman"/>
          <w:spacing w:val="-1"/>
          <w:sz w:val="24"/>
          <w:szCs w:val="24"/>
          <w:highlight w:val="none"/>
          <w:lang w:val="en-US" w:eastAsia="zh-CN"/>
        </w:rPr>
        <w:t>和环</w:t>
      </w:r>
      <w:r>
        <w:rPr>
          <w:rFonts w:hint="eastAsia" w:ascii="Times New Roman" w:hAnsi="Times New Roman" w:eastAsia="宋体" w:cs="Times New Roman"/>
          <w:spacing w:val="-1"/>
          <w:sz w:val="24"/>
          <w:szCs w:val="24"/>
          <w:highlight w:val="none"/>
          <w:lang w:val="en-US" w:eastAsia="zh-CN"/>
        </w:rPr>
        <w:t>境质量现状监测计划</w:t>
      </w:r>
      <w:r>
        <w:rPr>
          <w:rFonts w:hint="eastAsia" w:eastAsia="宋体" w:cs="Times New Roman"/>
          <w:spacing w:val="-1"/>
          <w:sz w:val="24"/>
          <w:szCs w:val="24"/>
          <w:highlight w:val="none"/>
          <w:lang w:val="en-US" w:eastAsia="zh-CN"/>
        </w:rPr>
        <w:t>。</w:t>
      </w:r>
    </w:p>
    <w:p w14:paraId="65B693EA">
      <w:pPr>
        <w:pStyle w:val="2"/>
        <w:rPr>
          <w:rFonts w:hint="default"/>
          <w:b/>
          <w:bCs/>
          <w:highlight w:val="none"/>
          <w:lang w:val="en-US"/>
        </w:rPr>
      </w:pPr>
      <w:r>
        <w:rPr>
          <w:rFonts w:hint="eastAsia" w:cs="Times New Roman"/>
          <w:b/>
          <w:bCs/>
          <w:spacing w:val="-1"/>
          <w:sz w:val="24"/>
          <w:szCs w:val="24"/>
          <w:highlight w:val="none"/>
          <w:lang w:val="en-US" w:eastAsia="zh-CN"/>
        </w:rPr>
        <w:t>1、污染源监测计划</w:t>
      </w:r>
    </w:p>
    <w:p w14:paraId="592A9194">
      <w:pPr>
        <w:keepNext w:val="0"/>
        <w:keepLines w:val="0"/>
        <w:pageBreakBefore w:val="0"/>
        <w:widowControl/>
        <w:suppressLineNumbers w:val="0"/>
        <w:kinsoku/>
        <w:wordWrap/>
        <w:overflowPunct/>
        <w:topLinePunct w:val="0"/>
        <w:autoSpaceDE/>
        <w:autoSpaceDN/>
        <w:bidi w:val="0"/>
        <w:adjustRightInd/>
        <w:snapToGrid/>
        <w:jc w:val="center"/>
        <w:textAlignment w:val="auto"/>
        <w:rPr>
          <w:highlight w:val="none"/>
        </w:rPr>
      </w:pPr>
      <w:r>
        <w:rPr>
          <w:rFonts w:hint="eastAsia" w:ascii="宋体" w:hAnsi="宋体" w:eastAsia="宋体" w:cs="宋体"/>
          <w:b/>
          <w:bCs/>
          <w:color w:val="0C0C0C"/>
          <w:kern w:val="0"/>
          <w:sz w:val="24"/>
          <w:szCs w:val="24"/>
          <w:highlight w:val="none"/>
          <w:lang w:val="en-US" w:eastAsia="zh-CN" w:bidi="ar"/>
        </w:rPr>
        <w:t xml:space="preserve">表 </w:t>
      </w:r>
      <w:r>
        <w:rPr>
          <w:rFonts w:hint="default" w:ascii="Times New Roman" w:hAnsi="Times New Roman" w:eastAsia="宋体" w:cs="Times New Roman"/>
          <w:b/>
          <w:bCs/>
          <w:color w:val="0C0C0C"/>
          <w:kern w:val="0"/>
          <w:sz w:val="24"/>
          <w:szCs w:val="24"/>
          <w:highlight w:val="none"/>
          <w:lang w:val="en-US" w:eastAsia="zh-CN" w:bidi="ar"/>
        </w:rPr>
        <w:t>9.</w:t>
      </w:r>
      <w:r>
        <w:rPr>
          <w:rFonts w:hint="eastAsia" w:ascii="Times New Roman" w:hAnsi="Times New Roman" w:eastAsia="宋体" w:cs="Times New Roman"/>
          <w:b/>
          <w:bCs/>
          <w:color w:val="0C0C0C"/>
          <w:kern w:val="0"/>
          <w:sz w:val="24"/>
          <w:szCs w:val="24"/>
          <w:highlight w:val="none"/>
          <w:lang w:val="en-US" w:eastAsia="zh-CN" w:bidi="ar"/>
        </w:rPr>
        <w:t>2</w:t>
      </w:r>
      <w:r>
        <w:rPr>
          <w:rFonts w:hint="default" w:ascii="Times New Roman" w:hAnsi="Times New Roman" w:eastAsia="宋体" w:cs="Times New Roman"/>
          <w:b/>
          <w:bCs/>
          <w:color w:val="0C0C0C"/>
          <w:kern w:val="0"/>
          <w:sz w:val="24"/>
          <w:szCs w:val="24"/>
          <w:highlight w:val="none"/>
          <w:lang w:val="en-US" w:eastAsia="zh-CN" w:bidi="ar"/>
        </w:rPr>
        <w:t xml:space="preserve">-1 </w:t>
      </w:r>
      <w:r>
        <w:rPr>
          <w:rFonts w:hint="eastAsia" w:ascii="宋体" w:hAnsi="宋体" w:eastAsia="宋体" w:cs="宋体"/>
          <w:b/>
          <w:bCs/>
          <w:color w:val="0C0C0C"/>
          <w:kern w:val="0"/>
          <w:sz w:val="24"/>
          <w:szCs w:val="24"/>
          <w:highlight w:val="none"/>
          <w:lang w:val="en-US" w:eastAsia="zh-CN" w:bidi="ar"/>
        </w:rPr>
        <w:t>有组织废气监测计划表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1309"/>
        <w:gridCol w:w="1500"/>
        <w:gridCol w:w="3578"/>
      </w:tblGrid>
      <w:tr w14:paraId="1E7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vAlign w:val="center"/>
          </w:tcPr>
          <w:p w14:paraId="425B6F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监测点位</w:t>
            </w:r>
          </w:p>
        </w:tc>
        <w:tc>
          <w:tcPr>
            <w:tcW w:w="1309" w:type="dxa"/>
            <w:vAlign w:val="center"/>
          </w:tcPr>
          <w:p w14:paraId="371456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监测指标</w:t>
            </w:r>
          </w:p>
        </w:tc>
        <w:tc>
          <w:tcPr>
            <w:tcW w:w="1500" w:type="dxa"/>
            <w:vAlign w:val="center"/>
          </w:tcPr>
          <w:p w14:paraId="682C6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监测频次</w:t>
            </w:r>
          </w:p>
        </w:tc>
        <w:tc>
          <w:tcPr>
            <w:tcW w:w="3578" w:type="dxa"/>
            <w:vAlign w:val="center"/>
          </w:tcPr>
          <w:p w14:paraId="3736D2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执行标准</w:t>
            </w:r>
          </w:p>
        </w:tc>
      </w:tr>
      <w:tr w14:paraId="52DC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vAlign w:val="center"/>
          </w:tcPr>
          <w:p w14:paraId="76E23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DA001（助剂粉剂冷却废气）</w:t>
            </w:r>
          </w:p>
        </w:tc>
        <w:tc>
          <w:tcPr>
            <w:tcW w:w="1309" w:type="dxa"/>
            <w:vAlign w:val="center"/>
          </w:tcPr>
          <w:p w14:paraId="502CC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VOCs</w:t>
            </w:r>
          </w:p>
        </w:tc>
        <w:tc>
          <w:tcPr>
            <w:tcW w:w="1500" w:type="dxa"/>
            <w:vAlign w:val="center"/>
          </w:tcPr>
          <w:p w14:paraId="458739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1次/半年</w:t>
            </w:r>
          </w:p>
        </w:tc>
        <w:tc>
          <w:tcPr>
            <w:tcW w:w="3578" w:type="dxa"/>
            <w:vAlign w:val="center"/>
          </w:tcPr>
          <w:p w14:paraId="623AC9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sz w:val="21"/>
                <w:szCs w:val="21"/>
                <w:highlight w:val="none"/>
                <w:vertAlign w:val="baseline"/>
              </w:rPr>
            </w:pPr>
            <w:r>
              <w:rPr>
                <w:rFonts w:hint="default" w:ascii="Times New Roman" w:hAnsi="Times New Roman" w:cs="Times New Roman" w:eastAsiaTheme="minorEastAsia"/>
                <w:sz w:val="21"/>
                <w:szCs w:val="21"/>
                <w:highlight w:val="none"/>
                <w:vertAlign w:val="baseline"/>
              </w:rPr>
              <w:t>天津市地方标准《工业企业挥发性有机物排放控制标准》（DB12/ 524—2020）</w:t>
            </w:r>
            <w:r>
              <w:rPr>
                <w:rFonts w:hint="default" w:ascii="Times New Roman" w:hAnsi="Times New Roman" w:cs="Times New Roman" w:eastAsiaTheme="minorEastAsia"/>
                <w:sz w:val="21"/>
                <w:szCs w:val="21"/>
                <w:highlight w:val="none"/>
                <w:vertAlign w:val="baseline"/>
                <w:lang w:eastAsia="zh-CN"/>
              </w:rPr>
              <w:t>，</w:t>
            </w:r>
            <w:r>
              <w:rPr>
                <w:rFonts w:hint="default" w:ascii="Times New Roman" w:hAnsi="Times New Roman" w:cs="Times New Roman" w:eastAsiaTheme="minorEastAsia"/>
                <w:sz w:val="21"/>
                <w:szCs w:val="21"/>
                <w:highlight w:val="none"/>
                <w:vertAlign w:val="baseline"/>
                <w:lang w:val="en-US" w:eastAsia="zh-CN"/>
              </w:rPr>
              <w:t>排放限值为40</w:t>
            </w:r>
            <w:r>
              <w:rPr>
                <w:rFonts w:hint="default" w:ascii="Times New Roman" w:hAnsi="Times New Roman" w:cs="Times New Roman" w:eastAsiaTheme="minorEastAsia"/>
                <w:b w:val="0"/>
                <w:bCs/>
                <w:color w:val="auto"/>
                <w:sz w:val="21"/>
                <w:szCs w:val="21"/>
                <w:highlight w:val="none"/>
              </w:rPr>
              <w:t>mg/m</w:t>
            </w:r>
            <w:r>
              <w:rPr>
                <w:rFonts w:hint="default" w:ascii="Times New Roman" w:hAnsi="Times New Roman" w:cs="Times New Roman" w:eastAsiaTheme="minorEastAsia"/>
                <w:b w:val="0"/>
                <w:bCs/>
                <w:color w:val="auto"/>
                <w:sz w:val="21"/>
                <w:szCs w:val="21"/>
                <w:highlight w:val="none"/>
                <w:vertAlign w:val="superscript"/>
              </w:rPr>
              <w:t>3</w:t>
            </w:r>
          </w:p>
        </w:tc>
      </w:tr>
    </w:tbl>
    <w:p w14:paraId="733A4F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C0C0C"/>
          <w:kern w:val="0"/>
          <w:sz w:val="24"/>
          <w:szCs w:val="24"/>
          <w:highlight w:val="none"/>
          <w:lang w:val="en-US" w:eastAsia="zh-CN" w:bidi="ar"/>
        </w:rPr>
      </w:pPr>
      <w:r>
        <w:rPr>
          <w:rFonts w:hint="default" w:ascii="Times New Roman" w:hAnsi="Times New Roman" w:eastAsia="宋体" w:cs="Times New Roman"/>
          <w:b/>
          <w:bCs/>
          <w:color w:val="0C0C0C"/>
          <w:kern w:val="0"/>
          <w:sz w:val="24"/>
          <w:szCs w:val="24"/>
          <w:highlight w:val="none"/>
          <w:lang w:val="en-US" w:eastAsia="zh-CN" w:bidi="ar"/>
        </w:rPr>
        <w:t>表 9.2-2 无组织废气监测计划表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7"/>
        <w:gridCol w:w="1275"/>
        <w:gridCol w:w="1290"/>
        <w:gridCol w:w="3713"/>
      </w:tblGrid>
      <w:tr w14:paraId="58A9A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14:paraId="60D052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监测点位</w:t>
            </w:r>
          </w:p>
        </w:tc>
        <w:tc>
          <w:tcPr>
            <w:tcW w:w="1275" w:type="dxa"/>
            <w:vAlign w:val="center"/>
          </w:tcPr>
          <w:p w14:paraId="48D397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监测指标</w:t>
            </w:r>
          </w:p>
        </w:tc>
        <w:tc>
          <w:tcPr>
            <w:tcW w:w="1290" w:type="dxa"/>
            <w:vAlign w:val="center"/>
          </w:tcPr>
          <w:p w14:paraId="542D7C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监测频次</w:t>
            </w:r>
          </w:p>
        </w:tc>
        <w:tc>
          <w:tcPr>
            <w:tcW w:w="3713" w:type="dxa"/>
            <w:vAlign w:val="center"/>
          </w:tcPr>
          <w:p w14:paraId="0CF186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执行标准</w:t>
            </w:r>
          </w:p>
        </w:tc>
      </w:tr>
      <w:tr w14:paraId="128C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14:paraId="475914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厂界</w:t>
            </w:r>
          </w:p>
        </w:tc>
        <w:tc>
          <w:tcPr>
            <w:tcW w:w="1275" w:type="dxa"/>
            <w:vAlign w:val="center"/>
          </w:tcPr>
          <w:p w14:paraId="74896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颗粒物、NMHC</w:t>
            </w:r>
          </w:p>
        </w:tc>
        <w:tc>
          <w:tcPr>
            <w:tcW w:w="1290" w:type="dxa"/>
            <w:vAlign w:val="center"/>
          </w:tcPr>
          <w:p w14:paraId="377F43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1次/半年</w:t>
            </w:r>
          </w:p>
        </w:tc>
        <w:tc>
          <w:tcPr>
            <w:tcW w:w="3713" w:type="dxa"/>
            <w:vAlign w:val="center"/>
          </w:tcPr>
          <w:p w14:paraId="52174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《大气污染物综合排放标准》（GB 16297-1966 ）表2标准限值</w:t>
            </w:r>
          </w:p>
        </w:tc>
      </w:tr>
      <w:tr w14:paraId="45AD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vAlign w:val="center"/>
          </w:tcPr>
          <w:p w14:paraId="0ED58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厂内（监控点（设</w:t>
            </w:r>
          </w:p>
          <w:p w14:paraId="305E99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 xml:space="preserve">置于固体助剂车间窗户外 </w:t>
            </w:r>
            <w:r>
              <w:rPr>
                <w:rFonts w:hint="default" w:ascii="Times New Roman" w:hAnsi="Times New Roman" w:cs="Times New Roman" w:eastAsiaTheme="minorEastAsia"/>
                <w:sz w:val="21"/>
                <w:szCs w:val="21"/>
                <w:highlight w:val="none"/>
                <w:vertAlign w:val="baseline"/>
                <w:lang w:val="en-US" w:eastAsia="zh-CN"/>
              </w:rPr>
              <w:t>1m</w:t>
            </w:r>
            <w:r>
              <w:rPr>
                <w:rFonts w:hint="eastAsia" w:ascii="Times New Roman" w:hAnsi="Times New Roman" w:cs="Times New Roman" w:eastAsiaTheme="minorEastAsia"/>
                <w:sz w:val="21"/>
                <w:szCs w:val="21"/>
                <w:highlight w:val="none"/>
                <w:vertAlign w:val="baseline"/>
                <w:lang w:val="en-US" w:eastAsia="zh-CN"/>
              </w:rPr>
              <w:t>，距离地</w:t>
            </w:r>
          </w:p>
          <w:p w14:paraId="5B0E6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 xml:space="preserve">面 </w:t>
            </w:r>
            <w:r>
              <w:rPr>
                <w:rFonts w:hint="default" w:ascii="Times New Roman" w:hAnsi="Times New Roman" w:cs="Times New Roman" w:eastAsiaTheme="minorEastAsia"/>
                <w:sz w:val="21"/>
                <w:szCs w:val="21"/>
                <w:highlight w:val="none"/>
                <w:vertAlign w:val="baseline"/>
                <w:lang w:val="en-US" w:eastAsia="zh-CN"/>
              </w:rPr>
              <w:t xml:space="preserve">1.5m </w:t>
            </w:r>
            <w:r>
              <w:rPr>
                <w:rFonts w:hint="eastAsia" w:ascii="Times New Roman" w:hAnsi="Times New Roman" w:cs="Times New Roman" w:eastAsiaTheme="minorEastAsia"/>
                <w:sz w:val="21"/>
                <w:szCs w:val="21"/>
                <w:highlight w:val="none"/>
                <w:vertAlign w:val="baseline"/>
                <w:lang w:val="en-US" w:eastAsia="zh-CN"/>
              </w:rPr>
              <w:t>位置）</w:t>
            </w:r>
          </w:p>
          <w:p w14:paraId="4AF73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p>
        </w:tc>
        <w:tc>
          <w:tcPr>
            <w:tcW w:w="1275" w:type="dxa"/>
            <w:vAlign w:val="center"/>
          </w:tcPr>
          <w:p w14:paraId="252E9F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NMHC</w:t>
            </w:r>
          </w:p>
        </w:tc>
        <w:tc>
          <w:tcPr>
            <w:tcW w:w="1290" w:type="dxa"/>
            <w:vAlign w:val="center"/>
          </w:tcPr>
          <w:p w14:paraId="4933D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1次/半年</w:t>
            </w:r>
          </w:p>
        </w:tc>
        <w:tc>
          <w:tcPr>
            <w:tcW w:w="3713" w:type="dxa"/>
            <w:vAlign w:val="center"/>
          </w:tcPr>
          <w:p w14:paraId="154DC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 xml:space="preserve">《挥发性有机物无组织排放控制标准》（GB 37822—2019）附录 </w:t>
            </w:r>
            <w:r>
              <w:rPr>
                <w:rFonts w:hint="default" w:ascii="Times New Roman" w:hAnsi="Times New Roman" w:cs="Times New Roman" w:eastAsiaTheme="minorEastAsia"/>
                <w:sz w:val="21"/>
                <w:szCs w:val="21"/>
                <w:highlight w:val="none"/>
                <w:vertAlign w:val="baseline"/>
                <w:lang w:val="en-US" w:eastAsia="zh-CN"/>
              </w:rPr>
              <w:t xml:space="preserve">A </w:t>
            </w:r>
            <w:r>
              <w:rPr>
                <w:rFonts w:hint="eastAsia" w:ascii="Times New Roman" w:hAnsi="Times New Roman" w:cs="Times New Roman" w:eastAsiaTheme="minorEastAsia"/>
                <w:sz w:val="21"/>
                <w:szCs w:val="21"/>
                <w:highlight w:val="none"/>
                <w:vertAlign w:val="baseline"/>
                <w:lang w:val="en-US" w:eastAsia="zh-CN"/>
              </w:rPr>
              <w:t xml:space="preserve">中表 </w:t>
            </w:r>
            <w:r>
              <w:rPr>
                <w:rFonts w:hint="default" w:ascii="Times New Roman" w:hAnsi="Times New Roman" w:cs="Times New Roman" w:eastAsiaTheme="minorEastAsia"/>
                <w:sz w:val="21"/>
                <w:szCs w:val="21"/>
                <w:highlight w:val="none"/>
                <w:vertAlign w:val="baseline"/>
                <w:lang w:val="en-US" w:eastAsia="zh-CN"/>
              </w:rPr>
              <w:t xml:space="preserve">A.1 </w:t>
            </w:r>
            <w:r>
              <w:rPr>
                <w:rFonts w:hint="eastAsia" w:ascii="Times New Roman" w:hAnsi="Times New Roman" w:cs="Times New Roman" w:eastAsiaTheme="minorEastAsia"/>
                <w:sz w:val="21"/>
                <w:szCs w:val="21"/>
                <w:highlight w:val="none"/>
                <w:vertAlign w:val="baseline"/>
                <w:lang w:val="en-US" w:eastAsia="zh-CN"/>
              </w:rPr>
              <w:t xml:space="preserve">厂区内 </w:t>
            </w:r>
            <w:r>
              <w:rPr>
                <w:rFonts w:hint="default" w:ascii="Times New Roman" w:hAnsi="Times New Roman" w:cs="Times New Roman" w:eastAsiaTheme="minorEastAsia"/>
                <w:sz w:val="21"/>
                <w:szCs w:val="21"/>
                <w:highlight w:val="none"/>
                <w:vertAlign w:val="baseline"/>
                <w:lang w:val="en-US" w:eastAsia="zh-CN"/>
              </w:rPr>
              <w:t xml:space="preserve">VOCs </w:t>
            </w:r>
            <w:r>
              <w:rPr>
                <w:rFonts w:hint="eastAsia" w:ascii="Times New Roman" w:hAnsi="Times New Roman" w:cs="Times New Roman" w:eastAsiaTheme="minorEastAsia"/>
                <w:sz w:val="21"/>
                <w:szCs w:val="21"/>
                <w:highlight w:val="none"/>
                <w:vertAlign w:val="baseline"/>
                <w:lang w:val="en-US" w:eastAsia="zh-CN"/>
              </w:rPr>
              <w:t>无组织排放限值</w:t>
            </w:r>
          </w:p>
          <w:p w14:paraId="08CF17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p>
        </w:tc>
      </w:tr>
    </w:tbl>
    <w:p w14:paraId="421986F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C0C0C"/>
          <w:kern w:val="0"/>
          <w:sz w:val="24"/>
          <w:szCs w:val="24"/>
          <w:highlight w:val="none"/>
          <w:lang w:val="en-US" w:eastAsia="zh-CN" w:bidi="ar"/>
        </w:rPr>
      </w:pPr>
      <w:r>
        <w:rPr>
          <w:rFonts w:hint="eastAsia" w:ascii="Times New Roman" w:hAnsi="Times New Roman" w:eastAsia="宋体" w:cs="Times New Roman"/>
          <w:b/>
          <w:bCs/>
          <w:color w:val="0C0C0C"/>
          <w:kern w:val="0"/>
          <w:sz w:val="24"/>
          <w:szCs w:val="24"/>
          <w:highlight w:val="none"/>
          <w:lang w:val="en-US" w:eastAsia="zh-CN" w:bidi="ar"/>
        </w:rPr>
        <w:t>表9-2-3</w:t>
      </w:r>
      <w:r>
        <w:rPr>
          <w:rFonts w:hint="eastAsia" w:eastAsia="宋体" w:cs="Times New Roman"/>
          <w:b/>
          <w:bCs/>
          <w:color w:val="0C0C0C"/>
          <w:kern w:val="0"/>
          <w:sz w:val="24"/>
          <w:szCs w:val="24"/>
          <w:highlight w:val="none"/>
          <w:lang w:val="en-US" w:eastAsia="zh-CN" w:bidi="ar"/>
        </w:rPr>
        <w:t xml:space="preserve"> </w:t>
      </w:r>
      <w:r>
        <w:rPr>
          <w:rFonts w:hint="eastAsia" w:ascii="Times New Roman" w:hAnsi="Times New Roman" w:eastAsia="宋体" w:cs="Times New Roman"/>
          <w:b/>
          <w:bCs/>
          <w:color w:val="0C0C0C"/>
          <w:kern w:val="0"/>
          <w:sz w:val="24"/>
          <w:szCs w:val="24"/>
          <w:highlight w:val="none"/>
          <w:lang w:val="en-US" w:eastAsia="zh-CN" w:bidi="ar"/>
        </w:rPr>
        <w:t>运营期废水监测计划一览表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2054"/>
        <w:gridCol w:w="1290"/>
        <w:gridCol w:w="3713"/>
      </w:tblGrid>
      <w:tr w14:paraId="32BD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196912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监测点位</w:t>
            </w:r>
          </w:p>
        </w:tc>
        <w:tc>
          <w:tcPr>
            <w:tcW w:w="2054" w:type="dxa"/>
            <w:vAlign w:val="center"/>
          </w:tcPr>
          <w:p w14:paraId="5CC80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监测指标</w:t>
            </w:r>
          </w:p>
        </w:tc>
        <w:tc>
          <w:tcPr>
            <w:tcW w:w="1290" w:type="dxa"/>
            <w:vAlign w:val="center"/>
          </w:tcPr>
          <w:p w14:paraId="226B09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监测频次</w:t>
            </w:r>
          </w:p>
        </w:tc>
        <w:tc>
          <w:tcPr>
            <w:tcW w:w="3713" w:type="dxa"/>
            <w:vAlign w:val="center"/>
          </w:tcPr>
          <w:p w14:paraId="5744F1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执行标准</w:t>
            </w:r>
          </w:p>
        </w:tc>
      </w:tr>
      <w:tr w14:paraId="4818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vAlign w:val="center"/>
          </w:tcPr>
          <w:p w14:paraId="7A7EB6A7">
            <w:pPr>
              <w:keepNext w:val="0"/>
              <w:keepLines w:val="0"/>
              <w:widowControl/>
              <w:suppressLineNumbers w:val="0"/>
              <w:ind w:left="0" w:leftChars="0" w:firstLine="0" w:firstLineChars="0"/>
              <w:jc w:val="left"/>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lang w:val="en-US" w:eastAsia="zh-CN" w:bidi="ar"/>
              </w:rPr>
              <w:t>企业废水总排口 DW001</w:t>
            </w:r>
          </w:p>
        </w:tc>
        <w:tc>
          <w:tcPr>
            <w:tcW w:w="2054" w:type="dxa"/>
            <w:vAlign w:val="center"/>
          </w:tcPr>
          <w:p w14:paraId="56D72F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w:t>
            </w:r>
            <w:r>
              <w:rPr>
                <w:rFonts w:hint="eastAsia" w:eastAsia="宋体" w:cs="Times New Roman"/>
                <w:color w:val="auto"/>
                <w:sz w:val="21"/>
                <w:szCs w:val="21"/>
                <w:highlight w:val="none"/>
                <w:lang w:val="en-US" w:eastAsia="zh-CN"/>
              </w:rPr>
              <w:t>、阴离子表面活性剂</w:t>
            </w:r>
          </w:p>
        </w:tc>
        <w:tc>
          <w:tcPr>
            <w:tcW w:w="1290" w:type="dxa"/>
            <w:vAlign w:val="center"/>
          </w:tcPr>
          <w:p w14:paraId="49512B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1次/半年</w:t>
            </w:r>
          </w:p>
        </w:tc>
        <w:tc>
          <w:tcPr>
            <w:tcW w:w="3713" w:type="dxa"/>
            <w:vAlign w:val="center"/>
          </w:tcPr>
          <w:p w14:paraId="3ED87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《污水综合排放标准》 （GB8978-1996）中表 4 三级标准以及岳阳高新技术产业园区污水处理厂接管标准要求</w:t>
            </w:r>
          </w:p>
        </w:tc>
      </w:tr>
    </w:tbl>
    <w:p w14:paraId="31A53E4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C0C0C"/>
          <w:kern w:val="0"/>
          <w:sz w:val="24"/>
          <w:szCs w:val="24"/>
          <w:highlight w:val="none"/>
          <w:lang w:val="en-US" w:eastAsia="zh-CN" w:bidi="ar"/>
        </w:rPr>
      </w:pPr>
      <w:r>
        <w:rPr>
          <w:rFonts w:hint="eastAsia" w:ascii="Times New Roman" w:hAnsi="Times New Roman" w:eastAsia="宋体" w:cs="Times New Roman"/>
          <w:b/>
          <w:bCs/>
          <w:color w:val="0C0C0C"/>
          <w:kern w:val="0"/>
          <w:sz w:val="24"/>
          <w:szCs w:val="24"/>
          <w:highlight w:val="none"/>
          <w:lang w:val="en-US" w:eastAsia="zh-CN" w:bidi="ar"/>
        </w:rPr>
        <w:t xml:space="preserve">表 </w:t>
      </w:r>
      <w:r>
        <w:rPr>
          <w:rFonts w:hint="default" w:ascii="Times New Roman" w:hAnsi="Times New Roman" w:eastAsia="宋体" w:cs="Times New Roman"/>
          <w:b/>
          <w:bCs/>
          <w:color w:val="0C0C0C"/>
          <w:kern w:val="0"/>
          <w:sz w:val="24"/>
          <w:szCs w:val="24"/>
          <w:highlight w:val="none"/>
          <w:lang w:val="en-US" w:eastAsia="zh-CN" w:bidi="ar"/>
        </w:rPr>
        <w:t>9.</w:t>
      </w:r>
      <w:r>
        <w:rPr>
          <w:rFonts w:hint="eastAsia" w:ascii="Times New Roman" w:hAnsi="Times New Roman" w:eastAsia="宋体" w:cs="Times New Roman"/>
          <w:b/>
          <w:bCs/>
          <w:color w:val="0C0C0C"/>
          <w:kern w:val="0"/>
          <w:sz w:val="24"/>
          <w:szCs w:val="24"/>
          <w:highlight w:val="none"/>
          <w:lang w:val="en-US" w:eastAsia="zh-CN" w:bidi="ar"/>
        </w:rPr>
        <w:t>2</w:t>
      </w:r>
      <w:r>
        <w:rPr>
          <w:rFonts w:hint="default" w:ascii="Times New Roman" w:hAnsi="Times New Roman" w:eastAsia="宋体" w:cs="Times New Roman"/>
          <w:b/>
          <w:bCs/>
          <w:color w:val="0C0C0C"/>
          <w:kern w:val="0"/>
          <w:sz w:val="24"/>
          <w:szCs w:val="24"/>
          <w:highlight w:val="none"/>
          <w:lang w:val="en-US" w:eastAsia="zh-CN" w:bidi="ar"/>
        </w:rPr>
        <w:t xml:space="preserve">-4 </w:t>
      </w:r>
      <w:r>
        <w:rPr>
          <w:rFonts w:hint="eastAsia" w:ascii="Times New Roman" w:hAnsi="Times New Roman" w:eastAsia="宋体" w:cs="Times New Roman"/>
          <w:b/>
          <w:bCs/>
          <w:color w:val="0C0C0C"/>
          <w:kern w:val="0"/>
          <w:sz w:val="24"/>
          <w:szCs w:val="24"/>
          <w:highlight w:val="none"/>
          <w:lang w:val="en-US" w:eastAsia="zh-CN" w:bidi="ar"/>
        </w:rPr>
        <w:t>噪声监测计划表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3"/>
        <w:gridCol w:w="1259"/>
        <w:gridCol w:w="1290"/>
        <w:gridCol w:w="3713"/>
      </w:tblGrid>
      <w:tr w14:paraId="09A5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3" w:type="dxa"/>
            <w:vAlign w:val="center"/>
          </w:tcPr>
          <w:p w14:paraId="67661E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监测点位</w:t>
            </w:r>
          </w:p>
        </w:tc>
        <w:tc>
          <w:tcPr>
            <w:tcW w:w="1259" w:type="dxa"/>
            <w:vAlign w:val="center"/>
          </w:tcPr>
          <w:p w14:paraId="545865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监测指标</w:t>
            </w:r>
          </w:p>
        </w:tc>
        <w:tc>
          <w:tcPr>
            <w:tcW w:w="1290" w:type="dxa"/>
            <w:vAlign w:val="center"/>
          </w:tcPr>
          <w:p w14:paraId="23146E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监测频次</w:t>
            </w:r>
          </w:p>
        </w:tc>
        <w:tc>
          <w:tcPr>
            <w:tcW w:w="3713" w:type="dxa"/>
            <w:vAlign w:val="center"/>
          </w:tcPr>
          <w:p w14:paraId="5D5675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执行标准</w:t>
            </w:r>
          </w:p>
        </w:tc>
      </w:tr>
      <w:tr w14:paraId="1ADC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3" w:type="dxa"/>
            <w:vAlign w:val="center"/>
          </w:tcPr>
          <w:p w14:paraId="34696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 xml:space="preserve">厂区四周外 </w:t>
            </w:r>
            <w:r>
              <w:rPr>
                <w:rFonts w:hint="default" w:ascii="Times New Roman" w:hAnsi="Times New Roman" w:cs="Times New Roman" w:eastAsiaTheme="minorEastAsia"/>
                <w:sz w:val="21"/>
                <w:szCs w:val="21"/>
                <w:highlight w:val="none"/>
                <w:vertAlign w:val="baseline"/>
                <w:lang w:val="en-US" w:eastAsia="zh-CN"/>
              </w:rPr>
              <w:t xml:space="preserve">1 </w:t>
            </w:r>
            <w:r>
              <w:rPr>
                <w:rFonts w:hint="eastAsia" w:ascii="Times New Roman" w:hAnsi="Times New Roman" w:cs="Times New Roman" w:eastAsiaTheme="minorEastAsia"/>
                <w:sz w:val="21"/>
                <w:szCs w:val="21"/>
                <w:highlight w:val="none"/>
                <w:vertAlign w:val="baseline"/>
                <w:lang w:val="en-US" w:eastAsia="zh-CN"/>
              </w:rPr>
              <w:t xml:space="preserve">米处各 </w:t>
            </w:r>
          </w:p>
          <w:p w14:paraId="081C4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 xml:space="preserve">布设 </w:t>
            </w:r>
            <w:r>
              <w:rPr>
                <w:rFonts w:hint="default" w:ascii="Times New Roman" w:hAnsi="Times New Roman" w:cs="Times New Roman" w:eastAsiaTheme="minorEastAsia"/>
                <w:sz w:val="21"/>
                <w:szCs w:val="21"/>
                <w:highlight w:val="none"/>
                <w:vertAlign w:val="baseline"/>
                <w:lang w:val="en-US" w:eastAsia="zh-CN"/>
              </w:rPr>
              <w:t xml:space="preserve">1 </w:t>
            </w:r>
            <w:r>
              <w:rPr>
                <w:rFonts w:hint="eastAsia" w:ascii="Times New Roman" w:hAnsi="Times New Roman" w:cs="Times New Roman" w:eastAsiaTheme="minorEastAsia"/>
                <w:sz w:val="21"/>
                <w:szCs w:val="21"/>
                <w:highlight w:val="none"/>
                <w:vertAlign w:val="baseline"/>
                <w:lang w:val="en-US" w:eastAsia="zh-CN"/>
              </w:rPr>
              <w:t>个监测点</w:t>
            </w:r>
          </w:p>
        </w:tc>
        <w:tc>
          <w:tcPr>
            <w:tcW w:w="1259" w:type="dxa"/>
            <w:vAlign w:val="center"/>
          </w:tcPr>
          <w:p w14:paraId="09620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 xml:space="preserve">等效连续 </w:t>
            </w:r>
            <w:r>
              <w:rPr>
                <w:rFonts w:hint="default" w:ascii="Times New Roman" w:hAnsi="Times New Roman" w:cs="Times New Roman" w:eastAsiaTheme="minorEastAsia"/>
                <w:sz w:val="21"/>
                <w:szCs w:val="21"/>
                <w:highlight w:val="none"/>
                <w:vertAlign w:val="baseline"/>
                <w:lang w:val="en-US" w:eastAsia="zh-CN"/>
              </w:rPr>
              <w:t xml:space="preserve">A </w:t>
            </w:r>
            <w:r>
              <w:rPr>
                <w:rFonts w:hint="eastAsia" w:ascii="Times New Roman" w:hAnsi="Times New Roman" w:cs="Times New Roman" w:eastAsiaTheme="minorEastAsia"/>
                <w:sz w:val="21"/>
                <w:szCs w:val="21"/>
                <w:highlight w:val="none"/>
                <w:vertAlign w:val="baseline"/>
                <w:lang w:val="en-US" w:eastAsia="zh-CN"/>
              </w:rPr>
              <w:t>声级</w:t>
            </w:r>
          </w:p>
          <w:p w14:paraId="3FE5A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p>
        </w:tc>
        <w:tc>
          <w:tcPr>
            <w:tcW w:w="1290" w:type="dxa"/>
            <w:vAlign w:val="center"/>
          </w:tcPr>
          <w:p w14:paraId="4B3DAD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 xml:space="preserve">1 </w:t>
            </w:r>
            <w:r>
              <w:rPr>
                <w:rFonts w:hint="eastAsia" w:ascii="Times New Roman" w:hAnsi="Times New Roman" w:cs="Times New Roman" w:eastAsiaTheme="minorEastAsia"/>
                <w:sz w:val="21"/>
                <w:szCs w:val="21"/>
                <w:highlight w:val="none"/>
                <w:vertAlign w:val="baseline"/>
                <w:lang w:val="en-US" w:eastAsia="zh-CN"/>
              </w:rPr>
              <w:t>次</w:t>
            </w:r>
            <w:r>
              <w:rPr>
                <w:rFonts w:hint="default" w:ascii="Times New Roman" w:hAnsi="Times New Roman" w:cs="Times New Roman" w:eastAsiaTheme="minorEastAsia"/>
                <w:sz w:val="21"/>
                <w:szCs w:val="21"/>
                <w:highlight w:val="none"/>
                <w:vertAlign w:val="baseline"/>
                <w:lang w:val="en-US" w:eastAsia="zh-CN"/>
              </w:rPr>
              <w:t>/</w:t>
            </w:r>
            <w:r>
              <w:rPr>
                <w:rFonts w:hint="eastAsia" w:ascii="Times New Roman" w:hAnsi="Times New Roman" w:cs="Times New Roman" w:eastAsiaTheme="minorEastAsia"/>
                <w:sz w:val="21"/>
                <w:szCs w:val="21"/>
                <w:highlight w:val="none"/>
                <w:vertAlign w:val="baseline"/>
                <w:lang w:val="en-US" w:eastAsia="zh-CN"/>
              </w:rPr>
              <w:t>季度</w:t>
            </w:r>
          </w:p>
          <w:p w14:paraId="1CC37A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p>
        </w:tc>
        <w:tc>
          <w:tcPr>
            <w:tcW w:w="3713" w:type="dxa"/>
            <w:vAlign w:val="center"/>
          </w:tcPr>
          <w:p w14:paraId="253BA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z w:val="21"/>
                <w:szCs w:val="21"/>
                <w:highlight w:val="none"/>
                <w:vertAlign w:val="baseline"/>
                <w:lang w:val="en-US" w:eastAsia="zh-CN"/>
              </w:rPr>
            </w:pPr>
            <w:r>
              <w:rPr>
                <w:rFonts w:hint="eastAsia" w:ascii="Times New Roman" w:hAnsi="Times New Roman" w:cs="Times New Roman" w:eastAsiaTheme="minorEastAsia"/>
                <w:sz w:val="21"/>
                <w:szCs w:val="21"/>
                <w:highlight w:val="none"/>
                <w:vertAlign w:val="baseline"/>
                <w:lang w:val="en-US" w:eastAsia="zh-CN"/>
              </w:rPr>
              <w:t>东、北、南厂界执行《工业企业厂界环境噪声排放标准》（GB12348-2008）中的3 类区标准，西厂界执行《工业企业厂界环境噪声排放标准》（GB12348-2008）中的4 类区标准</w:t>
            </w:r>
          </w:p>
        </w:tc>
      </w:tr>
    </w:tbl>
    <w:p w14:paraId="4E67615D">
      <w:pPr>
        <w:pStyle w:val="2"/>
        <w:numPr>
          <w:ilvl w:val="0"/>
          <w:numId w:val="12"/>
        </w:numPr>
        <w:ind w:left="0" w:leftChars="0" w:firstLine="0" w:firstLineChars="0"/>
        <w:rPr>
          <w:rFonts w:hint="eastAsia" w:ascii="Times New Roman" w:hAnsi="Times New Roman" w:eastAsia="宋体" w:cs="Times New Roman"/>
          <w:b/>
          <w:bCs/>
          <w:spacing w:val="-1"/>
          <w:sz w:val="24"/>
          <w:szCs w:val="24"/>
          <w:highlight w:val="none"/>
          <w:lang w:val="en-US" w:eastAsia="zh-CN"/>
        </w:rPr>
      </w:pPr>
      <w:r>
        <w:rPr>
          <w:rFonts w:hint="eastAsia" w:eastAsia="宋体" w:cs="Times New Roman"/>
          <w:b/>
          <w:bCs/>
          <w:spacing w:val="-1"/>
          <w:sz w:val="24"/>
          <w:szCs w:val="24"/>
          <w:highlight w:val="none"/>
          <w:lang w:val="en-US" w:eastAsia="zh-CN"/>
        </w:rPr>
        <w:t>环</w:t>
      </w:r>
      <w:r>
        <w:rPr>
          <w:rFonts w:hint="eastAsia" w:ascii="Times New Roman" w:hAnsi="Times New Roman" w:eastAsia="宋体" w:cs="Times New Roman"/>
          <w:b/>
          <w:bCs/>
          <w:spacing w:val="-1"/>
          <w:sz w:val="24"/>
          <w:szCs w:val="24"/>
          <w:highlight w:val="none"/>
          <w:lang w:val="en-US" w:eastAsia="zh-CN"/>
        </w:rPr>
        <w:t>境质量现状监测计划</w:t>
      </w:r>
    </w:p>
    <w:p w14:paraId="664FF4C0">
      <w:pPr>
        <w:keepNext w:val="0"/>
        <w:keepLines w:val="0"/>
        <w:pageBreakBefore w:val="0"/>
        <w:widowControl/>
        <w:suppressLineNumbers w:val="0"/>
        <w:kinsoku/>
        <w:wordWrap/>
        <w:overflowPunct/>
        <w:topLinePunct w:val="0"/>
        <w:autoSpaceDE/>
        <w:autoSpaceDN/>
        <w:bidi w:val="0"/>
        <w:adjustRightInd/>
        <w:snapToGrid/>
        <w:ind w:left="0" w:right="0"/>
        <w:jc w:val="both"/>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根据《环境影响评价技术导则大气环境》(HJ2.2-2018)中“9.1.2二级评价项目按 HJ819 的要求，提出项目在生产运行阶段的污染源监测计划”。本项目大气环境影响二级评价,故只需提出项目在生产运行阶段的污染源监测计划。</w:t>
      </w:r>
    </w:p>
    <w:p w14:paraId="407012A8">
      <w:pPr>
        <w:keepNext w:val="0"/>
        <w:keepLines w:val="0"/>
        <w:pageBreakBefore w:val="0"/>
        <w:widowControl/>
        <w:suppressLineNumbers w:val="0"/>
        <w:kinsoku/>
        <w:wordWrap/>
        <w:overflowPunct/>
        <w:topLinePunct w:val="0"/>
        <w:autoSpaceDE/>
        <w:autoSpaceDN/>
        <w:bidi w:val="0"/>
        <w:adjustRightInd/>
        <w:snapToGrid/>
        <w:ind w:left="0" w:right="0"/>
        <w:jc w:val="both"/>
        <w:textAlignment w:val="auto"/>
        <w:rPr>
          <w:rFonts w:hint="eastAsia"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根据《工业企业土壤和地下水自行监测 技术指南》(HJ1209-2021)、&lt;环境影响评价技术导则地下水环境》(HJ610-2016)11.3.2.1，本项目地下水环境影响二级评价，跟踪监测点数量一般不少于3个，至少在建设项目场地上、下游</w:t>
      </w:r>
      <w:r>
        <w:rPr>
          <w:rFonts w:hint="eastAsia" w:ascii="Times New Roman" w:hAnsi="Times New Roman" w:eastAsia="宋体" w:cs="Times New Roman"/>
          <w:spacing w:val="-1"/>
          <w:sz w:val="24"/>
          <w:szCs w:val="24"/>
          <w:highlight w:val="none"/>
          <w:lang w:val="en-US" w:eastAsia="zh-CN"/>
        </w:rPr>
        <w:t>各布置1个。每</w:t>
      </w:r>
      <w:r>
        <w:rPr>
          <w:rFonts w:hint="eastAsia" w:eastAsia="宋体" w:cs="Times New Roman"/>
          <w:spacing w:val="-1"/>
          <w:sz w:val="24"/>
          <w:szCs w:val="24"/>
          <w:highlight w:val="none"/>
          <w:lang w:val="en-US" w:eastAsia="zh-CN"/>
        </w:rPr>
        <w:t>三</w:t>
      </w:r>
      <w:r>
        <w:rPr>
          <w:rFonts w:hint="eastAsia" w:ascii="Times New Roman" w:hAnsi="Times New Roman" w:eastAsia="宋体" w:cs="Times New Roman"/>
          <w:spacing w:val="-1"/>
          <w:sz w:val="24"/>
          <w:szCs w:val="24"/>
          <w:highlight w:val="none"/>
          <w:lang w:val="en-US" w:eastAsia="zh-CN"/>
        </w:rPr>
        <w:t>年内开展一次监测。</w:t>
      </w:r>
    </w:p>
    <w:p w14:paraId="18C89788">
      <w:pPr>
        <w:tabs>
          <w:tab w:val="left" w:pos="1590"/>
        </w:tabs>
        <w:bidi w:val="0"/>
        <w:jc w:val="left"/>
        <w:rPr>
          <w:rFonts w:hint="default" w:ascii="Times New Roman" w:hAnsi="Times New Roman" w:eastAsia="宋体" w:cs="Times New Roman"/>
          <w:spacing w:val="-1"/>
          <w:sz w:val="24"/>
          <w:szCs w:val="24"/>
          <w:highlight w:val="none"/>
          <w:lang w:val="en-US" w:eastAsia="zh-CN"/>
        </w:rPr>
      </w:pPr>
      <w:r>
        <w:rPr>
          <w:rFonts w:hint="eastAsia" w:ascii="Times New Roman" w:hAnsi="Times New Roman" w:eastAsia="宋体" w:cs="Times New Roman"/>
          <w:spacing w:val="-1"/>
          <w:sz w:val="24"/>
          <w:szCs w:val="24"/>
          <w:highlight w:val="none"/>
          <w:lang w:val="en-US" w:eastAsia="zh-CN"/>
        </w:rPr>
        <w:t>根据《环境影响评价技术导则 土壤环境（试行）》（HJ964-2018），</w:t>
      </w:r>
      <w:r>
        <w:rPr>
          <w:rFonts w:hint="default" w:ascii="Times New Roman" w:hAnsi="Times New Roman" w:eastAsia="宋体" w:cs="Times New Roman"/>
          <w:spacing w:val="-1"/>
          <w:sz w:val="24"/>
          <w:szCs w:val="24"/>
          <w:highlight w:val="none"/>
          <w:lang w:val="en-US" w:eastAsia="zh-CN"/>
        </w:rPr>
        <w:t>本项目</w:t>
      </w:r>
      <w:r>
        <w:rPr>
          <w:rFonts w:hint="eastAsia" w:ascii="Times New Roman" w:hAnsi="Times New Roman" w:eastAsia="宋体" w:cs="Times New Roman"/>
          <w:spacing w:val="-1"/>
          <w:sz w:val="24"/>
          <w:szCs w:val="24"/>
          <w:highlight w:val="none"/>
          <w:lang w:val="en-US" w:eastAsia="zh-CN"/>
        </w:rPr>
        <w:t>土壤</w:t>
      </w:r>
      <w:r>
        <w:rPr>
          <w:rFonts w:hint="default" w:ascii="Times New Roman" w:hAnsi="Times New Roman" w:eastAsia="宋体" w:cs="Times New Roman"/>
          <w:spacing w:val="-1"/>
          <w:sz w:val="24"/>
          <w:szCs w:val="24"/>
          <w:highlight w:val="none"/>
          <w:lang w:val="en-US" w:eastAsia="zh-CN"/>
        </w:rPr>
        <w:t>环境影响二级评价</w:t>
      </w:r>
      <w:r>
        <w:rPr>
          <w:rFonts w:hint="eastAsia" w:ascii="Times New Roman" w:hAnsi="Times New Roman" w:eastAsia="宋体" w:cs="Times New Roman"/>
          <w:spacing w:val="-1"/>
          <w:sz w:val="24"/>
          <w:szCs w:val="24"/>
          <w:highlight w:val="none"/>
          <w:lang w:val="en-US" w:eastAsia="zh-CN"/>
        </w:rPr>
        <w:t>，每五年内开展一次监测。</w:t>
      </w:r>
    </w:p>
    <w:p w14:paraId="6E4A88E0">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hint="default" w:ascii="Times New Roman" w:hAnsi="Times New Roman" w:eastAsia="宋体" w:cs="Times New Roman"/>
          <w:b/>
          <w:bCs/>
          <w:color w:val="0C0C0C"/>
          <w:kern w:val="0"/>
          <w:sz w:val="24"/>
          <w:szCs w:val="24"/>
          <w:highlight w:val="none"/>
          <w:lang w:val="en-US" w:eastAsia="zh-CN" w:bidi="ar"/>
        </w:rPr>
      </w:pPr>
      <w:r>
        <w:rPr>
          <w:rFonts w:hint="default" w:ascii="Times New Roman" w:hAnsi="Times New Roman" w:eastAsia="宋体" w:cs="Times New Roman"/>
          <w:b/>
          <w:bCs/>
          <w:color w:val="0C0C0C"/>
          <w:kern w:val="0"/>
          <w:sz w:val="24"/>
          <w:szCs w:val="24"/>
          <w:highlight w:val="none"/>
          <w:lang w:val="en-US" w:eastAsia="zh-CN" w:bidi="ar"/>
        </w:rPr>
        <w:t xml:space="preserve">表 </w:t>
      </w:r>
      <w:r>
        <w:rPr>
          <w:rFonts w:hint="eastAsia" w:ascii="Times New Roman" w:hAnsi="Times New Roman" w:eastAsia="宋体" w:cs="Times New Roman"/>
          <w:b/>
          <w:bCs/>
          <w:color w:val="0C0C0C"/>
          <w:kern w:val="0"/>
          <w:sz w:val="24"/>
          <w:szCs w:val="24"/>
          <w:highlight w:val="none"/>
          <w:lang w:val="en-US" w:eastAsia="zh-CN" w:bidi="ar"/>
        </w:rPr>
        <w:t>9.2-6</w:t>
      </w:r>
      <w:r>
        <w:rPr>
          <w:rFonts w:hint="default" w:ascii="Times New Roman" w:hAnsi="Times New Roman" w:eastAsia="宋体" w:cs="Times New Roman"/>
          <w:b/>
          <w:bCs/>
          <w:color w:val="0C0C0C"/>
          <w:kern w:val="0"/>
          <w:sz w:val="24"/>
          <w:szCs w:val="24"/>
          <w:highlight w:val="none"/>
          <w:lang w:val="en-US" w:eastAsia="zh-CN" w:bidi="ar"/>
        </w:rPr>
        <w:t xml:space="preserve">  项目周边环境质量影响监测</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815"/>
        <w:gridCol w:w="1705"/>
        <w:gridCol w:w="946"/>
        <w:gridCol w:w="2775"/>
      </w:tblGrid>
      <w:tr w14:paraId="045F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7F750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sz w:val="21"/>
                <w:szCs w:val="21"/>
                <w:highlight w:val="none"/>
                <w:vertAlign w:val="baseline"/>
                <w:lang w:val="en-US" w:eastAsia="zh-CN"/>
              </w:rPr>
            </w:pPr>
            <w:r>
              <w:rPr>
                <w:rFonts w:hint="eastAsia" w:cs="Times New Roman" w:eastAsiaTheme="minorEastAsia"/>
                <w:b/>
                <w:bCs/>
                <w:sz w:val="21"/>
                <w:szCs w:val="21"/>
                <w:highlight w:val="none"/>
                <w:vertAlign w:val="baseline"/>
                <w:lang w:val="en-US" w:eastAsia="zh-CN"/>
              </w:rPr>
              <w:t>类别</w:t>
            </w:r>
          </w:p>
        </w:tc>
        <w:tc>
          <w:tcPr>
            <w:tcW w:w="1815" w:type="dxa"/>
            <w:vAlign w:val="center"/>
          </w:tcPr>
          <w:p w14:paraId="733935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监测点位</w:t>
            </w:r>
          </w:p>
        </w:tc>
        <w:tc>
          <w:tcPr>
            <w:tcW w:w="1705" w:type="dxa"/>
            <w:vAlign w:val="center"/>
          </w:tcPr>
          <w:p w14:paraId="50022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监测指标</w:t>
            </w:r>
          </w:p>
        </w:tc>
        <w:tc>
          <w:tcPr>
            <w:tcW w:w="946" w:type="dxa"/>
            <w:vAlign w:val="center"/>
          </w:tcPr>
          <w:p w14:paraId="47AE1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监测频次</w:t>
            </w:r>
          </w:p>
        </w:tc>
        <w:tc>
          <w:tcPr>
            <w:tcW w:w="2775" w:type="dxa"/>
            <w:vAlign w:val="center"/>
          </w:tcPr>
          <w:p w14:paraId="473942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bCs/>
                <w:sz w:val="21"/>
                <w:szCs w:val="21"/>
                <w:highlight w:val="none"/>
                <w:vertAlign w:val="baseline"/>
                <w:lang w:val="en-US" w:eastAsia="zh-CN"/>
              </w:rPr>
            </w:pPr>
            <w:r>
              <w:rPr>
                <w:rFonts w:hint="eastAsia" w:ascii="Times New Roman" w:hAnsi="Times New Roman" w:cs="Times New Roman" w:eastAsiaTheme="minorEastAsia"/>
                <w:b/>
                <w:bCs/>
                <w:sz w:val="21"/>
                <w:szCs w:val="21"/>
                <w:highlight w:val="none"/>
                <w:vertAlign w:val="baseline"/>
                <w:lang w:val="en-US" w:eastAsia="zh-CN"/>
              </w:rPr>
              <w:t>执行标准</w:t>
            </w:r>
          </w:p>
        </w:tc>
      </w:tr>
      <w:tr w14:paraId="603C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7E4CA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地下水</w:t>
            </w:r>
          </w:p>
        </w:tc>
        <w:tc>
          <w:tcPr>
            <w:tcW w:w="1815" w:type="dxa"/>
            <w:vAlign w:val="center"/>
          </w:tcPr>
          <w:p w14:paraId="0C7FA1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 xml:space="preserve">场地及其上、下 </w:t>
            </w:r>
          </w:p>
          <w:p w14:paraId="7E87EA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 xml:space="preserve">游各布设 </w:t>
            </w:r>
            <w:r>
              <w:rPr>
                <w:rFonts w:hint="default" w:ascii="Times New Roman" w:hAnsi="Times New Roman" w:cs="Times New Roman" w:eastAsiaTheme="minorEastAsia"/>
                <w:kern w:val="2"/>
                <w:sz w:val="21"/>
                <w:szCs w:val="21"/>
                <w:highlight w:val="none"/>
                <w:vertAlign w:val="baseline"/>
                <w:lang w:val="en-US" w:eastAsia="zh-CN" w:bidi="ar-SA"/>
              </w:rPr>
              <w:t xml:space="preserve">1 </w:t>
            </w:r>
            <w:r>
              <w:rPr>
                <w:rFonts w:hint="eastAsia" w:ascii="Times New Roman" w:hAnsi="Times New Roman" w:cs="Times New Roman" w:eastAsiaTheme="minorEastAsia"/>
                <w:kern w:val="2"/>
                <w:sz w:val="21"/>
                <w:szCs w:val="21"/>
                <w:highlight w:val="none"/>
                <w:vertAlign w:val="baseline"/>
                <w:lang w:val="en-US" w:eastAsia="zh-CN" w:bidi="ar-SA"/>
              </w:rPr>
              <w:t>个</w:t>
            </w:r>
          </w:p>
        </w:tc>
        <w:tc>
          <w:tcPr>
            <w:tcW w:w="1705" w:type="dxa"/>
            <w:vAlign w:val="center"/>
          </w:tcPr>
          <w:p w14:paraId="05338A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eastAsiaTheme="minorEastAsia"/>
                <w:kern w:val="2"/>
                <w:sz w:val="21"/>
                <w:szCs w:val="21"/>
                <w:highlight w:val="none"/>
                <w:vertAlign w:val="baseline"/>
                <w:lang w:val="en-US" w:eastAsia="zh-CN" w:bidi="ar-SA"/>
              </w:rPr>
              <w:t>石油类</w:t>
            </w:r>
            <w:r>
              <w:rPr>
                <w:rFonts w:hint="eastAsia" w:ascii="Times New Roman" w:hAnsi="Times New Roman" w:cs="Times New Roman" w:eastAsiaTheme="minorEastAsia"/>
                <w:kern w:val="2"/>
                <w:sz w:val="21"/>
                <w:szCs w:val="21"/>
                <w:highlight w:val="none"/>
                <w:vertAlign w:val="baseline"/>
                <w:lang w:val="en-US" w:eastAsia="zh-CN" w:bidi="ar-SA"/>
              </w:rPr>
              <w:t>、阴离子表面活性剂</w:t>
            </w:r>
          </w:p>
        </w:tc>
        <w:tc>
          <w:tcPr>
            <w:tcW w:w="946" w:type="dxa"/>
            <w:vAlign w:val="center"/>
          </w:tcPr>
          <w:p w14:paraId="05F05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eastAsia" w:cs="Times New Roman" w:eastAsiaTheme="minorEastAsia"/>
                <w:kern w:val="2"/>
                <w:sz w:val="21"/>
                <w:szCs w:val="21"/>
                <w:highlight w:val="none"/>
                <w:vertAlign w:val="baseline"/>
                <w:lang w:val="en-US" w:eastAsia="zh-CN" w:bidi="ar-SA"/>
              </w:rPr>
              <w:t>1</w:t>
            </w:r>
            <w:r>
              <w:rPr>
                <w:rFonts w:hint="default" w:ascii="Times New Roman" w:hAnsi="Times New Roman" w:cs="Times New Roman" w:eastAsiaTheme="minorEastAsia"/>
                <w:kern w:val="2"/>
                <w:sz w:val="21"/>
                <w:szCs w:val="21"/>
                <w:highlight w:val="none"/>
                <w:vertAlign w:val="baseline"/>
                <w:lang w:val="en-US" w:eastAsia="zh-CN" w:bidi="ar-SA"/>
              </w:rPr>
              <w:t xml:space="preserve"> </w:t>
            </w:r>
            <w:r>
              <w:rPr>
                <w:rFonts w:hint="eastAsia" w:ascii="Times New Roman" w:hAnsi="Times New Roman" w:cs="Times New Roman" w:eastAsiaTheme="minorEastAsia"/>
                <w:kern w:val="2"/>
                <w:sz w:val="21"/>
                <w:szCs w:val="21"/>
                <w:highlight w:val="none"/>
                <w:vertAlign w:val="baseline"/>
                <w:lang w:val="en-US" w:eastAsia="zh-CN" w:bidi="ar-SA"/>
              </w:rPr>
              <w:t>次</w:t>
            </w:r>
            <w:r>
              <w:rPr>
                <w:rFonts w:hint="default" w:ascii="Times New Roman" w:hAnsi="Times New Roman" w:cs="Times New Roman" w:eastAsiaTheme="minorEastAsia"/>
                <w:kern w:val="2"/>
                <w:sz w:val="21"/>
                <w:szCs w:val="21"/>
                <w:highlight w:val="none"/>
                <w:vertAlign w:val="baseline"/>
                <w:lang w:val="en-US" w:eastAsia="zh-CN" w:bidi="ar-SA"/>
              </w:rPr>
              <w:t>/</w:t>
            </w:r>
            <w:r>
              <w:rPr>
                <w:rFonts w:hint="eastAsia" w:cs="Times New Roman" w:eastAsiaTheme="minorEastAsia"/>
                <w:kern w:val="2"/>
                <w:sz w:val="21"/>
                <w:szCs w:val="21"/>
                <w:highlight w:val="none"/>
                <w:vertAlign w:val="baseline"/>
                <w:lang w:val="en-US" w:eastAsia="zh-CN" w:bidi="ar-SA"/>
              </w:rPr>
              <w:t>3</w:t>
            </w:r>
            <w:r>
              <w:rPr>
                <w:rFonts w:hint="eastAsia" w:ascii="Times New Roman" w:hAnsi="Times New Roman" w:cs="Times New Roman" w:eastAsiaTheme="minorEastAsia"/>
                <w:kern w:val="2"/>
                <w:sz w:val="21"/>
                <w:szCs w:val="21"/>
                <w:highlight w:val="none"/>
                <w:vertAlign w:val="baseline"/>
                <w:lang w:val="en-US" w:eastAsia="zh-CN" w:bidi="ar-SA"/>
              </w:rPr>
              <w:t>年</w:t>
            </w:r>
          </w:p>
        </w:tc>
        <w:tc>
          <w:tcPr>
            <w:tcW w:w="2775" w:type="dxa"/>
            <w:vAlign w:val="center"/>
          </w:tcPr>
          <w:p w14:paraId="52378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GB/T14848 -2017中</w:t>
            </w:r>
            <w:r>
              <w:rPr>
                <w:rFonts w:hint="eastAsia" w:ascii="Times New Roman" w:hAnsi="Times New Roman" w:cs="Times New Roman" w:eastAsiaTheme="minorEastAsia"/>
                <w:kern w:val="2"/>
                <w:sz w:val="21"/>
                <w:szCs w:val="21"/>
                <w:highlight w:val="none"/>
                <w:vertAlign w:val="baseline"/>
                <w:lang w:val="en-US" w:eastAsia="zh-CN" w:bidi="ar-SA"/>
              </w:rPr>
              <w:fldChar w:fldCharType="begin"/>
            </w:r>
            <w:r>
              <w:rPr>
                <w:rFonts w:hint="eastAsia" w:ascii="Times New Roman" w:hAnsi="Times New Roman" w:cs="Times New Roman" w:eastAsiaTheme="minorEastAsia"/>
                <w:kern w:val="2"/>
                <w:sz w:val="21"/>
                <w:szCs w:val="21"/>
                <w:highlight w:val="none"/>
                <w:vertAlign w:val="baseline"/>
                <w:lang w:val="en-US" w:eastAsia="zh-CN" w:bidi="ar-SA"/>
              </w:rPr>
              <w:instrText xml:space="preserve"> = 3 \* ROMAN \* MERGEFORMAT </w:instrText>
            </w:r>
            <w:r>
              <w:rPr>
                <w:rFonts w:hint="eastAsia" w:ascii="Times New Roman" w:hAnsi="Times New Roman" w:cs="Times New Roman" w:eastAsiaTheme="minorEastAsia"/>
                <w:kern w:val="2"/>
                <w:sz w:val="21"/>
                <w:szCs w:val="21"/>
                <w:highlight w:val="none"/>
                <w:vertAlign w:val="baseline"/>
                <w:lang w:val="en-US" w:eastAsia="zh-CN" w:bidi="ar-SA"/>
              </w:rPr>
              <w:fldChar w:fldCharType="separate"/>
            </w:r>
            <w:r>
              <w:rPr>
                <w:rFonts w:hint="eastAsia" w:ascii="Times New Roman" w:hAnsi="Times New Roman" w:cs="Times New Roman" w:eastAsiaTheme="minorEastAsia"/>
                <w:kern w:val="2"/>
                <w:sz w:val="21"/>
                <w:szCs w:val="21"/>
                <w:highlight w:val="none"/>
                <w:vertAlign w:val="baseline"/>
                <w:lang w:val="en-US" w:eastAsia="zh-CN" w:bidi="ar-SA"/>
              </w:rPr>
              <w:t>III</w:t>
            </w:r>
            <w:r>
              <w:rPr>
                <w:rFonts w:hint="eastAsia" w:ascii="Times New Roman" w:hAnsi="Times New Roman" w:cs="Times New Roman" w:eastAsiaTheme="minorEastAsia"/>
                <w:kern w:val="2"/>
                <w:sz w:val="21"/>
                <w:szCs w:val="21"/>
                <w:highlight w:val="none"/>
                <w:vertAlign w:val="baseline"/>
                <w:lang w:val="en-US" w:eastAsia="zh-CN" w:bidi="ar-SA"/>
              </w:rPr>
              <w:fldChar w:fldCharType="end"/>
            </w:r>
            <w:r>
              <w:rPr>
                <w:rFonts w:hint="eastAsia" w:ascii="Times New Roman" w:hAnsi="Times New Roman" w:cs="Times New Roman" w:eastAsiaTheme="minorEastAsia"/>
                <w:kern w:val="2"/>
                <w:sz w:val="21"/>
                <w:szCs w:val="21"/>
                <w:highlight w:val="none"/>
                <w:vertAlign w:val="baseline"/>
                <w:lang w:val="en-US" w:eastAsia="zh-CN" w:bidi="ar-SA"/>
              </w:rPr>
              <w:t>类标准要求</w:t>
            </w:r>
          </w:p>
        </w:tc>
      </w:tr>
      <w:tr w14:paraId="6A12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55BABD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土壤</w:t>
            </w:r>
          </w:p>
        </w:tc>
        <w:tc>
          <w:tcPr>
            <w:tcW w:w="1815" w:type="dxa"/>
            <w:vAlign w:val="center"/>
          </w:tcPr>
          <w:p w14:paraId="00D2A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厂区</w:t>
            </w:r>
            <w:r>
              <w:rPr>
                <w:rFonts w:hint="default" w:ascii="Times New Roman" w:hAnsi="Times New Roman" w:cs="Times New Roman" w:eastAsiaTheme="minorEastAsia"/>
                <w:kern w:val="2"/>
                <w:sz w:val="21"/>
                <w:szCs w:val="21"/>
                <w:highlight w:val="none"/>
                <w:vertAlign w:val="baseline"/>
                <w:lang w:val="en-US" w:eastAsia="zh-CN" w:bidi="ar-SA"/>
              </w:rPr>
              <w:t>南侧</w:t>
            </w:r>
            <w:r>
              <w:rPr>
                <w:rFonts w:hint="eastAsia" w:ascii="Times New Roman" w:hAnsi="Times New Roman" w:cs="Times New Roman" w:eastAsiaTheme="minorEastAsia"/>
                <w:kern w:val="2"/>
                <w:sz w:val="21"/>
                <w:szCs w:val="21"/>
                <w:highlight w:val="none"/>
                <w:vertAlign w:val="baseline"/>
                <w:lang w:val="en-US" w:eastAsia="zh-CN" w:bidi="ar-SA"/>
              </w:rPr>
              <w:t>出口</w:t>
            </w:r>
            <w:r>
              <w:rPr>
                <w:rFonts w:hint="default" w:ascii="Times New Roman" w:hAnsi="Times New Roman" w:cs="Times New Roman" w:eastAsiaTheme="minorEastAsia"/>
                <w:kern w:val="2"/>
                <w:sz w:val="21"/>
                <w:szCs w:val="21"/>
                <w:highlight w:val="none"/>
                <w:vertAlign w:val="baseline"/>
                <w:lang w:val="en-US" w:eastAsia="zh-CN" w:bidi="ar-SA"/>
              </w:rPr>
              <w:t>（靠近危废间）</w:t>
            </w:r>
          </w:p>
        </w:tc>
        <w:tc>
          <w:tcPr>
            <w:tcW w:w="1705" w:type="dxa"/>
            <w:vAlign w:val="center"/>
          </w:tcPr>
          <w:p w14:paraId="41B9F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石油烃（C10-C40）</w:t>
            </w:r>
          </w:p>
        </w:tc>
        <w:tc>
          <w:tcPr>
            <w:tcW w:w="946" w:type="dxa"/>
            <w:vAlign w:val="center"/>
          </w:tcPr>
          <w:p w14:paraId="47B2F4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default" w:ascii="Times New Roman" w:hAnsi="Times New Roman" w:cs="Times New Roman" w:eastAsiaTheme="minorEastAsia"/>
                <w:kern w:val="2"/>
                <w:sz w:val="21"/>
                <w:szCs w:val="21"/>
                <w:highlight w:val="none"/>
                <w:vertAlign w:val="baseline"/>
                <w:lang w:val="en-US" w:eastAsia="zh-CN" w:bidi="ar-SA"/>
              </w:rPr>
              <w:t xml:space="preserve">1 </w:t>
            </w:r>
            <w:r>
              <w:rPr>
                <w:rFonts w:hint="eastAsia" w:ascii="Times New Roman" w:hAnsi="Times New Roman" w:cs="Times New Roman" w:eastAsiaTheme="minorEastAsia"/>
                <w:kern w:val="2"/>
                <w:sz w:val="21"/>
                <w:szCs w:val="21"/>
                <w:highlight w:val="none"/>
                <w:vertAlign w:val="baseline"/>
                <w:lang w:val="en-US" w:eastAsia="zh-CN" w:bidi="ar-SA"/>
              </w:rPr>
              <w:t>次</w:t>
            </w:r>
            <w:r>
              <w:rPr>
                <w:rFonts w:hint="default" w:ascii="Times New Roman" w:hAnsi="Times New Roman" w:cs="Times New Roman" w:eastAsiaTheme="minorEastAsia"/>
                <w:kern w:val="2"/>
                <w:sz w:val="21"/>
                <w:szCs w:val="21"/>
                <w:highlight w:val="none"/>
                <w:vertAlign w:val="baseline"/>
                <w:lang w:val="en-US" w:eastAsia="zh-CN" w:bidi="ar-SA"/>
              </w:rPr>
              <w:t xml:space="preserve">/5 </w:t>
            </w:r>
            <w:r>
              <w:rPr>
                <w:rFonts w:hint="eastAsia" w:ascii="Times New Roman" w:hAnsi="Times New Roman" w:cs="Times New Roman" w:eastAsiaTheme="minorEastAsia"/>
                <w:kern w:val="2"/>
                <w:sz w:val="21"/>
                <w:szCs w:val="21"/>
                <w:highlight w:val="none"/>
                <w:vertAlign w:val="baseline"/>
                <w:lang w:val="en-US" w:eastAsia="zh-CN" w:bidi="ar-SA"/>
              </w:rPr>
              <w:t>年</w:t>
            </w:r>
          </w:p>
          <w:p w14:paraId="3CB149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p>
        </w:tc>
        <w:tc>
          <w:tcPr>
            <w:tcW w:w="2775" w:type="dxa"/>
            <w:vAlign w:val="center"/>
          </w:tcPr>
          <w:p w14:paraId="6C2802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kern w:val="2"/>
                <w:sz w:val="21"/>
                <w:szCs w:val="21"/>
                <w:highlight w:val="none"/>
                <w:vertAlign w:val="baseline"/>
                <w:lang w:val="en-US" w:eastAsia="zh-CN" w:bidi="ar-SA"/>
              </w:rPr>
            </w:pPr>
            <w:r>
              <w:rPr>
                <w:rFonts w:hint="eastAsia" w:ascii="Times New Roman" w:hAnsi="Times New Roman" w:cs="Times New Roman" w:eastAsiaTheme="minorEastAsia"/>
                <w:kern w:val="2"/>
                <w:sz w:val="21"/>
                <w:szCs w:val="21"/>
                <w:highlight w:val="none"/>
                <w:vertAlign w:val="baseline"/>
                <w:lang w:val="en-US" w:eastAsia="zh-CN" w:bidi="ar-SA"/>
              </w:rPr>
              <w:t>GB36600-2018）</w:t>
            </w:r>
            <w:r>
              <w:rPr>
                <w:rFonts w:hint="default" w:ascii="Times New Roman" w:hAnsi="Times New Roman" w:cs="Times New Roman" w:eastAsiaTheme="minorEastAsia"/>
                <w:kern w:val="2"/>
                <w:sz w:val="21"/>
                <w:szCs w:val="21"/>
                <w:highlight w:val="none"/>
                <w:vertAlign w:val="baseline"/>
                <w:lang w:val="en-US" w:eastAsia="zh-CN" w:bidi="ar-SA"/>
              </w:rPr>
              <w:t>第</w:t>
            </w:r>
            <w:r>
              <w:rPr>
                <w:rFonts w:hint="eastAsia" w:ascii="Times New Roman" w:hAnsi="Times New Roman" w:cs="Times New Roman" w:eastAsiaTheme="minorEastAsia"/>
                <w:kern w:val="2"/>
                <w:sz w:val="21"/>
                <w:szCs w:val="21"/>
                <w:highlight w:val="none"/>
                <w:vertAlign w:val="baseline"/>
                <w:lang w:val="en-US" w:eastAsia="zh-CN" w:bidi="ar-SA"/>
              </w:rPr>
              <w:t>二</w:t>
            </w:r>
            <w:r>
              <w:rPr>
                <w:rFonts w:hint="default" w:ascii="Times New Roman" w:hAnsi="Times New Roman" w:cs="Times New Roman" w:eastAsiaTheme="minorEastAsia"/>
                <w:kern w:val="2"/>
                <w:sz w:val="21"/>
                <w:szCs w:val="21"/>
                <w:highlight w:val="none"/>
                <w:vertAlign w:val="baseline"/>
                <w:lang w:val="en-US" w:eastAsia="zh-CN" w:bidi="ar-SA"/>
              </w:rPr>
              <w:t>类用地筛选值标准</w:t>
            </w:r>
          </w:p>
        </w:tc>
      </w:tr>
    </w:tbl>
    <w:p w14:paraId="10A82E94">
      <w:pPr>
        <w:pStyle w:val="6"/>
        <w:bidi w:val="0"/>
        <w:rPr>
          <w:highlight w:val="none"/>
        </w:rPr>
      </w:pPr>
      <w:bookmarkStart w:id="277" w:name="_Toc1633"/>
      <w:r>
        <w:rPr>
          <w:highlight w:val="none"/>
        </w:rPr>
        <w:t>9.3 排污许可、环保设施竣工内容及要求</w:t>
      </w:r>
      <w:bookmarkEnd w:id="277"/>
    </w:p>
    <w:p w14:paraId="3E181F95">
      <w:pPr>
        <w:pStyle w:val="7"/>
        <w:bidi w:val="0"/>
        <w:rPr>
          <w:rFonts w:hint="default" w:eastAsia="宋体"/>
          <w:highlight w:val="none"/>
          <w:lang w:val="en-US" w:eastAsia="zh-CN"/>
        </w:rPr>
      </w:pPr>
      <w:bookmarkStart w:id="278" w:name="_Toc837"/>
      <w:r>
        <w:rPr>
          <w:highlight w:val="none"/>
        </w:rPr>
        <w:t>9.3.1 排污许可</w:t>
      </w:r>
      <w:r>
        <w:rPr>
          <w:rFonts w:hint="eastAsia"/>
          <w:highlight w:val="none"/>
          <w:lang w:val="en-US" w:eastAsia="zh-CN"/>
        </w:rPr>
        <w:t>证办理</w:t>
      </w:r>
      <w:bookmarkEnd w:id="278"/>
    </w:p>
    <w:p w14:paraId="3C338C30">
      <w:pPr>
        <w:spacing w:line="359" w:lineRule="auto"/>
        <w:ind w:left="8" w:right="23" w:firstLine="480"/>
        <w:jc w:val="both"/>
        <w:rPr>
          <w:rFonts w:ascii="宋体" w:hAnsi="宋体" w:eastAsia="宋体" w:cs="宋体"/>
          <w:sz w:val="24"/>
          <w:szCs w:val="24"/>
          <w:highlight w:val="none"/>
        </w:rPr>
      </w:pPr>
      <w:r>
        <w:rPr>
          <w:rFonts w:ascii="宋体" w:hAnsi="宋体" w:eastAsia="宋体" w:cs="宋体"/>
          <w:spacing w:val="-3"/>
          <w:sz w:val="24"/>
          <w:szCs w:val="24"/>
          <w:highlight w:val="none"/>
        </w:rPr>
        <w:t>本项目应严格按照《排污许可管理条例》和《排污许可证申请与核发技术规范</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总则》规定的要求，推进排污及污染源</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一证式</w:t>
      </w:r>
      <w:r>
        <w:rPr>
          <w:rFonts w:ascii="Times New Roman" w:hAnsi="Times New Roman" w:eastAsia="Times New Roman" w:cs="Times New Roman"/>
          <w:spacing w:val="1"/>
          <w:sz w:val="24"/>
          <w:szCs w:val="24"/>
          <w:highlight w:val="none"/>
        </w:rPr>
        <w:t>”</w:t>
      </w:r>
      <w:r>
        <w:rPr>
          <w:rFonts w:ascii="宋体" w:hAnsi="宋体" w:eastAsia="宋体" w:cs="宋体"/>
          <w:spacing w:val="1"/>
          <w:sz w:val="24"/>
          <w:szCs w:val="24"/>
          <w:highlight w:val="none"/>
        </w:rPr>
        <w:t>管理工作，并作为建设单位在生</w:t>
      </w:r>
      <w:r>
        <w:rPr>
          <w:rFonts w:ascii="宋体" w:hAnsi="宋体" w:eastAsia="宋体" w:cs="宋体"/>
          <w:spacing w:val="-3"/>
          <w:sz w:val="24"/>
          <w:szCs w:val="24"/>
          <w:highlight w:val="none"/>
        </w:rPr>
        <w:t>产运营期接受环境监管和环境保护部门实施监管的主要法律文书，单位依法申领排</w:t>
      </w:r>
      <w:r>
        <w:rPr>
          <w:rFonts w:ascii="宋体" w:hAnsi="宋体" w:eastAsia="宋体" w:cs="宋体"/>
          <w:spacing w:val="-4"/>
          <w:sz w:val="24"/>
          <w:szCs w:val="24"/>
          <w:highlight w:val="none"/>
        </w:rPr>
        <w:t>污许可证，按证排污，</w:t>
      </w:r>
      <w:r>
        <w:rPr>
          <w:rFonts w:ascii="宋体" w:hAnsi="宋体" w:eastAsia="宋体" w:cs="宋体"/>
          <w:spacing w:val="-71"/>
          <w:sz w:val="24"/>
          <w:szCs w:val="24"/>
          <w:highlight w:val="none"/>
        </w:rPr>
        <w:t xml:space="preserve"> </w:t>
      </w:r>
      <w:r>
        <w:rPr>
          <w:rFonts w:ascii="宋体" w:hAnsi="宋体" w:eastAsia="宋体" w:cs="宋体"/>
          <w:spacing w:val="-4"/>
          <w:sz w:val="24"/>
          <w:szCs w:val="24"/>
          <w:highlight w:val="none"/>
        </w:rPr>
        <w:t>自证守法。</w:t>
      </w:r>
    </w:p>
    <w:p w14:paraId="3E711944">
      <w:pPr>
        <w:spacing w:before="2" w:line="359" w:lineRule="auto"/>
        <w:ind w:left="9"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环境影响评价技术文件及批复中与污染物排放相关的主要内容应当纳入排污</w:t>
      </w:r>
      <w:r>
        <w:rPr>
          <w:rFonts w:ascii="宋体" w:hAnsi="宋体" w:eastAsia="宋体" w:cs="宋体"/>
          <w:spacing w:val="-2"/>
          <w:sz w:val="24"/>
          <w:szCs w:val="24"/>
          <w:highlight w:val="none"/>
        </w:rPr>
        <w:t>许可证，项目建设内容、产品方案、建设规模，采用的工艺流程、工艺技术方案，</w:t>
      </w:r>
      <w:r>
        <w:rPr>
          <w:rFonts w:ascii="宋体" w:hAnsi="宋体" w:eastAsia="宋体" w:cs="宋体"/>
          <w:spacing w:val="2"/>
          <w:sz w:val="24"/>
          <w:szCs w:val="24"/>
          <w:highlight w:val="none"/>
        </w:rPr>
        <w:t xml:space="preserve"> </w:t>
      </w:r>
      <w:r>
        <w:rPr>
          <w:rFonts w:ascii="宋体" w:hAnsi="宋体" w:eastAsia="宋体" w:cs="宋体"/>
          <w:spacing w:val="-1"/>
          <w:sz w:val="24"/>
          <w:szCs w:val="24"/>
          <w:highlight w:val="none"/>
        </w:rPr>
        <w:t>污染预防和清洁生产措施， 环保设施和治理措施，各类污染物排放总量，</w:t>
      </w:r>
      <w:r>
        <w:rPr>
          <w:rFonts w:ascii="宋体" w:hAnsi="宋体" w:eastAsia="宋体" w:cs="宋体"/>
          <w:spacing w:val="-58"/>
          <w:sz w:val="24"/>
          <w:szCs w:val="24"/>
          <w:highlight w:val="none"/>
        </w:rPr>
        <w:t xml:space="preserve"> </w:t>
      </w:r>
      <w:r>
        <w:rPr>
          <w:rFonts w:ascii="宋体" w:hAnsi="宋体" w:eastAsia="宋体" w:cs="宋体"/>
          <w:spacing w:val="-1"/>
          <w:sz w:val="24"/>
          <w:szCs w:val="24"/>
          <w:highlight w:val="none"/>
        </w:rPr>
        <w:t>自行监</w:t>
      </w:r>
      <w:r>
        <w:rPr>
          <w:rFonts w:ascii="宋体" w:hAnsi="宋体" w:eastAsia="宋体" w:cs="宋体"/>
          <w:spacing w:val="-3"/>
          <w:sz w:val="24"/>
          <w:szCs w:val="24"/>
          <w:highlight w:val="none"/>
        </w:rPr>
        <w:t>测要求，环境风险防范体系等，将生产装置、产排污设施载入排污许可证，具体内</w:t>
      </w:r>
      <w:r>
        <w:rPr>
          <w:rFonts w:ascii="宋体" w:hAnsi="宋体" w:eastAsia="宋体" w:cs="宋体"/>
          <w:spacing w:val="-2"/>
          <w:sz w:val="24"/>
          <w:szCs w:val="24"/>
          <w:highlight w:val="none"/>
        </w:rPr>
        <w:t>容见报告书各章节。</w:t>
      </w:r>
    </w:p>
    <w:p w14:paraId="63E78AC5">
      <w:pPr>
        <w:spacing w:before="2" w:line="359" w:lineRule="auto"/>
        <w:ind w:left="9" w:firstLine="479"/>
        <w:jc w:val="both"/>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根据《固定污染源排污许可分类管理名录（2019  年版）》，本项目属于</w:t>
      </w:r>
      <w:r>
        <w:rPr>
          <w:rFonts w:hint="default"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lang w:val="en-US" w:eastAsia="zh-CN"/>
        </w:rPr>
        <w:t>专用化学产品制造266”</w:t>
      </w:r>
      <w:r>
        <w:rPr>
          <w:rFonts w:hint="default" w:ascii="Times New Roman" w:hAnsi="Times New Roman" w:eastAsia="宋体" w:cs="Times New Roman"/>
          <w:spacing w:val="-2"/>
          <w:sz w:val="24"/>
          <w:szCs w:val="24"/>
          <w:highlight w:val="none"/>
        </w:rPr>
        <w:t>项目，需申请排污许可证。本项目为新建项目，企业应在启动生产设施或在实际排污之前向有核发权的生态环境主管部门申请排污许可证。</w:t>
      </w:r>
    </w:p>
    <w:p w14:paraId="55CC8438">
      <w:pPr>
        <w:pStyle w:val="7"/>
        <w:bidi w:val="0"/>
        <w:rPr>
          <w:rFonts w:hint="default" w:ascii="Times New Roman" w:hAnsi="Times New Roman" w:eastAsia="宋体" w:cs="Times New Roman"/>
          <w:bCs/>
          <w:color w:val="auto"/>
          <w:sz w:val="24"/>
          <w:highlight w:val="none"/>
          <w:u w:val="none" w:color="auto"/>
          <w:lang w:val="en-US" w:eastAsia="zh-CN"/>
        </w:rPr>
      </w:pPr>
      <w:bookmarkStart w:id="279" w:name="_Toc13724"/>
      <w:r>
        <w:rPr>
          <w:rFonts w:hint="eastAsia"/>
          <w:highlight w:val="none"/>
          <w:lang w:val="en-US" w:eastAsia="zh-CN"/>
        </w:rPr>
        <w:t>9.3.2排污口规范化设置</w:t>
      </w:r>
      <w:bookmarkEnd w:id="279"/>
    </w:p>
    <w:p w14:paraId="687E9792">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建设单位应根据《固定源废气监测技术规范》（HJT 397-2007）中相关要求，在废气环保设施的进口、出口设置符合有关要求的采样孔、采样平台等设施。</w:t>
      </w:r>
    </w:p>
    <w:p w14:paraId="7A91DA38">
      <w:pPr>
        <w:keepNext w:val="0"/>
        <w:keepLines w:val="0"/>
        <w:widowControl/>
        <w:suppressLineNumbers w:val="0"/>
        <w:jc w:val="left"/>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根据国家标准（GB15562.1-1995）、（GB15562.2-1995）和国家环保总局《排污口规范化整治要求》（试行）的技术要求，企业所有排放口（包括水、气、声、渣）必须按照</w:t>
      </w:r>
      <w:r>
        <w:rPr>
          <w:rFonts w:hint="default" w:ascii="Times New Roman" w:hAnsi="Times New Roman" w:eastAsia="宋体" w:cs="Times New Roman"/>
          <w:bCs/>
          <w:color w:val="auto"/>
          <w:sz w:val="24"/>
          <w:highlight w:val="none"/>
          <w:u w:val="none" w:color="auto"/>
          <w:lang w:eastAsia="zh-CN"/>
        </w:rPr>
        <w:t>“</w:t>
      </w:r>
      <w:r>
        <w:rPr>
          <w:rFonts w:hint="default" w:ascii="Times New Roman" w:hAnsi="Times New Roman" w:eastAsia="宋体" w:cs="Times New Roman"/>
          <w:bCs/>
          <w:color w:val="auto"/>
          <w:sz w:val="24"/>
          <w:highlight w:val="none"/>
          <w:u w:val="none" w:color="auto"/>
        </w:rPr>
        <w:t>便于采样、便于计量检测、便于日常现场监督检查</w:t>
      </w:r>
      <w:r>
        <w:rPr>
          <w:rFonts w:hint="default" w:ascii="Times New Roman" w:hAnsi="Times New Roman" w:eastAsia="宋体" w:cs="Times New Roman"/>
          <w:bCs/>
          <w:color w:val="auto"/>
          <w:sz w:val="24"/>
          <w:highlight w:val="none"/>
          <w:u w:val="none" w:color="auto"/>
          <w:lang w:eastAsia="zh-CN"/>
        </w:rPr>
        <w:t>”</w:t>
      </w:r>
      <w:r>
        <w:rPr>
          <w:rFonts w:hint="default" w:ascii="Times New Roman" w:hAnsi="Times New Roman" w:eastAsia="宋体" w:cs="Times New Roman"/>
          <w:bCs/>
          <w:color w:val="auto"/>
          <w:sz w:val="24"/>
          <w:highlight w:val="none"/>
          <w:u w:val="none" w:color="auto"/>
        </w:rPr>
        <w:t>的原则和规范化要求，设置与之相适应的环境保护图形标志牌，绘制企业排污口分布图，排污口的规范化要符合有关环保要求。</w:t>
      </w:r>
    </w:p>
    <w:p w14:paraId="4C217A1B">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（1）废水排放口</w:t>
      </w:r>
    </w:p>
    <w:p w14:paraId="61537FB9">
      <w:pPr>
        <w:keepNext w:val="0"/>
        <w:keepLines w:val="0"/>
        <w:widowControl/>
        <w:suppressLineNumbers w:val="0"/>
        <w:jc w:val="left"/>
        <w:rPr>
          <w:highlight w:val="none"/>
        </w:rPr>
      </w:pPr>
      <w:r>
        <w:rPr>
          <w:rFonts w:hint="default" w:ascii="Times New Roman" w:hAnsi="Times New Roman" w:eastAsia="宋体" w:cs="Times New Roman"/>
          <w:bCs/>
          <w:color w:val="auto"/>
          <w:sz w:val="24"/>
          <w:highlight w:val="none"/>
          <w:u w:val="none" w:color="auto"/>
        </w:rPr>
        <w:t>设置一个废水排放口，排污口应在项目辖区边界内设置采样口（半径大于150mm），若排污管有压力，则应安装采样阀。</w:t>
      </w:r>
    </w:p>
    <w:p w14:paraId="6BFF9681">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（2）废气排污口</w:t>
      </w:r>
    </w:p>
    <w:p w14:paraId="2C5C7A41">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废气排放口必须符合规定的高度和按《污染源监测技术规范》便于采样、监测的要求，设置直径不小于75mm的采样口。如无法满足要求的，其采样口与环境监测部门共同确认。</w:t>
      </w:r>
    </w:p>
    <w:p w14:paraId="1B93A065">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（3）固定噪声源</w:t>
      </w:r>
    </w:p>
    <w:p w14:paraId="01DAD26C">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按规定对固定噪声源进行治理，并在边界噪声敏感点，且对边界影响最大处设置标志牌。</w:t>
      </w:r>
    </w:p>
    <w:p w14:paraId="35DC4266">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（4）固体废物贮存场</w:t>
      </w:r>
    </w:p>
    <w:p w14:paraId="48569CE5">
      <w:pPr>
        <w:spacing w:line="360" w:lineRule="auto"/>
        <w:ind w:firstLine="480" w:firstLineChars="200"/>
        <w:rPr>
          <w:rFonts w:hint="eastAsia" w:eastAsia="宋体" w:cs="Times New Roman"/>
          <w:bCs/>
          <w:color w:val="auto"/>
          <w:sz w:val="24"/>
          <w:highlight w:val="none"/>
          <w:u w:val="none" w:color="auto"/>
          <w:lang w:val="en-US" w:eastAsia="zh-CN"/>
        </w:rPr>
      </w:pPr>
      <w:r>
        <w:rPr>
          <w:rFonts w:hint="default" w:ascii="Times New Roman" w:hAnsi="Times New Roman" w:eastAsia="宋体" w:cs="Times New Roman"/>
          <w:bCs/>
          <w:color w:val="auto"/>
          <w:sz w:val="24"/>
          <w:highlight w:val="none"/>
          <w:u w:val="none" w:color="auto"/>
        </w:rPr>
        <w:t>危险废物应设置专用危险废物贮存场</w:t>
      </w:r>
      <w:r>
        <w:rPr>
          <w:rFonts w:hint="eastAsia" w:eastAsia="宋体" w:cs="Times New Roman"/>
          <w:bCs/>
          <w:color w:val="auto"/>
          <w:sz w:val="24"/>
          <w:highlight w:val="none"/>
          <w:u w:val="none" w:color="auto"/>
          <w:lang w:eastAsia="zh-CN"/>
        </w:rPr>
        <w:t>。</w:t>
      </w:r>
      <w:r>
        <w:rPr>
          <w:rFonts w:hint="eastAsia" w:eastAsia="宋体" w:cs="Times New Roman"/>
          <w:bCs/>
          <w:color w:val="auto"/>
          <w:sz w:val="24"/>
          <w:highlight w:val="none"/>
          <w:u w:val="none" w:color="auto"/>
          <w:lang w:val="en-US" w:eastAsia="zh-CN"/>
        </w:rPr>
        <w:t>一般工业固废设置一般工业固废暂存间。</w:t>
      </w:r>
    </w:p>
    <w:p w14:paraId="2D8CC893">
      <w:pPr>
        <w:spacing w:line="360" w:lineRule="auto"/>
        <w:ind w:firstLine="480" w:firstLineChars="200"/>
        <w:rPr>
          <w:rFonts w:hint="default" w:ascii="Times New Roman" w:hAnsi="Times New Roman" w:eastAsia="宋体" w:cs="Times New Roman"/>
          <w:bCs/>
          <w:color w:val="auto"/>
          <w:sz w:val="24"/>
          <w:highlight w:val="none"/>
          <w:u w:val="none" w:color="auto"/>
        </w:rPr>
      </w:pPr>
      <w:r>
        <w:rPr>
          <w:rFonts w:hint="default" w:ascii="Times New Roman" w:hAnsi="Times New Roman" w:eastAsia="宋体" w:cs="Times New Roman"/>
          <w:bCs/>
          <w:color w:val="auto"/>
          <w:sz w:val="24"/>
          <w:highlight w:val="none"/>
          <w:u w:val="none" w:color="auto"/>
        </w:rPr>
        <w:t>（5）设置标志牌要求</w:t>
      </w:r>
    </w:p>
    <w:p w14:paraId="038A46A4">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①排污口的环保图形标志牌应设置在靠近采样点的醒目处，标志牌设置 </w:t>
      </w:r>
    </w:p>
    <w:p w14:paraId="5B097493">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高度为其上边缘距离地面约</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米。 </w:t>
      </w:r>
    </w:p>
    <w:p w14:paraId="74271341">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②排污口和固体废物仓库以设置方形标志牌为主，亦可根据情况设置立 </w:t>
      </w:r>
    </w:p>
    <w:p w14:paraId="5A105808">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 xml:space="preserve">面或平面固定式标志牌。 </w:t>
      </w:r>
    </w:p>
    <w:p w14:paraId="199FCCB1">
      <w:pPr>
        <w:keepNext w:val="0"/>
        <w:keepLines w:val="0"/>
        <w:widowControl/>
        <w:suppressLineNumbers w:val="0"/>
        <w:jc w:val="left"/>
        <w:rPr>
          <w:highlight w:val="none"/>
        </w:rPr>
      </w:pPr>
      <w:r>
        <w:rPr>
          <w:rFonts w:hint="eastAsia" w:ascii="宋体" w:hAnsi="宋体" w:eastAsia="宋体" w:cs="宋体"/>
          <w:color w:val="000000"/>
          <w:kern w:val="0"/>
          <w:sz w:val="24"/>
          <w:szCs w:val="24"/>
          <w:highlight w:val="none"/>
          <w:lang w:val="en-US" w:eastAsia="zh-CN" w:bidi="ar"/>
        </w:rPr>
        <w:t>③废水排放口和固体废物库，应设置提示性环境保护图形标志牌，</w:t>
      </w:r>
    </w:p>
    <w:p w14:paraId="780B20C5">
      <w:pPr>
        <w:pStyle w:val="12"/>
        <w:numPr>
          <w:ilvl w:val="0"/>
          <w:numId w:val="0"/>
        </w:numPr>
        <w:spacing w:line="240" w:lineRule="auto"/>
        <w:ind w:leftChars="0"/>
        <w:jc w:val="center"/>
        <w:rPr>
          <w:rFonts w:hint="default" w:ascii="Times New Roman" w:hAnsi="Times New Roman" w:eastAsia="宋体" w:cs="Times New Roman"/>
          <w:b/>
          <w:color w:val="auto"/>
          <w:sz w:val="24"/>
          <w:szCs w:val="24"/>
          <w:highlight w:val="none"/>
          <w:u w:val="none" w:color="auto"/>
        </w:rPr>
      </w:pPr>
      <w:r>
        <w:rPr>
          <w:rFonts w:hint="eastAsia" w:eastAsia="宋体" w:cs="Times New Roman"/>
          <w:b/>
          <w:color w:val="auto"/>
          <w:sz w:val="24"/>
          <w:szCs w:val="24"/>
          <w:highlight w:val="none"/>
          <w:u w:val="none" w:color="auto"/>
          <w:lang w:val="en-US" w:eastAsia="zh-CN"/>
        </w:rPr>
        <w:t>表9.3-1</w:t>
      </w:r>
      <w:r>
        <w:rPr>
          <w:rFonts w:hint="default" w:ascii="Times New Roman" w:hAnsi="Times New Roman" w:eastAsia="宋体" w:cs="Times New Roman"/>
          <w:b/>
          <w:color w:val="auto"/>
          <w:sz w:val="24"/>
          <w:szCs w:val="24"/>
          <w:highlight w:val="none"/>
          <w:u w:val="none" w:color="auto"/>
        </w:rPr>
        <w:t>环境保护图形符号一览表</w:t>
      </w:r>
    </w:p>
    <w:tbl>
      <w:tblPr>
        <w:tblStyle w:val="24"/>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4"/>
        <w:gridCol w:w="1842"/>
        <w:gridCol w:w="1866"/>
        <w:gridCol w:w="1549"/>
        <w:gridCol w:w="2444"/>
      </w:tblGrid>
      <w:tr w14:paraId="66005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6" w:type="dxa"/>
            <w:tcBorders>
              <w:tl2br w:val="nil"/>
              <w:tr2bl w:val="nil"/>
            </w:tcBorders>
            <w:noWrap w:val="0"/>
            <w:vAlign w:val="center"/>
          </w:tcPr>
          <w:p w14:paraId="6ED9186C">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序号</w:t>
            </w:r>
          </w:p>
        </w:tc>
        <w:tc>
          <w:tcPr>
            <w:tcW w:w="1843" w:type="dxa"/>
            <w:tcBorders>
              <w:tl2br w:val="nil"/>
              <w:tr2bl w:val="nil"/>
            </w:tcBorders>
            <w:noWrap w:val="0"/>
            <w:vAlign w:val="center"/>
          </w:tcPr>
          <w:p w14:paraId="1A31A08A">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提示图形符号</w:t>
            </w:r>
          </w:p>
        </w:tc>
        <w:tc>
          <w:tcPr>
            <w:tcW w:w="1848" w:type="dxa"/>
            <w:tcBorders>
              <w:tl2br w:val="nil"/>
              <w:tr2bl w:val="nil"/>
            </w:tcBorders>
            <w:noWrap w:val="0"/>
            <w:vAlign w:val="center"/>
          </w:tcPr>
          <w:p w14:paraId="68818BF5">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警告图形符号</w:t>
            </w:r>
          </w:p>
        </w:tc>
        <w:tc>
          <w:tcPr>
            <w:tcW w:w="1555" w:type="dxa"/>
            <w:tcBorders>
              <w:tl2br w:val="nil"/>
              <w:tr2bl w:val="nil"/>
            </w:tcBorders>
            <w:noWrap w:val="0"/>
            <w:vAlign w:val="center"/>
          </w:tcPr>
          <w:p w14:paraId="4060F29C">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名称</w:t>
            </w:r>
          </w:p>
        </w:tc>
        <w:tc>
          <w:tcPr>
            <w:tcW w:w="2453" w:type="dxa"/>
            <w:tcBorders>
              <w:tl2br w:val="nil"/>
              <w:tr2bl w:val="nil"/>
            </w:tcBorders>
            <w:noWrap w:val="0"/>
            <w:vAlign w:val="center"/>
          </w:tcPr>
          <w:p w14:paraId="6F373DE6">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功能</w:t>
            </w:r>
          </w:p>
        </w:tc>
      </w:tr>
      <w:tr w14:paraId="0296B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6" w:type="dxa"/>
            <w:tcBorders>
              <w:tl2br w:val="nil"/>
              <w:tr2bl w:val="nil"/>
            </w:tcBorders>
            <w:noWrap w:val="0"/>
            <w:vAlign w:val="center"/>
          </w:tcPr>
          <w:p w14:paraId="26BAE5B7">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1</w:t>
            </w:r>
          </w:p>
        </w:tc>
        <w:tc>
          <w:tcPr>
            <w:tcW w:w="1843" w:type="dxa"/>
            <w:tcBorders>
              <w:tl2br w:val="nil"/>
              <w:tr2bl w:val="nil"/>
            </w:tcBorders>
            <w:noWrap w:val="0"/>
            <w:vAlign w:val="center"/>
          </w:tcPr>
          <w:p w14:paraId="3A010143">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877570" cy="902335"/>
                  <wp:effectExtent l="0" t="0" r="17780" b="1206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0"/>
                          <a:stretch>
                            <a:fillRect/>
                          </a:stretch>
                        </pic:blipFill>
                        <pic:spPr>
                          <a:xfrm>
                            <a:off x="0" y="0"/>
                            <a:ext cx="877570" cy="902335"/>
                          </a:xfrm>
                          <a:prstGeom prst="rect">
                            <a:avLst/>
                          </a:prstGeom>
                          <a:noFill/>
                          <a:ln>
                            <a:noFill/>
                          </a:ln>
                        </pic:spPr>
                      </pic:pic>
                    </a:graphicData>
                  </a:graphic>
                </wp:inline>
              </w:drawing>
            </w:r>
          </w:p>
        </w:tc>
        <w:tc>
          <w:tcPr>
            <w:tcW w:w="1848" w:type="dxa"/>
            <w:tcBorders>
              <w:tl2br w:val="nil"/>
              <w:tr2bl w:val="nil"/>
            </w:tcBorders>
            <w:noWrap w:val="0"/>
            <w:vAlign w:val="center"/>
          </w:tcPr>
          <w:p w14:paraId="503B5F46">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975360" cy="987425"/>
                  <wp:effectExtent l="0" t="0" r="15240" b="317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41"/>
                          <a:stretch>
                            <a:fillRect/>
                          </a:stretch>
                        </pic:blipFill>
                        <pic:spPr>
                          <a:xfrm>
                            <a:off x="0" y="0"/>
                            <a:ext cx="975360" cy="987425"/>
                          </a:xfrm>
                          <a:prstGeom prst="rect">
                            <a:avLst/>
                          </a:prstGeom>
                          <a:noFill/>
                          <a:ln>
                            <a:noFill/>
                          </a:ln>
                        </pic:spPr>
                      </pic:pic>
                    </a:graphicData>
                  </a:graphic>
                </wp:inline>
              </w:drawing>
            </w:r>
          </w:p>
        </w:tc>
        <w:tc>
          <w:tcPr>
            <w:tcW w:w="1555" w:type="dxa"/>
            <w:tcBorders>
              <w:tl2br w:val="nil"/>
              <w:tr2bl w:val="nil"/>
            </w:tcBorders>
            <w:noWrap w:val="0"/>
            <w:vAlign w:val="center"/>
          </w:tcPr>
          <w:p w14:paraId="2A59EBB2">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废水排放口</w:t>
            </w:r>
          </w:p>
        </w:tc>
        <w:tc>
          <w:tcPr>
            <w:tcW w:w="2453" w:type="dxa"/>
            <w:tcBorders>
              <w:tl2br w:val="nil"/>
              <w:tr2bl w:val="nil"/>
            </w:tcBorders>
            <w:noWrap w:val="0"/>
            <w:vAlign w:val="center"/>
          </w:tcPr>
          <w:p w14:paraId="4033D24D">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表示废水向水体排放</w:t>
            </w:r>
          </w:p>
        </w:tc>
      </w:tr>
      <w:tr w14:paraId="6D42B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6" w:type="dxa"/>
            <w:tcBorders>
              <w:tl2br w:val="nil"/>
              <w:tr2bl w:val="nil"/>
            </w:tcBorders>
            <w:noWrap w:val="0"/>
            <w:vAlign w:val="center"/>
          </w:tcPr>
          <w:p w14:paraId="7468E21E">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2</w:t>
            </w:r>
          </w:p>
        </w:tc>
        <w:tc>
          <w:tcPr>
            <w:tcW w:w="1843" w:type="dxa"/>
            <w:tcBorders>
              <w:tl2br w:val="nil"/>
              <w:tr2bl w:val="nil"/>
            </w:tcBorders>
            <w:noWrap w:val="0"/>
            <w:vAlign w:val="center"/>
          </w:tcPr>
          <w:p w14:paraId="34CAD29E">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877570" cy="902335"/>
                  <wp:effectExtent l="0" t="0" r="17780" b="1206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42"/>
                          <a:stretch>
                            <a:fillRect/>
                          </a:stretch>
                        </pic:blipFill>
                        <pic:spPr>
                          <a:xfrm>
                            <a:off x="0" y="0"/>
                            <a:ext cx="877570" cy="902335"/>
                          </a:xfrm>
                          <a:prstGeom prst="rect">
                            <a:avLst/>
                          </a:prstGeom>
                          <a:noFill/>
                          <a:ln>
                            <a:noFill/>
                          </a:ln>
                        </pic:spPr>
                      </pic:pic>
                    </a:graphicData>
                  </a:graphic>
                </wp:inline>
              </w:drawing>
            </w:r>
          </w:p>
        </w:tc>
        <w:tc>
          <w:tcPr>
            <w:tcW w:w="1848" w:type="dxa"/>
            <w:tcBorders>
              <w:tl2br w:val="nil"/>
              <w:tr2bl w:val="nil"/>
            </w:tcBorders>
            <w:noWrap w:val="0"/>
            <w:vAlign w:val="center"/>
          </w:tcPr>
          <w:p w14:paraId="03B2BFB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987425" cy="987425"/>
                  <wp:effectExtent l="0" t="0" r="3175" b="317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3"/>
                          <a:stretch>
                            <a:fillRect/>
                          </a:stretch>
                        </pic:blipFill>
                        <pic:spPr>
                          <a:xfrm>
                            <a:off x="0" y="0"/>
                            <a:ext cx="987425" cy="987425"/>
                          </a:xfrm>
                          <a:prstGeom prst="rect">
                            <a:avLst/>
                          </a:prstGeom>
                          <a:noFill/>
                          <a:ln>
                            <a:noFill/>
                          </a:ln>
                        </pic:spPr>
                      </pic:pic>
                    </a:graphicData>
                  </a:graphic>
                </wp:inline>
              </w:drawing>
            </w:r>
          </w:p>
        </w:tc>
        <w:tc>
          <w:tcPr>
            <w:tcW w:w="1555" w:type="dxa"/>
            <w:tcBorders>
              <w:tl2br w:val="nil"/>
              <w:tr2bl w:val="nil"/>
            </w:tcBorders>
            <w:noWrap w:val="0"/>
            <w:vAlign w:val="center"/>
          </w:tcPr>
          <w:p w14:paraId="3302749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废气排放口</w:t>
            </w:r>
          </w:p>
        </w:tc>
        <w:tc>
          <w:tcPr>
            <w:tcW w:w="2453" w:type="dxa"/>
            <w:tcBorders>
              <w:tl2br w:val="nil"/>
              <w:tr2bl w:val="nil"/>
            </w:tcBorders>
            <w:noWrap w:val="0"/>
            <w:vAlign w:val="center"/>
          </w:tcPr>
          <w:p w14:paraId="588BCCBC">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表示废气向大气环境排放</w:t>
            </w:r>
          </w:p>
        </w:tc>
      </w:tr>
      <w:tr w14:paraId="22AE3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6" w:type="dxa"/>
            <w:tcBorders>
              <w:tl2br w:val="nil"/>
              <w:tr2bl w:val="nil"/>
            </w:tcBorders>
            <w:noWrap w:val="0"/>
            <w:vAlign w:val="center"/>
          </w:tcPr>
          <w:p w14:paraId="3163386D">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bCs/>
                <w:color w:val="auto"/>
                <w:sz w:val="21"/>
                <w:szCs w:val="21"/>
                <w:highlight w:val="none"/>
                <w:u w:val="none" w:color="auto"/>
                <w:lang w:val="en-US" w:eastAsia="zh-CN"/>
              </w:rPr>
            </w:pPr>
            <w:r>
              <w:rPr>
                <w:rFonts w:hint="eastAsia" w:eastAsia="宋体" w:cs="Times New Roman"/>
                <w:bCs/>
                <w:color w:val="auto"/>
                <w:sz w:val="21"/>
                <w:szCs w:val="21"/>
                <w:highlight w:val="none"/>
                <w:u w:val="none" w:color="auto"/>
                <w:lang w:val="en-US" w:eastAsia="zh-CN"/>
              </w:rPr>
              <w:t>3</w:t>
            </w:r>
          </w:p>
        </w:tc>
        <w:tc>
          <w:tcPr>
            <w:tcW w:w="1843" w:type="dxa"/>
            <w:tcBorders>
              <w:tl2br w:val="nil"/>
              <w:tr2bl w:val="nil"/>
            </w:tcBorders>
            <w:noWrap w:val="0"/>
            <w:vAlign w:val="center"/>
          </w:tcPr>
          <w:p w14:paraId="297AD174">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drawing>
                <wp:inline distT="0" distB="0" distL="114300" distR="114300">
                  <wp:extent cx="876300" cy="805180"/>
                  <wp:effectExtent l="0" t="0" r="0" b="13970"/>
                  <wp:docPr id="52" name="图片 52" descr="07375e1d5480d1bd175337d811c5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7375e1d5480d1bd175337d811c5d29"/>
                          <pic:cNvPicPr>
                            <a:picLocks noChangeAspect="1"/>
                          </pic:cNvPicPr>
                        </pic:nvPicPr>
                        <pic:blipFill>
                          <a:blip r:embed="rId44"/>
                          <a:stretch>
                            <a:fillRect/>
                          </a:stretch>
                        </pic:blipFill>
                        <pic:spPr>
                          <a:xfrm>
                            <a:off x="0" y="0"/>
                            <a:ext cx="876300" cy="805180"/>
                          </a:xfrm>
                          <a:prstGeom prst="rect">
                            <a:avLst/>
                          </a:prstGeom>
                        </pic:spPr>
                      </pic:pic>
                    </a:graphicData>
                  </a:graphic>
                </wp:inline>
              </w:drawing>
            </w:r>
          </w:p>
        </w:tc>
        <w:tc>
          <w:tcPr>
            <w:tcW w:w="1848" w:type="dxa"/>
            <w:tcBorders>
              <w:tl2br w:val="nil"/>
              <w:tr2bl w:val="nil"/>
            </w:tcBorders>
            <w:noWrap w:val="0"/>
            <w:vAlign w:val="center"/>
          </w:tcPr>
          <w:p w14:paraId="767E6C12">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eastAsia="zh-CN"/>
              </w:rPr>
              <w:drawing>
                <wp:inline distT="0" distB="0" distL="114300" distR="114300">
                  <wp:extent cx="1035685" cy="893445"/>
                  <wp:effectExtent l="0" t="0" r="12065" b="1905"/>
                  <wp:docPr id="50" name="图片 50" descr="f61ece4da4f7a0ea0910e5e64fb8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61ece4da4f7a0ea0910e5e64fb8b2f"/>
                          <pic:cNvPicPr>
                            <a:picLocks noChangeAspect="1"/>
                          </pic:cNvPicPr>
                        </pic:nvPicPr>
                        <pic:blipFill>
                          <a:blip r:embed="rId45"/>
                          <a:stretch>
                            <a:fillRect/>
                          </a:stretch>
                        </pic:blipFill>
                        <pic:spPr>
                          <a:xfrm>
                            <a:off x="0" y="0"/>
                            <a:ext cx="1035685" cy="893445"/>
                          </a:xfrm>
                          <a:prstGeom prst="rect">
                            <a:avLst/>
                          </a:prstGeom>
                        </pic:spPr>
                      </pic:pic>
                    </a:graphicData>
                  </a:graphic>
                </wp:inline>
              </w:drawing>
            </w:r>
          </w:p>
        </w:tc>
        <w:tc>
          <w:tcPr>
            <w:tcW w:w="1555" w:type="dxa"/>
            <w:tcBorders>
              <w:tl2br w:val="nil"/>
              <w:tr2bl w:val="nil"/>
            </w:tcBorders>
            <w:noWrap w:val="0"/>
            <w:vAlign w:val="center"/>
          </w:tcPr>
          <w:p w14:paraId="5AF4E47B">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噪声源</w:t>
            </w:r>
          </w:p>
        </w:tc>
        <w:tc>
          <w:tcPr>
            <w:tcW w:w="2453" w:type="dxa"/>
            <w:tcBorders>
              <w:tl2br w:val="nil"/>
              <w:tr2bl w:val="nil"/>
            </w:tcBorders>
            <w:noWrap w:val="0"/>
            <w:vAlign w:val="center"/>
          </w:tcPr>
          <w:p w14:paraId="21271372">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表示噪声向外环境排放</w:t>
            </w:r>
          </w:p>
        </w:tc>
      </w:tr>
      <w:tr w14:paraId="10178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6" w:type="dxa"/>
            <w:tcBorders>
              <w:tl2br w:val="nil"/>
              <w:tr2bl w:val="nil"/>
            </w:tcBorders>
            <w:noWrap w:val="0"/>
            <w:vAlign w:val="center"/>
          </w:tcPr>
          <w:p w14:paraId="4A9CB60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bCs/>
                <w:color w:val="auto"/>
                <w:sz w:val="21"/>
                <w:szCs w:val="21"/>
                <w:highlight w:val="none"/>
                <w:u w:val="none" w:color="auto"/>
                <w:lang w:eastAsia="zh-CN"/>
              </w:rPr>
            </w:pPr>
            <w:r>
              <w:rPr>
                <w:rFonts w:hint="eastAsia" w:eastAsia="宋体" w:cs="Times New Roman"/>
                <w:bCs/>
                <w:color w:val="auto"/>
                <w:sz w:val="21"/>
                <w:szCs w:val="21"/>
                <w:highlight w:val="none"/>
                <w:u w:val="none" w:color="auto"/>
                <w:lang w:val="en-US" w:eastAsia="zh-CN"/>
              </w:rPr>
              <w:t>4</w:t>
            </w:r>
          </w:p>
        </w:tc>
        <w:tc>
          <w:tcPr>
            <w:tcW w:w="1843" w:type="dxa"/>
            <w:tcBorders>
              <w:tl2br w:val="nil"/>
              <w:tr2bl w:val="nil"/>
            </w:tcBorders>
            <w:noWrap w:val="0"/>
            <w:vAlign w:val="center"/>
          </w:tcPr>
          <w:p w14:paraId="14A6371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902335" cy="914400"/>
                  <wp:effectExtent l="0" t="0" r="1206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6"/>
                          <a:stretch>
                            <a:fillRect/>
                          </a:stretch>
                        </pic:blipFill>
                        <pic:spPr>
                          <a:xfrm>
                            <a:off x="0" y="0"/>
                            <a:ext cx="902335" cy="914400"/>
                          </a:xfrm>
                          <a:prstGeom prst="rect">
                            <a:avLst/>
                          </a:prstGeom>
                          <a:noFill/>
                          <a:ln>
                            <a:noFill/>
                          </a:ln>
                        </pic:spPr>
                      </pic:pic>
                    </a:graphicData>
                  </a:graphic>
                </wp:inline>
              </w:drawing>
            </w:r>
          </w:p>
        </w:tc>
        <w:tc>
          <w:tcPr>
            <w:tcW w:w="1848" w:type="dxa"/>
            <w:tcBorders>
              <w:tl2br w:val="nil"/>
              <w:tr2bl w:val="nil"/>
            </w:tcBorders>
            <w:noWrap w:val="0"/>
            <w:vAlign w:val="center"/>
          </w:tcPr>
          <w:p w14:paraId="2650387E">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1024255" cy="951230"/>
                  <wp:effectExtent l="0" t="0" r="4445" b="127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47"/>
                          <a:stretch>
                            <a:fillRect/>
                          </a:stretch>
                        </pic:blipFill>
                        <pic:spPr>
                          <a:xfrm>
                            <a:off x="0" y="0"/>
                            <a:ext cx="1024255" cy="951230"/>
                          </a:xfrm>
                          <a:prstGeom prst="rect">
                            <a:avLst/>
                          </a:prstGeom>
                          <a:noFill/>
                          <a:ln>
                            <a:noFill/>
                          </a:ln>
                        </pic:spPr>
                      </pic:pic>
                    </a:graphicData>
                  </a:graphic>
                </wp:inline>
              </w:drawing>
            </w:r>
          </w:p>
        </w:tc>
        <w:tc>
          <w:tcPr>
            <w:tcW w:w="1555" w:type="dxa"/>
            <w:tcBorders>
              <w:tl2br w:val="nil"/>
              <w:tr2bl w:val="nil"/>
            </w:tcBorders>
            <w:noWrap w:val="0"/>
            <w:vAlign w:val="center"/>
          </w:tcPr>
          <w:p w14:paraId="5D546AFB">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一般固体废物</w:t>
            </w:r>
            <w:r>
              <w:rPr>
                <w:rFonts w:hint="eastAsia" w:eastAsia="宋体" w:cs="Times New Roman"/>
                <w:color w:val="auto"/>
                <w:sz w:val="21"/>
                <w:szCs w:val="21"/>
                <w:highlight w:val="none"/>
                <w:u w:val="none" w:color="auto"/>
                <w:lang w:val="en-US" w:eastAsia="zh-CN"/>
              </w:rPr>
              <w:t>贮存区</w:t>
            </w:r>
          </w:p>
        </w:tc>
        <w:tc>
          <w:tcPr>
            <w:tcW w:w="2453" w:type="dxa"/>
            <w:vMerge w:val="restart"/>
            <w:tcBorders>
              <w:tl2br w:val="nil"/>
              <w:tr2bl w:val="nil"/>
            </w:tcBorders>
            <w:noWrap w:val="0"/>
            <w:vAlign w:val="center"/>
          </w:tcPr>
          <w:p w14:paraId="636E77C4">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表示固体废物贮存、处置场</w:t>
            </w:r>
          </w:p>
        </w:tc>
      </w:tr>
      <w:tr w14:paraId="0A58F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16" w:type="dxa"/>
            <w:tcBorders>
              <w:tl2br w:val="nil"/>
              <w:tr2bl w:val="nil"/>
            </w:tcBorders>
            <w:noWrap w:val="0"/>
            <w:vAlign w:val="center"/>
          </w:tcPr>
          <w:p w14:paraId="3219103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bCs/>
                <w:color w:val="auto"/>
                <w:sz w:val="21"/>
                <w:szCs w:val="21"/>
                <w:highlight w:val="none"/>
                <w:u w:val="none" w:color="auto"/>
                <w:lang w:val="en-US" w:eastAsia="zh-CN"/>
              </w:rPr>
            </w:pPr>
            <w:r>
              <w:rPr>
                <w:rFonts w:hint="eastAsia" w:eastAsia="宋体" w:cs="Times New Roman"/>
                <w:bCs/>
                <w:color w:val="auto"/>
                <w:sz w:val="21"/>
                <w:szCs w:val="21"/>
                <w:highlight w:val="none"/>
                <w:u w:val="none" w:color="auto"/>
                <w:lang w:val="en-US" w:eastAsia="zh-CN"/>
              </w:rPr>
              <w:t>5</w:t>
            </w:r>
          </w:p>
        </w:tc>
        <w:tc>
          <w:tcPr>
            <w:tcW w:w="1843" w:type="dxa"/>
            <w:tcBorders>
              <w:tl2br w:val="nil"/>
              <w:tr2bl w:val="nil"/>
            </w:tcBorders>
            <w:noWrap w:val="0"/>
            <w:vAlign w:val="center"/>
          </w:tcPr>
          <w:p w14:paraId="6064F988">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eastAsia="宋体" w:cs="Times New Roman"/>
                <w:color w:val="auto"/>
                <w:sz w:val="21"/>
                <w:szCs w:val="21"/>
                <w:highlight w:val="none"/>
                <w:u w:val="none" w:color="auto"/>
                <w:lang w:val="en-US" w:eastAsia="zh-CN"/>
              </w:rPr>
              <w:t>-</w:t>
            </w:r>
          </w:p>
        </w:tc>
        <w:tc>
          <w:tcPr>
            <w:tcW w:w="1848" w:type="dxa"/>
            <w:tcBorders>
              <w:tl2br w:val="nil"/>
              <w:tr2bl w:val="nil"/>
            </w:tcBorders>
            <w:noWrap w:val="0"/>
            <w:vAlign w:val="center"/>
          </w:tcPr>
          <w:p w14:paraId="6223FB84">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Cs/>
                <w:color w:val="auto"/>
                <w:sz w:val="21"/>
                <w:szCs w:val="21"/>
                <w:highlight w:val="none"/>
                <w:u w:val="none" w:color="auto"/>
              </w:rPr>
            </w:pPr>
            <w:r>
              <w:rPr>
                <w:color w:val="000000" w:themeColor="text1"/>
                <w:sz w:val="18"/>
                <w:szCs w:val="18"/>
                <w:highlight w:val="none"/>
                <w:u w:val="single"/>
                <w14:textFill>
                  <w14:solidFill>
                    <w14:schemeClr w14:val="tx1"/>
                  </w14:solidFill>
                </w14:textFill>
              </w:rPr>
              <w:drawing>
                <wp:inline distT="0" distB="0" distL="114300" distR="114300">
                  <wp:extent cx="1003300" cy="607695"/>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48"/>
                          <a:srcRect b="4396"/>
                          <a:stretch>
                            <a:fillRect/>
                          </a:stretch>
                        </pic:blipFill>
                        <pic:spPr>
                          <a:xfrm>
                            <a:off x="0" y="0"/>
                            <a:ext cx="1003300" cy="607695"/>
                          </a:xfrm>
                          <a:prstGeom prst="rect">
                            <a:avLst/>
                          </a:prstGeom>
                          <a:noFill/>
                          <a:ln>
                            <a:noFill/>
                          </a:ln>
                        </pic:spPr>
                      </pic:pic>
                    </a:graphicData>
                  </a:graphic>
                </wp:inline>
              </w:drawing>
            </w:r>
          </w:p>
        </w:tc>
        <w:tc>
          <w:tcPr>
            <w:tcW w:w="1555" w:type="dxa"/>
            <w:tcBorders>
              <w:tl2br w:val="nil"/>
              <w:tr2bl w:val="nil"/>
            </w:tcBorders>
            <w:noWrap w:val="0"/>
            <w:vAlign w:val="center"/>
          </w:tcPr>
          <w:p w14:paraId="0436D6A5">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危险废物</w:t>
            </w:r>
            <w:r>
              <w:rPr>
                <w:rFonts w:hint="eastAsia" w:eastAsia="宋体" w:cs="Times New Roman"/>
                <w:color w:val="auto"/>
                <w:sz w:val="21"/>
                <w:szCs w:val="21"/>
                <w:highlight w:val="none"/>
                <w:u w:val="none" w:color="auto"/>
                <w:lang w:val="en-US" w:eastAsia="zh-CN"/>
              </w:rPr>
              <w:t>贮存区</w:t>
            </w:r>
          </w:p>
        </w:tc>
        <w:tc>
          <w:tcPr>
            <w:tcW w:w="2453" w:type="dxa"/>
            <w:vMerge w:val="continue"/>
            <w:tcBorders>
              <w:tl2br w:val="nil"/>
              <w:tr2bl w:val="nil"/>
            </w:tcBorders>
            <w:noWrap w:val="0"/>
            <w:vAlign w:val="center"/>
          </w:tcPr>
          <w:p w14:paraId="6D4DB26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sz w:val="21"/>
                <w:szCs w:val="21"/>
                <w:highlight w:val="none"/>
                <w:u w:val="none" w:color="auto"/>
              </w:rPr>
            </w:pPr>
          </w:p>
        </w:tc>
      </w:tr>
    </w:tbl>
    <w:p w14:paraId="6801AE7B">
      <w:pPr>
        <w:spacing w:before="190" w:line="220" w:lineRule="auto"/>
        <w:ind w:left="0" w:leftChars="0" w:firstLine="0" w:firstLineChars="0"/>
        <w:outlineLvl w:val="2"/>
        <w:rPr>
          <w:rFonts w:ascii="宋体" w:hAnsi="宋体" w:eastAsia="宋体" w:cs="宋体"/>
          <w:sz w:val="28"/>
          <w:szCs w:val="28"/>
          <w:highlight w:val="none"/>
        </w:rPr>
      </w:pPr>
      <w:bookmarkStart w:id="280" w:name="_Toc32575"/>
      <w:r>
        <w:rPr>
          <w:rFonts w:ascii="Times New Roman" w:hAnsi="Times New Roman" w:eastAsia="Times New Roman" w:cs="Times New Roman"/>
          <w:b/>
          <w:bCs/>
          <w:spacing w:val="-2"/>
          <w:sz w:val="28"/>
          <w:szCs w:val="28"/>
          <w:highlight w:val="none"/>
        </w:rPr>
        <w:t xml:space="preserve">9.3.3 </w:t>
      </w:r>
      <w:r>
        <w:rPr>
          <w:rFonts w:ascii="宋体" w:hAnsi="宋体" w:eastAsia="宋体" w:cs="宋体"/>
          <w:b/>
          <w:bCs/>
          <w:spacing w:val="-2"/>
          <w:sz w:val="28"/>
          <w:szCs w:val="28"/>
          <w:highlight w:val="none"/>
        </w:rPr>
        <w:t>环保竣工验收</w:t>
      </w:r>
      <w:bookmarkEnd w:id="280"/>
    </w:p>
    <w:p w14:paraId="707953D4">
      <w:pPr>
        <w:spacing w:before="206" w:line="359" w:lineRule="auto"/>
        <w:ind w:left="21" w:right="18" w:firstLine="480"/>
        <w:jc w:val="both"/>
        <w:rPr>
          <w:rFonts w:ascii="宋体" w:hAnsi="宋体" w:eastAsia="宋体" w:cs="宋体"/>
          <w:sz w:val="24"/>
          <w:szCs w:val="24"/>
          <w:highlight w:val="none"/>
        </w:rPr>
      </w:pPr>
      <w:r>
        <w:rPr>
          <w:rFonts w:ascii="宋体" w:hAnsi="宋体" w:eastAsia="宋体" w:cs="宋体"/>
          <w:spacing w:val="-1"/>
          <w:sz w:val="24"/>
          <w:szCs w:val="24"/>
          <w:highlight w:val="none"/>
        </w:rPr>
        <w:t>根据国家有关法律法规，环境保护设施必须与主体工程同时设计、同时施工、</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同时运行。 根据国务院令</w:t>
      </w:r>
      <w:r>
        <w:rPr>
          <w:rFonts w:ascii="宋体" w:hAnsi="宋体" w:eastAsia="宋体" w:cs="宋体"/>
          <w:spacing w:val="-53"/>
          <w:sz w:val="24"/>
          <w:szCs w:val="24"/>
          <w:highlight w:val="none"/>
        </w:rPr>
        <w:t xml:space="preserve"> </w:t>
      </w:r>
      <w:r>
        <w:rPr>
          <w:rFonts w:ascii="Times New Roman" w:hAnsi="Times New Roman" w:eastAsia="Times New Roman" w:cs="Times New Roman"/>
          <w:spacing w:val="2"/>
          <w:sz w:val="24"/>
          <w:szCs w:val="24"/>
          <w:highlight w:val="none"/>
        </w:rPr>
        <w:t>2017</w:t>
      </w:r>
      <w:r>
        <w:rPr>
          <w:rFonts w:ascii="宋体" w:hAnsi="宋体" w:eastAsia="宋体" w:cs="宋体"/>
          <w:spacing w:val="2"/>
          <w:sz w:val="24"/>
          <w:szCs w:val="24"/>
          <w:highlight w:val="none"/>
        </w:rPr>
        <w:t>〔</w:t>
      </w:r>
      <w:r>
        <w:rPr>
          <w:rFonts w:ascii="Times New Roman" w:hAnsi="Times New Roman" w:eastAsia="Times New Roman" w:cs="Times New Roman"/>
          <w:spacing w:val="2"/>
          <w:sz w:val="24"/>
          <w:szCs w:val="24"/>
          <w:highlight w:val="none"/>
        </w:rPr>
        <w:t>682</w:t>
      </w:r>
      <w:r>
        <w:rPr>
          <w:rFonts w:ascii="宋体" w:hAnsi="宋体" w:eastAsia="宋体" w:cs="宋体"/>
          <w:spacing w:val="2"/>
          <w:sz w:val="24"/>
          <w:szCs w:val="24"/>
          <w:highlight w:val="none"/>
        </w:rPr>
        <w:t>〕号《建设项目环境保护管理条例》（</w:t>
      </w:r>
      <w:r>
        <w:rPr>
          <w:rFonts w:ascii="Times New Roman" w:hAnsi="Times New Roman" w:eastAsia="Times New Roman" w:cs="Times New Roman"/>
          <w:spacing w:val="2"/>
          <w:sz w:val="24"/>
          <w:szCs w:val="24"/>
          <w:highlight w:val="none"/>
        </w:rPr>
        <w:t>2017</w:t>
      </w:r>
      <w:r>
        <w:rPr>
          <w:rFonts w:ascii="Times New Roman" w:hAnsi="Times New Roman" w:eastAsia="Times New Roman" w:cs="Times New Roman"/>
          <w:sz w:val="24"/>
          <w:szCs w:val="24"/>
          <w:highlight w:val="none"/>
        </w:rPr>
        <w:t xml:space="preserve">  </w:t>
      </w:r>
      <w:r>
        <w:rPr>
          <w:rFonts w:ascii="宋体" w:hAnsi="宋体" w:eastAsia="宋体" w:cs="宋体"/>
          <w:spacing w:val="-9"/>
          <w:sz w:val="24"/>
          <w:szCs w:val="24"/>
          <w:highlight w:val="none"/>
        </w:rPr>
        <w:t>年</w:t>
      </w:r>
      <w:r>
        <w:rPr>
          <w:rFonts w:ascii="宋体" w:hAnsi="宋体" w:eastAsia="宋体" w:cs="宋体"/>
          <w:spacing w:val="-32"/>
          <w:sz w:val="24"/>
          <w:szCs w:val="24"/>
          <w:highlight w:val="none"/>
        </w:rPr>
        <w:t xml:space="preserve"> </w:t>
      </w:r>
      <w:r>
        <w:rPr>
          <w:rFonts w:ascii="Times New Roman" w:hAnsi="Times New Roman" w:eastAsia="Times New Roman" w:cs="Times New Roman"/>
          <w:spacing w:val="-9"/>
          <w:sz w:val="24"/>
          <w:szCs w:val="24"/>
          <w:highlight w:val="none"/>
        </w:rPr>
        <w:t>10</w:t>
      </w:r>
      <w:r>
        <w:rPr>
          <w:rFonts w:ascii="Times New Roman" w:hAnsi="Times New Roman" w:eastAsia="Times New Roman" w:cs="Times New Roman"/>
          <w:spacing w:val="15"/>
          <w:w w:val="101"/>
          <w:sz w:val="24"/>
          <w:szCs w:val="24"/>
          <w:highlight w:val="none"/>
        </w:rPr>
        <w:t xml:space="preserve"> </w:t>
      </w:r>
      <w:r>
        <w:rPr>
          <w:rFonts w:ascii="宋体" w:hAnsi="宋体" w:eastAsia="宋体" w:cs="宋体"/>
          <w:spacing w:val="-9"/>
          <w:sz w:val="24"/>
          <w:szCs w:val="24"/>
          <w:highlight w:val="none"/>
        </w:rPr>
        <w:t>月</w:t>
      </w:r>
      <w:r>
        <w:rPr>
          <w:rFonts w:ascii="宋体" w:hAnsi="宋体" w:eastAsia="宋体" w:cs="宋体"/>
          <w:spacing w:val="-32"/>
          <w:sz w:val="24"/>
          <w:szCs w:val="24"/>
          <w:highlight w:val="none"/>
        </w:rPr>
        <w:t xml:space="preserve"> </w:t>
      </w:r>
      <w:r>
        <w:rPr>
          <w:rFonts w:ascii="Times New Roman" w:hAnsi="Times New Roman" w:eastAsia="Times New Roman" w:cs="Times New Roman"/>
          <w:spacing w:val="-9"/>
          <w:sz w:val="24"/>
          <w:szCs w:val="24"/>
          <w:highlight w:val="none"/>
        </w:rPr>
        <w:t>1</w:t>
      </w:r>
      <w:r>
        <w:rPr>
          <w:rFonts w:ascii="Times New Roman" w:hAnsi="Times New Roman" w:eastAsia="Times New Roman" w:cs="Times New Roman"/>
          <w:spacing w:val="50"/>
          <w:w w:val="101"/>
          <w:sz w:val="24"/>
          <w:szCs w:val="24"/>
          <w:highlight w:val="none"/>
        </w:rPr>
        <w:t xml:space="preserve"> </w:t>
      </w:r>
      <w:r>
        <w:rPr>
          <w:rFonts w:ascii="宋体" w:hAnsi="宋体" w:eastAsia="宋体" w:cs="宋体"/>
          <w:spacing w:val="-9"/>
          <w:sz w:val="24"/>
          <w:szCs w:val="24"/>
          <w:highlight w:val="none"/>
        </w:rPr>
        <w:t>日实施）要求，</w:t>
      </w:r>
      <w:r>
        <w:rPr>
          <w:rFonts w:ascii="宋体" w:hAnsi="宋体" w:eastAsia="宋体" w:cs="宋体"/>
          <w:spacing w:val="-55"/>
          <w:sz w:val="24"/>
          <w:szCs w:val="24"/>
          <w:highlight w:val="none"/>
        </w:rPr>
        <w:t xml:space="preserve"> </w:t>
      </w:r>
      <w:r>
        <w:rPr>
          <w:rFonts w:ascii="宋体" w:hAnsi="宋体" w:eastAsia="宋体" w:cs="宋体"/>
          <w:spacing w:val="-9"/>
          <w:sz w:val="24"/>
          <w:szCs w:val="24"/>
          <w:highlight w:val="none"/>
        </w:rPr>
        <w:t>建设项目竣工后，建设单位应当按照规定的标准</w:t>
      </w:r>
      <w:r>
        <w:rPr>
          <w:rFonts w:ascii="宋体" w:hAnsi="宋体" w:eastAsia="宋体" w:cs="宋体"/>
          <w:spacing w:val="-10"/>
          <w:sz w:val="24"/>
          <w:szCs w:val="24"/>
          <w:highlight w:val="none"/>
        </w:rPr>
        <w:t>和程序，</w:t>
      </w:r>
      <w:r>
        <w:rPr>
          <w:rFonts w:ascii="宋体" w:hAnsi="宋体" w:eastAsia="宋体" w:cs="宋体"/>
          <w:sz w:val="24"/>
          <w:szCs w:val="24"/>
          <w:highlight w:val="none"/>
        </w:rPr>
        <w:t xml:space="preserve"> 对配套建设的环境保护设施进行验收，编制验收报告，</w:t>
      </w:r>
      <w:r>
        <w:rPr>
          <w:rFonts w:ascii="宋体" w:hAnsi="宋体" w:eastAsia="宋体" w:cs="宋体"/>
          <w:spacing w:val="-1"/>
          <w:sz w:val="24"/>
          <w:szCs w:val="24"/>
          <w:highlight w:val="none"/>
        </w:rPr>
        <w:t>同时向社会进行公示。</w:t>
      </w:r>
    </w:p>
    <w:p w14:paraId="72FCF878">
      <w:pPr>
        <w:spacing w:line="362" w:lineRule="auto"/>
        <w:ind w:left="22" w:right="80" w:firstLine="482"/>
        <w:rPr>
          <w:rFonts w:ascii="宋体" w:hAnsi="宋体" w:eastAsia="宋体" w:cs="宋体"/>
          <w:sz w:val="24"/>
          <w:szCs w:val="24"/>
          <w:highlight w:val="none"/>
        </w:rPr>
      </w:pPr>
      <w:r>
        <w:rPr>
          <w:rFonts w:ascii="宋体" w:hAnsi="宋体" w:eastAsia="宋体" w:cs="宋体"/>
          <w:spacing w:val="-3"/>
          <w:sz w:val="24"/>
          <w:szCs w:val="24"/>
          <w:highlight w:val="none"/>
        </w:rPr>
        <w:t>为便于建设单位对本项目的环保设施进行竣工验收，现按照有关规定，提出了</w:t>
      </w:r>
      <w:r>
        <w:rPr>
          <w:rFonts w:ascii="宋体" w:hAnsi="宋体" w:eastAsia="宋体" w:cs="宋体"/>
          <w:spacing w:val="7"/>
          <w:sz w:val="24"/>
          <w:szCs w:val="24"/>
          <w:highlight w:val="none"/>
        </w:rPr>
        <w:t xml:space="preserve"> </w:t>
      </w:r>
      <w:r>
        <w:rPr>
          <w:rFonts w:ascii="宋体" w:hAnsi="宋体" w:eastAsia="宋体" w:cs="宋体"/>
          <w:spacing w:val="-1"/>
          <w:sz w:val="24"/>
          <w:szCs w:val="24"/>
          <w:highlight w:val="none"/>
        </w:rPr>
        <w:t>环境保护设施竣工验收要求一览表。</w:t>
      </w:r>
    </w:p>
    <w:p w14:paraId="5E83C4D3">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eastAsia="宋体" w:cs="宋体"/>
          <w:sz w:val="24"/>
          <w:szCs w:val="24"/>
          <w:highlight w:val="none"/>
        </w:rPr>
      </w:pPr>
      <w:r>
        <w:rPr>
          <w:rFonts w:ascii="宋体" w:hAnsi="宋体" w:eastAsia="宋体" w:cs="宋体"/>
          <w:b/>
          <w:bCs/>
          <w:spacing w:val="5"/>
          <w:sz w:val="24"/>
          <w:szCs w:val="24"/>
          <w:highlight w:val="none"/>
        </w:rPr>
        <w:t>表</w:t>
      </w:r>
      <w:r>
        <w:rPr>
          <w:rFonts w:ascii="Times New Roman" w:hAnsi="Times New Roman" w:eastAsia="Times New Roman" w:cs="Times New Roman"/>
          <w:b/>
          <w:bCs/>
          <w:spacing w:val="5"/>
          <w:sz w:val="24"/>
          <w:szCs w:val="24"/>
          <w:highlight w:val="none"/>
        </w:rPr>
        <w:t>9.3-</w:t>
      </w:r>
      <w:r>
        <w:rPr>
          <w:rFonts w:hint="eastAsia" w:eastAsia="宋体" w:cs="Times New Roman"/>
          <w:b/>
          <w:bCs/>
          <w:spacing w:val="5"/>
          <w:sz w:val="24"/>
          <w:szCs w:val="24"/>
          <w:highlight w:val="none"/>
          <w:lang w:val="en-US" w:eastAsia="zh-CN"/>
        </w:rPr>
        <w:t>2</w:t>
      </w:r>
      <w:r>
        <w:rPr>
          <w:rFonts w:ascii="Times New Roman" w:hAnsi="Times New Roman" w:eastAsia="Times New Roman" w:cs="Times New Roman"/>
          <w:b/>
          <w:bCs/>
          <w:spacing w:val="12"/>
          <w:sz w:val="24"/>
          <w:szCs w:val="24"/>
          <w:highlight w:val="none"/>
        </w:rPr>
        <w:t xml:space="preserve">  </w:t>
      </w:r>
      <w:r>
        <w:rPr>
          <w:rFonts w:ascii="宋体" w:hAnsi="宋体" w:eastAsia="宋体" w:cs="宋体"/>
          <w:b/>
          <w:bCs/>
          <w:spacing w:val="5"/>
          <w:sz w:val="24"/>
          <w:szCs w:val="24"/>
          <w:highlight w:val="none"/>
        </w:rPr>
        <w:t>项目竣工环境保护验收要求</w:t>
      </w:r>
    </w:p>
    <w:tbl>
      <w:tblPr>
        <w:tblStyle w:val="37"/>
        <w:tblW w:w="506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07"/>
        <w:gridCol w:w="734"/>
        <w:gridCol w:w="889"/>
        <w:gridCol w:w="721"/>
        <w:gridCol w:w="2393"/>
        <w:gridCol w:w="3274"/>
      </w:tblGrid>
      <w:tr w14:paraId="58010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tcBorders>
              <w:tl2br w:val="nil"/>
              <w:tr2bl w:val="nil"/>
            </w:tcBorders>
            <w:vAlign w:val="center"/>
          </w:tcPr>
          <w:p w14:paraId="5CDC444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9"/>
                <w:sz w:val="21"/>
                <w:szCs w:val="21"/>
                <w:highlight w:val="none"/>
              </w:rPr>
              <w:t>类别</w:t>
            </w:r>
          </w:p>
        </w:tc>
        <w:tc>
          <w:tcPr>
            <w:tcW w:w="528" w:type="pct"/>
            <w:tcBorders>
              <w:tl2br w:val="nil"/>
              <w:tr2bl w:val="nil"/>
            </w:tcBorders>
            <w:vAlign w:val="center"/>
          </w:tcPr>
          <w:p w14:paraId="738F41D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21"/>
                <w:sz w:val="21"/>
                <w:szCs w:val="21"/>
                <w:highlight w:val="none"/>
              </w:rPr>
              <w:t>产排污节点</w:t>
            </w:r>
          </w:p>
        </w:tc>
        <w:tc>
          <w:tcPr>
            <w:tcW w:w="427" w:type="pct"/>
            <w:tcBorders>
              <w:tl2br w:val="nil"/>
              <w:tr2bl w:val="nil"/>
            </w:tcBorders>
            <w:vAlign w:val="center"/>
          </w:tcPr>
          <w:p w14:paraId="3F63D1E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18"/>
                <w:sz w:val="21"/>
                <w:szCs w:val="21"/>
                <w:highlight w:val="none"/>
              </w:rPr>
              <w:t>污染物名称</w:t>
            </w:r>
          </w:p>
        </w:tc>
        <w:tc>
          <w:tcPr>
            <w:tcW w:w="1421" w:type="pct"/>
            <w:tcBorders>
              <w:tl2br w:val="nil"/>
              <w:tr2bl w:val="nil"/>
            </w:tcBorders>
            <w:vAlign w:val="center"/>
          </w:tcPr>
          <w:p w14:paraId="7EB458D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15"/>
                <w:sz w:val="21"/>
                <w:szCs w:val="21"/>
                <w:highlight w:val="none"/>
              </w:rPr>
              <w:t>治理措施</w:t>
            </w:r>
          </w:p>
        </w:tc>
        <w:tc>
          <w:tcPr>
            <w:tcW w:w="1943" w:type="pct"/>
            <w:tcBorders>
              <w:tl2br w:val="nil"/>
              <w:tr2bl w:val="nil"/>
            </w:tcBorders>
            <w:vAlign w:val="center"/>
          </w:tcPr>
          <w:p w14:paraId="3FEC863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pacing w:val="23"/>
                <w:sz w:val="21"/>
                <w:szCs w:val="21"/>
                <w:highlight w:val="none"/>
              </w:rPr>
              <w:t>执行标准（管理要求）</w:t>
            </w:r>
          </w:p>
        </w:tc>
      </w:tr>
      <w:tr w14:paraId="0E656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vMerge w:val="restart"/>
            <w:tcBorders>
              <w:tl2br w:val="nil"/>
              <w:tr2bl w:val="nil"/>
            </w:tcBorders>
            <w:vAlign w:val="center"/>
          </w:tcPr>
          <w:p w14:paraId="344BB5C5">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rPr>
            </w:pPr>
            <w:r>
              <w:rPr>
                <w:rFonts w:hint="default" w:ascii="Times New Roman" w:hAnsi="Times New Roman" w:cs="Times New Roman"/>
                <w:spacing w:val="11"/>
                <w:highlight w:val="none"/>
              </w:rPr>
              <w:t>废气</w:t>
            </w:r>
          </w:p>
        </w:tc>
        <w:tc>
          <w:tcPr>
            <w:tcW w:w="528" w:type="pct"/>
            <w:tcBorders>
              <w:tl2br w:val="nil"/>
              <w:tr2bl w:val="nil"/>
            </w:tcBorders>
            <w:vAlign w:val="center"/>
          </w:tcPr>
          <w:p w14:paraId="0A4EB3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pacing w:val="21"/>
                <w:sz w:val="21"/>
                <w:szCs w:val="21"/>
                <w:highlight w:val="none"/>
              </w:rPr>
            </w:pPr>
            <w:r>
              <w:rPr>
                <w:rFonts w:hint="default" w:ascii="Times New Roman" w:hAnsi="Times New Roman" w:eastAsia="宋体" w:cs="Times New Roman"/>
                <w:color w:val="auto"/>
                <w:sz w:val="21"/>
                <w:szCs w:val="21"/>
                <w:highlight w:val="none"/>
                <w:lang w:val="en-US" w:eastAsia="zh-CN"/>
              </w:rPr>
              <w:t>投料、打粉</w:t>
            </w:r>
            <w:r>
              <w:rPr>
                <w:rFonts w:hint="default" w:ascii="Times New Roman" w:hAnsi="Times New Roman" w:eastAsia="宋体" w:cs="Times New Roman"/>
                <w:color w:val="auto"/>
                <w:sz w:val="21"/>
                <w:szCs w:val="21"/>
                <w:highlight w:val="none"/>
              </w:rPr>
              <w:t>粉尘</w:t>
            </w:r>
          </w:p>
        </w:tc>
        <w:tc>
          <w:tcPr>
            <w:tcW w:w="427" w:type="pct"/>
            <w:tcBorders>
              <w:tl2br w:val="nil"/>
              <w:tr2bl w:val="nil"/>
            </w:tcBorders>
            <w:vAlign w:val="center"/>
          </w:tcPr>
          <w:p w14:paraId="213CC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8"/>
                <w:sz w:val="21"/>
                <w:szCs w:val="21"/>
                <w:highlight w:val="none"/>
              </w:rPr>
            </w:pPr>
            <w:r>
              <w:rPr>
                <w:rFonts w:hint="default" w:ascii="Times New Roman" w:hAnsi="Times New Roman" w:eastAsia="宋体" w:cs="Times New Roman"/>
                <w:color w:val="auto"/>
                <w:sz w:val="21"/>
                <w:szCs w:val="21"/>
                <w:highlight w:val="none"/>
                <w:lang w:val="en-US" w:eastAsia="zh-CN"/>
              </w:rPr>
              <w:t>颗粒物</w:t>
            </w:r>
          </w:p>
        </w:tc>
        <w:tc>
          <w:tcPr>
            <w:tcW w:w="1421" w:type="pct"/>
            <w:tcBorders>
              <w:tl2br w:val="nil"/>
              <w:tr2bl w:val="nil"/>
            </w:tcBorders>
            <w:vAlign w:val="center"/>
          </w:tcPr>
          <w:p w14:paraId="30992E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color w:val="auto"/>
                <w:sz w:val="21"/>
                <w:szCs w:val="21"/>
                <w:highlight w:val="none"/>
                <w:lang w:val="en-US" w:eastAsia="zh-CN"/>
              </w:rPr>
              <w:t>布袋除尘器处理后车间内</w:t>
            </w:r>
            <w:r>
              <w:rPr>
                <w:rFonts w:hint="default" w:ascii="Times New Roman" w:hAnsi="Times New Roman" w:eastAsia="宋体" w:cs="Times New Roman"/>
                <w:color w:val="auto"/>
                <w:sz w:val="21"/>
                <w:szCs w:val="21"/>
                <w:highlight w:val="none"/>
              </w:rPr>
              <w:t>无组织排放</w:t>
            </w:r>
          </w:p>
        </w:tc>
        <w:tc>
          <w:tcPr>
            <w:tcW w:w="1943" w:type="pct"/>
            <w:tcBorders>
              <w:tl2br w:val="nil"/>
              <w:tr2bl w:val="nil"/>
            </w:tcBorders>
            <w:vAlign w:val="center"/>
          </w:tcPr>
          <w:p w14:paraId="42439BE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color w:val="auto"/>
                <w:sz w:val="21"/>
                <w:szCs w:val="21"/>
                <w:highlight w:val="none"/>
                <w:lang w:val="en-US" w:eastAsia="zh-CN"/>
              </w:rPr>
              <w:t>厂界执行《大气污染物综合排放标准》（GB 16297-1966 ）表2标准限值</w:t>
            </w:r>
          </w:p>
        </w:tc>
      </w:tr>
      <w:tr w14:paraId="0B8B6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vMerge w:val="continue"/>
            <w:tcBorders>
              <w:tl2br w:val="nil"/>
              <w:tr2bl w:val="nil"/>
            </w:tcBorders>
            <w:vAlign w:val="center"/>
          </w:tcPr>
          <w:p w14:paraId="4029AC1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rPr>
            </w:pPr>
          </w:p>
        </w:tc>
        <w:tc>
          <w:tcPr>
            <w:tcW w:w="528" w:type="pct"/>
            <w:tcBorders>
              <w:tl2br w:val="nil"/>
              <w:tr2bl w:val="nil"/>
            </w:tcBorders>
            <w:vAlign w:val="center"/>
          </w:tcPr>
          <w:p w14:paraId="6E4F49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pacing w:val="21"/>
                <w:sz w:val="21"/>
                <w:szCs w:val="21"/>
                <w:highlight w:val="none"/>
              </w:rPr>
            </w:pPr>
            <w:r>
              <w:rPr>
                <w:rFonts w:hint="default" w:ascii="Times New Roman" w:hAnsi="Times New Roman" w:eastAsia="宋体" w:cs="Times New Roman"/>
                <w:color w:val="auto"/>
                <w:sz w:val="21"/>
                <w:szCs w:val="21"/>
                <w:highlight w:val="none"/>
                <w:lang w:val="en-US" w:eastAsia="zh-CN"/>
              </w:rPr>
              <w:t>助剂粉剂冷却放料废气</w:t>
            </w:r>
          </w:p>
        </w:tc>
        <w:tc>
          <w:tcPr>
            <w:tcW w:w="427" w:type="pct"/>
            <w:tcBorders>
              <w:tl2br w:val="nil"/>
              <w:tr2bl w:val="nil"/>
            </w:tcBorders>
            <w:vAlign w:val="center"/>
          </w:tcPr>
          <w:p w14:paraId="369C3F5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8"/>
                <w:sz w:val="21"/>
                <w:szCs w:val="21"/>
                <w:highlight w:val="none"/>
                <w:lang w:val="en-US" w:eastAsia="zh-CN"/>
              </w:rPr>
            </w:pPr>
            <w:r>
              <w:rPr>
                <w:rFonts w:hint="default" w:ascii="Times New Roman" w:hAnsi="Times New Roman" w:eastAsia="Times New Roman" w:cs="Times New Roman"/>
                <w:spacing w:val="-4"/>
                <w:highlight w:val="none"/>
              </w:rPr>
              <w:t>VOC</w:t>
            </w:r>
            <w:r>
              <w:rPr>
                <w:rFonts w:hint="default" w:ascii="Times New Roman" w:hAnsi="Times New Roman" w:eastAsia="宋体" w:cs="Times New Roman"/>
                <w:spacing w:val="-4"/>
                <w:highlight w:val="none"/>
                <w:lang w:val="en-US" w:eastAsia="zh-CN"/>
              </w:rPr>
              <w:t>s</w:t>
            </w:r>
          </w:p>
        </w:tc>
        <w:tc>
          <w:tcPr>
            <w:tcW w:w="1421" w:type="pct"/>
            <w:tcBorders>
              <w:tl2br w:val="nil"/>
              <w:tr2bl w:val="nil"/>
            </w:tcBorders>
            <w:vAlign w:val="center"/>
          </w:tcPr>
          <w:p w14:paraId="2FB0616B">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活性炭吸附</w:t>
            </w:r>
            <w:r>
              <w:rPr>
                <w:rFonts w:hint="default" w:ascii="Times New Roman" w:hAnsi="Times New Roman" w:eastAsia="宋体" w:cs="Times New Roman"/>
                <w:color w:val="auto"/>
                <w:sz w:val="21"/>
                <w:szCs w:val="21"/>
                <w:highlight w:val="none"/>
                <w:lang w:val="en-US" w:eastAsia="zh-CN"/>
              </w:rPr>
              <w:t>+15m排气筒</w:t>
            </w:r>
          </w:p>
        </w:tc>
        <w:tc>
          <w:tcPr>
            <w:tcW w:w="1943" w:type="pct"/>
            <w:tcBorders>
              <w:tl2br w:val="nil"/>
              <w:tr2bl w:val="nil"/>
            </w:tcBorders>
            <w:vAlign w:val="center"/>
          </w:tcPr>
          <w:p w14:paraId="23B73BF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color w:val="auto"/>
                <w:sz w:val="21"/>
                <w:szCs w:val="21"/>
                <w:highlight w:val="none"/>
                <w:lang w:val="en-US" w:eastAsia="zh-CN"/>
              </w:rPr>
              <w:t>VOCs有组织排放参考执行天津市地方标准《工业企业挥发性有机物排放控制标准》（DB12/ 524—2020）。厂区内VOCs无组织废气满足《挥发性有机物无组织排放控制标准》（GB 37822—2019）；厂界无组织执行《大气污染物综合排放标准》（GB 16297-1966 ）表2标准限值；</w:t>
            </w:r>
          </w:p>
        </w:tc>
      </w:tr>
      <w:tr w14:paraId="4F05F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vMerge w:val="continue"/>
            <w:tcBorders>
              <w:tl2br w:val="nil"/>
              <w:tr2bl w:val="nil"/>
            </w:tcBorders>
            <w:vAlign w:val="center"/>
          </w:tcPr>
          <w:p w14:paraId="47D6E5A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rPr>
            </w:pPr>
          </w:p>
        </w:tc>
        <w:tc>
          <w:tcPr>
            <w:tcW w:w="528" w:type="pct"/>
            <w:tcBorders>
              <w:tl2br w:val="nil"/>
              <w:tr2bl w:val="nil"/>
            </w:tcBorders>
            <w:vAlign w:val="center"/>
          </w:tcPr>
          <w:p w14:paraId="0F32F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21"/>
                <w:sz w:val="21"/>
                <w:szCs w:val="21"/>
                <w:highlight w:val="none"/>
              </w:rPr>
            </w:pPr>
            <w:r>
              <w:rPr>
                <w:rFonts w:hint="default" w:ascii="Times New Roman" w:hAnsi="Times New Roman" w:eastAsia="宋体" w:cs="Times New Roman"/>
                <w:color w:val="auto"/>
                <w:sz w:val="21"/>
                <w:szCs w:val="21"/>
                <w:highlight w:val="none"/>
                <w:lang w:val="en-US" w:eastAsia="zh-CN"/>
              </w:rPr>
              <w:t>厨房油烟废气</w:t>
            </w:r>
          </w:p>
        </w:tc>
        <w:tc>
          <w:tcPr>
            <w:tcW w:w="427" w:type="pct"/>
            <w:tcBorders>
              <w:tl2br w:val="nil"/>
              <w:tr2bl w:val="nil"/>
            </w:tcBorders>
            <w:vAlign w:val="center"/>
          </w:tcPr>
          <w:p w14:paraId="453F5D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8"/>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1421" w:type="pct"/>
            <w:tcBorders>
              <w:tl2br w:val="nil"/>
              <w:tr2bl w:val="nil"/>
            </w:tcBorders>
            <w:vAlign w:val="center"/>
          </w:tcPr>
          <w:p w14:paraId="23CED7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color w:val="auto"/>
                <w:sz w:val="21"/>
                <w:szCs w:val="21"/>
                <w:highlight w:val="none"/>
                <w:lang w:val="en-US" w:eastAsia="zh-CN"/>
              </w:rPr>
              <w:t>油烟净化器</w:t>
            </w:r>
          </w:p>
        </w:tc>
        <w:tc>
          <w:tcPr>
            <w:tcW w:w="1943" w:type="pct"/>
            <w:tcBorders>
              <w:tl2br w:val="nil"/>
              <w:tr2bl w:val="nil"/>
            </w:tcBorders>
            <w:vAlign w:val="center"/>
          </w:tcPr>
          <w:p w14:paraId="1636472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color w:val="auto"/>
                <w:sz w:val="21"/>
                <w:szCs w:val="21"/>
                <w:highlight w:val="none"/>
                <w:lang w:val="en-US" w:eastAsia="zh-CN"/>
              </w:rPr>
              <w:t>《饮食油烟排放标准》（GB18483-2001）</w:t>
            </w:r>
          </w:p>
        </w:tc>
      </w:tr>
      <w:tr w14:paraId="321AD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tcBorders>
              <w:tl2br w:val="nil"/>
              <w:tr2bl w:val="nil"/>
            </w:tcBorders>
            <w:vAlign w:val="center"/>
          </w:tcPr>
          <w:p w14:paraId="790DDEC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lang w:val="en-US" w:eastAsia="zh-CN"/>
              </w:rPr>
            </w:pPr>
            <w:r>
              <w:rPr>
                <w:rFonts w:hint="default" w:ascii="Times New Roman" w:hAnsi="Times New Roman" w:eastAsia="宋体" w:cs="Times New Roman"/>
                <w:spacing w:val="9"/>
                <w:sz w:val="21"/>
                <w:szCs w:val="21"/>
                <w:highlight w:val="none"/>
                <w:lang w:val="en-US" w:eastAsia="zh-CN"/>
              </w:rPr>
              <w:t>废水</w:t>
            </w:r>
          </w:p>
        </w:tc>
        <w:tc>
          <w:tcPr>
            <w:tcW w:w="956" w:type="pct"/>
            <w:gridSpan w:val="2"/>
            <w:tcBorders>
              <w:tl2br w:val="nil"/>
              <w:tr2bl w:val="nil"/>
            </w:tcBorders>
            <w:shd w:val="clear" w:color="auto" w:fill="auto"/>
            <w:vAlign w:val="center"/>
          </w:tcPr>
          <w:p w14:paraId="6BE35F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w:t>
            </w:r>
          </w:p>
        </w:tc>
        <w:tc>
          <w:tcPr>
            <w:tcW w:w="1421" w:type="pct"/>
            <w:tcBorders>
              <w:tl2br w:val="nil"/>
              <w:tr2bl w:val="nil"/>
            </w:tcBorders>
            <w:vAlign w:val="center"/>
          </w:tcPr>
          <w:p w14:paraId="3DB0CB7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spacing w:val="15"/>
                <w:sz w:val="21"/>
                <w:szCs w:val="21"/>
                <w:highlight w:val="none"/>
              </w:rPr>
              <w:t>地面清洁废水经沉淀池沉淀后同纯水制备浓水一起进入园区污水管网排入岳阳高新技术产业园区污水处理厂处理。生活污水依托园区创新创业基地隔油池</w:t>
            </w:r>
            <w:r>
              <w:rPr>
                <w:rFonts w:hint="eastAsia" w:ascii="Times New Roman" w:hAnsi="Times New Roman" w:cs="Times New Roman"/>
                <w:spacing w:val="15"/>
                <w:sz w:val="21"/>
                <w:szCs w:val="21"/>
                <w:highlight w:val="none"/>
                <w:lang w:val="en-US" w:eastAsia="zh-CN"/>
              </w:rPr>
              <w:t>及</w:t>
            </w:r>
            <w:r>
              <w:rPr>
                <w:rFonts w:hint="default" w:ascii="Times New Roman" w:hAnsi="Times New Roman" w:eastAsia="宋体" w:cs="Times New Roman"/>
                <w:spacing w:val="15"/>
                <w:sz w:val="21"/>
                <w:szCs w:val="21"/>
                <w:highlight w:val="none"/>
              </w:rPr>
              <w:t>化粪池处理后经园区污水管网排入岳阳高新技术产业园区污水处理厂处理达标后排入新墙河。</w:t>
            </w:r>
          </w:p>
        </w:tc>
        <w:tc>
          <w:tcPr>
            <w:tcW w:w="1943" w:type="pct"/>
            <w:tcBorders>
              <w:tl2br w:val="nil"/>
              <w:tr2bl w:val="nil"/>
            </w:tcBorders>
            <w:vAlign w:val="center"/>
          </w:tcPr>
          <w:p w14:paraId="51262EC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spacing w:val="15"/>
                <w:sz w:val="21"/>
                <w:szCs w:val="21"/>
                <w:highlight w:val="none"/>
              </w:rPr>
              <w:t>项目外排废水需同时满足《污水综合排放标准》 （GB8978-1996）中表 4 三级标准以及岳阳高新技术产业园区污水处理厂接管标准要求， 经岳阳高新技术产业园区污水处理厂处理达《城镇污水处理厂污染物排放标准》（GB18918-2002）及修改单中一级 A 标准。</w:t>
            </w:r>
          </w:p>
        </w:tc>
      </w:tr>
      <w:tr w14:paraId="451A4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242" w:type="pct"/>
            <w:vMerge w:val="restart"/>
            <w:tcBorders>
              <w:tl2br w:val="nil"/>
              <w:tr2bl w:val="nil"/>
            </w:tcBorders>
            <w:vAlign w:val="center"/>
          </w:tcPr>
          <w:p w14:paraId="71D94E5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lang w:val="en-US" w:eastAsia="zh-CN"/>
              </w:rPr>
            </w:pPr>
            <w:r>
              <w:rPr>
                <w:rFonts w:hint="default" w:ascii="Times New Roman" w:hAnsi="Times New Roman" w:eastAsia="宋体" w:cs="Times New Roman"/>
                <w:sz w:val="21"/>
                <w:szCs w:val="21"/>
                <w:highlight w:val="none"/>
                <w:lang w:val="en-US" w:eastAsia="zh-CN"/>
              </w:rPr>
              <w:t>固废</w:t>
            </w:r>
          </w:p>
        </w:tc>
        <w:tc>
          <w:tcPr>
            <w:tcW w:w="436" w:type="pct"/>
            <w:tcBorders>
              <w:tl2br w:val="nil"/>
              <w:tr2bl w:val="nil"/>
            </w:tcBorders>
            <w:vAlign w:val="center"/>
          </w:tcPr>
          <w:p w14:paraId="4A9A3251">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9"/>
                <w:sz w:val="21"/>
                <w:szCs w:val="21"/>
                <w:highlight w:val="none"/>
                <w:lang w:val="en-US" w:eastAsia="zh-CN"/>
              </w:rPr>
            </w:pPr>
            <w:r>
              <w:rPr>
                <w:rFonts w:hint="default" w:ascii="Times New Roman" w:hAnsi="Times New Roman" w:eastAsia="宋体" w:cs="Times New Roman"/>
                <w:spacing w:val="9"/>
                <w:sz w:val="21"/>
                <w:szCs w:val="21"/>
                <w:highlight w:val="none"/>
                <w:lang w:val="en-US" w:eastAsia="zh-CN"/>
              </w:rPr>
              <w:t>一般工业固废</w:t>
            </w:r>
          </w:p>
        </w:tc>
        <w:tc>
          <w:tcPr>
            <w:tcW w:w="2377" w:type="pct"/>
            <w:gridSpan w:val="3"/>
            <w:tcBorders>
              <w:tl2br w:val="nil"/>
              <w:tr2bl w:val="nil"/>
            </w:tcBorders>
            <w:shd w:val="clear" w:color="auto" w:fill="auto"/>
            <w:vAlign w:val="center"/>
          </w:tcPr>
          <w:p w14:paraId="41804AF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新建1间一般固废暂存间（29m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布袋除尘器收集粉尘返回生产线做原料</w:t>
            </w:r>
            <w:r>
              <w:rPr>
                <w:rFonts w:hint="default" w:ascii="Times New Roman" w:hAnsi="Times New Roman" w:cs="Times New Roman"/>
                <w:b w:val="0"/>
                <w:bCs/>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地面收集粉尘返回生产线做原料</w:t>
            </w:r>
            <w:r>
              <w:rPr>
                <w:rFonts w:hint="default" w:ascii="Times New Roman" w:hAnsi="Times New Roman" w:cs="Times New Roman"/>
                <w:b w:val="0"/>
                <w:bCs/>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 RO 膜由厂家上门更换并对废RO膜进行回收处置</w:t>
            </w:r>
            <w:r>
              <w:rPr>
                <w:rFonts w:hint="default" w:ascii="Times New Roman" w:hAnsi="Times New Roman" w:cs="Times New Roman"/>
                <w:b w:val="0"/>
                <w:bCs/>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废包装材料收集后交由厂家回收</w:t>
            </w:r>
            <w:r>
              <w:rPr>
                <w:rFonts w:hint="default" w:ascii="Times New Roman" w:hAnsi="Times New Roman" w:cs="Times New Roman"/>
                <w:b w:val="0"/>
                <w:bCs/>
                <w:snapToGrid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实验室检验成品回用于工艺</w:t>
            </w:r>
            <w:r>
              <w:rPr>
                <w:rFonts w:hint="default" w:ascii="Times New Roman" w:hAnsi="Times New Roman" w:cs="Times New Roman"/>
                <w:b w:val="0"/>
                <w:bCs/>
                <w:snapToGrid w:val="0"/>
                <w:color w:val="000000" w:themeColor="text1"/>
                <w:kern w:val="0"/>
                <w:sz w:val="21"/>
                <w:szCs w:val="21"/>
                <w:highlight w:val="none"/>
                <w:lang w:val="en-US" w:eastAsia="zh-CN"/>
                <w14:textFill>
                  <w14:solidFill>
                    <w14:schemeClr w14:val="tx1"/>
                  </w14:solidFill>
                </w14:textFill>
              </w:rPr>
              <w:t>。</w:t>
            </w:r>
          </w:p>
        </w:tc>
        <w:tc>
          <w:tcPr>
            <w:tcW w:w="1943" w:type="pct"/>
            <w:tcBorders>
              <w:tl2br w:val="nil"/>
              <w:tr2bl w:val="nil"/>
            </w:tcBorders>
            <w:vAlign w:val="center"/>
          </w:tcPr>
          <w:p w14:paraId="0C8306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《一般工业固体废物贮存和填埋污染控制标准》（GB 18599-2020）</w:t>
            </w:r>
          </w:p>
        </w:tc>
      </w:tr>
      <w:tr w14:paraId="12556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242" w:type="pct"/>
            <w:vMerge w:val="continue"/>
            <w:tcBorders>
              <w:tl2br w:val="nil"/>
              <w:tr2bl w:val="nil"/>
            </w:tcBorders>
            <w:vAlign w:val="center"/>
          </w:tcPr>
          <w:p w14:paraId="6A43E00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lang w:val="en-US" w:eastAsia="zh-CN"/>
              </w:rPr>
            </w:pPr>
          </w:p>
        </w:tc>
        <w:tc>
          <w:tcPr>
            <w:tcW w:w="436" w:type="pct"/>
            <w:tcBorders>
              <w:tl2br w:val="nil"/>
              <w:tr2bl w:val="nil"/>
            </w:tcBorders>
            <w:vAlign w:val="center"/>
          </w:tcPr>
          <w:p w14:paraId="45FDD95C">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pacing w:val="9"/>
                <w:sz w:val="21"/>
                <w:szCs w:val="21"/>
                <w:highlight w:val="none"/>
                <w:lang w:val="en-US" w:eastAsia="zh-CN"/>
              </w:rPr>
            </w:pPr>
            <w:r>
              <w:rPr>
                <w:rFonts w:hint="default" w:ascii="Times New Roman" w:hAnsi="Times New Roman" w:eastAsia="宋体" w:cs="Times New Roman"/>
                <w:spacing w:val="9"/>
                <w:sz w:val="21"/>
                <w:szCs w:val="21"/>
                <w:highlight w:val="none"/>
                <w:lang w:val="en-US" w:eastAsia="zh-CN"/>
              </w:rPr>
              <w:t>危险废物</w:t>
            </w:r>
          </w:p>
        </w:tc>
        <w:tc>
          <w:tcPr>
            <w:tcW w:w="2377" w:type="pct"/>
            <w:gridSpan w:val="3"/>
            <w:tcBorders>
              <w:tl2br w:val="nil"/>
              <w:tr2bl w:val="nil"/>
            </w:tcBorders>
            <w:shd w:val="clear" w:color="auto" w:fill="auto"/>
            <w:vAlign w:val="center"/>
          </w:tcPr>
          <w:p w14:paraId="045CBD3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新建1间危险废物暂存间（10m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snapToGrid w:val="0"/>
                <w:color w:val="auto"/>
                <w:kern w:val="0"/>
                <w:sz w:val="21"/>
                <w:szCs w:val="21"/>
                <w:highlight w:val="none"/>
                <w:lang w:val="en-US" w:eastAsia="zh-CN"/>
              </w:rPr>
              <w:t>废活性炭</w:t>
            </w:r>
            <w:r>
              <w:rPr>
                <w:rFonts w:hint="default" w:ascii="Times New Roman" w:hAnsi="Times New Roman" w:cs="Times New Roman"/>
                <w:b w:val="0"/>
                <w:bCs/>
                <w:snapToGrid w:val="0"/>
                <w:color w:val="auto"/>
                <w:kern w:val="0"/>
                <w:sz w:val="21"/>
                <w:szCs w:val="21"/>
                <w:highlight w:val="none"/>
                <w:lang w:val="en-US" w:eastAsia="zh-CN"/>
              </w:rPr>
              <w:t>、</w:t>
            </w:r>
            <w:r>
              <w:rPr>
                <w:rFonts w:hint="default" w:ascii="Times New Roman" w:hAnsi="Times New Roman" w:eastAsia="宋体" w:cs="Times New Roman"/>
                <w:b w:val="0"/>
                <w:bCs/>
                <w:snapToGrid w:val="0"/>
                <w:color w:val="auto"/>
                <w:kern w:val="0"/>
                <w:sz w:val="21"/>
                <w:szCs w:val="21"/>
                <w:highlight w:val="none"/>
                <w:lang w:val="en-US" w:eastAsia="zh-CN"/>
              </w:rPr>
              <w:t>废导热油</w:t>
            </w:r>
            <w:r>
              <w:rPr>
                <w:rFonts w:hint="default" w:ascii="Times New Roman" w:hAnsi="Times New Roman" w:cs="Times New Roman"/>
                <w:b w:val="0"/>
                <w:bCs/>
                <w:snapToGrid w:val="0"/>
                <w:color w:val="auto"/>
                <w:kern w:val="0"/>
                <w:sz w:val="21"/>
                <w:szCs w:val="21"/>
                <w:highlight w:val="none"/>
                <w:lang w:val="en-US" w:eastAsia="zh-CN"/>
              </w:rPr>
              <w:t>、</w:t>
            </w:r>
            <w:r>
              <w:rPr>
                <w:rFonts w:hint="default" w:ascii="Times New Roman" w:hAnsi="Times New Roman" w:eastAsia="宋体" w:cs="Times New Roman"/>
                <w:b w:val="0"/>
                <w:bCs/>
                <w:color w:val="auto"/>
                <w:kern w:val="2"/>
                <w:sz w:val="21"/>
                <w:szCs w:val="21"/>
                <w:highlight w:val="none"/>
                <w:u w:val="none"/>
                <w:lang w:val="en-US" w:eastAsia="zh-CN" w:bidi="ar-SA"/>
              </w:rPr>
              <w:t>实验室废液</w:t>
            </w:r>
            <w:r>
              <w:rPr>
                <w:rFonts w:hint="default" w:ascii="Times New Roman" w:hAnsi="Times New Roman" w:cs="Times New Roman"/>
                <w:b w:val="0"/>
                <w:bCs/>
                <w:color w:val="auto"/>
                <w:kern w:val="2"/>
                <w:sz w:val="21"/>
                <w:szCs w:val="21"/>
                <w:highlight w:val="none"/>
                <w:u w:val="none"/>
                <w:lang w:val="en-US" w:eastAsia="zh-CN" w:bidi="ar-SA"/>
              </w:rPr>
              <w:t>收集后暂存于危险废物暂存间，</w:t>
            </w:r>
            <w:r>
              <w:rPr>
                <w:rFonts w:hint="default" w:ascii="Times New Roman" w:hAnsi="Times New Roman" w:eastAsia="宋体" w:cs="Times New Roman"/>
                <w:b w:val="0"/>
                <w:bCs/>
                <w:color w:val="auto"/>
                <w:sz w:val="21"/>
                <w:szCs w:val="21"/>
                <w:highlight w:val="none"/>
              </w:rPr>
              <w:t>交由有资质单位处</w:t>
            </w:r>
            <w:r>
              <w:rPr>
                <w:rFonts w:hint="default" w:ascii="Times New Roman" w:hAnsi="Times New Roman" w:eastAsia="宋体" w:cs="Times New Roman"/>
                <w:b w:val="0"/>
                <w:bCs/>
                <w:color w:val="auto"/>
                <w:sz w:val="21"/>
                <w:szCs w:val="21"/>
                <w:highlight w:val="none"/>
                <w:lang w:val="en-US" w:eastAsia="zh-CN"/>
              </w:rPr>
              <w:t>置</w:t>
            </w:r>
            <w:r>
              <w:rPr>
                <w:rFonts w:hint="default" w:ascii="Times New Roman" w:hAnsi="Times New Roman" w:cs="Times New Roman"/>
                <w:b w:val="0"/>
                <w:bCs/>
                <w:color w:val="auto"/>
                <w:kern w:val="2"/>
                <w:sz w:val="21"/>
                <w:szCs w:val="21"/>
                <w:highlight w:val="none"/>
                <w:u w:val="none"/>
                <w:lang w:val="en-US" w:eastAsia="zh-CN" w:bidi="ar-SA"/>
              </w:rPr>
              <w:t>。</w:t>
            </w:r>
          </w:p>
        </w:tc>
        <w:tc>
          <w:tcPr>
            <w:tcW w:w="1943" w:type="pct"/>
            <w:tcBorders>
              <w:tl2br w:val="nil"/>
              <w:tr2bl w:val="nil"/>
            </w:tcBorders>
            <w:vAlign w:val="center"/>
          </w:tcPr>
          <w:p w14:paraId="66075D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b w:val="0"/>
                <w:bCs/>
                <w:color w:val="auto"/>
                <w:kern w:val="2"/>
                <w:sz w:val="21"/>
                <w:szCs w:val="21"/>
                <w:highlight w:val="none"/>
                <w:u w:val="none"/>
                <w:lang w:val="en-US" w:eastAsia="zh-CN"/>
              </w:rPr>
              <w:t>《危险废物贮存污染控制标准》（GB 18597—2023）</w:t>
            </w:r>
          </w:p>
        </w:tc>
      </w:tr>
      <w:tr w14:paraId="3AF17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242" w:type="pct"/>
            <w:vMerge w:val="continue"/>
            <w:tcBorders>
              <w:tl2br w:val="nil"/>
              <w:tr2bl w:val="nil"/>
            </w:tcBorders>
            <w:vAlign w:val="center"/>
          </w:tcPr>
          <w:p w14:paraId="11BDAC7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rPr>
            </w:pPr>
          </w:p>
        </w:tc>
        <w:tc>
          <w:tcPr>
            <w:tcW w:w="436" w:type="pct"/>
            <w:tcBorders>
              <w:tl2br w:val="nil"/>
              <w:tr2bl w:val="nil"/>
            </w:tcBorders>
            <w:vAlign w:val="center"/>
          </w:tcPr>
          <w:p w14:paraId="47A9E3D2">
            <w:pPr>
              <w:pStyle w:val="3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生活垃圾</w:t>
            </w:r>
          </w:p>
        </w:tc>
        <w:tc>
          <w:tcPr>
            <w:tcW w:w="2377" w:type="pct"/>
            <w:gridSpan w:val="3"/>
            <w:tcBorders>
              <w:tl2br w:val="nil"/>
              <w:tr2bl w:val="nil"/>
            </w:tcBorders>
            <w:shd w:val="clear" w:color="auto" w:fill="auto"/>
            <w:vAlign w:val="center"/>
          </w:tcPr>
          <w:p w14:paraId="2E43428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收集后交由环卫部门处置</w:t>
            </w:r>
          </w:p>
        </w:tc>
        <w:tc>
          <w:tcPr>
            <w:tcW w:w="1943" w:type="pct"/>
            <w:tcBorders>
              <w:tl2br w:val="nil"/>
              <w:tr2bl w:val="nil"/>
            </w:tcBorders>
            <w:vAlign w:val="center"/>
          </w:tcPr>
          <w:p w14:paraId="3E3FF1D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b w:val="0"/>
                <w:bCs w:val="0"/>
                <w:color w:val="auto"/>
                <w:sz w:val="21"/>
                <w:szCs w:val="21"/>
                <w:highlight w:val="none"/>
                <w:u w:val="none" w:color="auto"/>
                <w:lang w:eastAsia="zh-CN"/>
              </w:rPr>
              <w:t>不得混入工业固废（含危险废物）</w:t>
            </w:r>
          </w:p>
        </w:tc>
      </w:tr>
      <w:tr w14:paraId="4F3F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tcBorders>
              <w:tl2br w:val="nil"/>
              <w:tr2bl w:val="nil"/>
            </w:tcBorders>
            <w:vAlign w:val="center"/>
          </w:tcPr>
          <w:p w14:paraId="6A17136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rPr>
            </w:pPr>
            <w:r>
              <w:rPr>
                <w:rFonts w:hint="default" w:ascii="Times New Roman" w:hAnsi="Times New Roman" w:eastAsia="宋体" w:cs="Times New Roman"/>
                <w:b w:val="0"/>
                <w:bCs w:val="0"/>
                <w:color w:val="auto"/>
                <w:sz w:val="21"/>
                <w:szCs w:val="21"/>
                <w:highlight w:val="none"/>
                <w:u w:val="none" w:color="auto"/>
              </w:rPr>
              <w:t>噪声</w:t>
            </w:r>
          </w:p>
        </w:tc>
        <w:tc>
          <w:tcPr>
            <w:tcW w:w="2377" w:type="pct"/>
            <w:gridSpan w:val="3"/>
            <w:tcBorders>
              <w:tl2br w:val="nil"/>
              <w:tr2bl w:val="nil"/>
            </w:tcBorders>
            <w:shd w:val="clear" w:color="auto" w:fill="auto"/>
            <w:vAlign w:val="center"/>
          </w:tcPr>
          <w:p w14:paraId="36EDE0D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15"/>
                <w:sz w:val="21"/>
                <w:szCs w:val="21"/>
                <w:highlight w:val="none"/>
              </w:rPr>
            </w:pPr>
            <w:r>
              <w:rPr>
                <w:rFonts w:hint="default" w:ascii="Times New Roman" w:hAnsi="Times New Roman" w:eastAsia="宋体" w:cs="Times New Roman"/>
                <w:b w:val="0"/>
                <w:bCs w:val="0"/>
                <w:snapToGrid w:val="0"/>
                <w:color w:val="auto"/>
                <w:sz w:val="21"/>
                <w:szCs w:val="21"/>
                <w:highlight w:val="none"/>
                <w:u w:val="none" w:color="auto"/>
              </w:rPr>
              <w:t>选用低噪设备、减振、吸声、隔声措施</w:t>
            </w:r>
          </w:p>
        </w:tc>
        <w:tc>
          <w:tcPr>
            <w:tcW w:w="1943" w:type="pct"/>
            <w:tcBorders>
              <w:tl2br w:val="nil"/>
              <w:tr2bl w:val="nil"/>
            </w:tcBorders>
            <w:vAlign w:val="center"/>
          </w:tcPr>
          <w:p w14:paraId="6D89077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3"/>
                <w:sz w:val="21"/>
                <w:szCs w:val="21"/>
                <w:highlight w:val="none"/>
              </w:rPr>
            </w:pPr>
            <w:r>
              <w:rPr>
                <w:rFonts w:hint="default" w:ascii="Times New Roman" w:hAnsi="Times New Roman" w:eastAsia="宋体" w:cs="Times New Roman"/>
                <w:b w:val="0"/>
                <w:bCs/>
                <w:snapToGrid w:val="0"/>
                <w:color w:val="000000" w:themeColor="text1"/>
                <w:kern w:val="0"/>
                <w:sz w:val="21"/>
                <w:szCs w:val="21"/>
                <w:highlight w:val="none"/>
                <w:lang w:val="en-US" w:eastAsia="zh-CN"/>
                <w14:textFill>
                  <w14:solidFill>
                    <w14:schemeClr w14:val="tx1"/>
                  </w14:solidFill>
                </w14:textFill>
              </w:rPr>
              <w:t>营运期东厂界、北厂界、南厂界执行《工业企业厂界环境噪声排放标准》（GB12348-2008）中的3 类区标准，西厂界执行《工业企业厂界环境噪声排放标准》（GB12348-2008）中的4 类区标准</w:t>
            </w:r>
          </w:p>
        </w:tc>
      </w:tr>
      <w:tr w14:paraId="32643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tcBorders>
              <w:tl2br w:val="nil"/>
              <w:tr2bl w:val="nil"/>
            </w:tcBorders>
            <w:vAlign w:val="center"/>
          </w:tcPr>
          <w:p w14:paraId="674AFC99">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u w:val="none" w:color="auto"/>
              </w:rPr>
            </w:pPr>
            <w:r>
              <w:rPr>
                <w:color w:val="auto"/>
                <w:highlight w:val="none"/>
                <w:u w:val="none" w:color="auto"/>
              </w:rPr>
              <w:t>排污口</w:t>
            </w:r>
          </w:p>
        </w:tc>
        <w:tc>
          <w:tcPr>
            <w:tcW w:w="4321" w:type="pct"/>
            <w:gridSpan w:val="4"/>
            <w:tcBorders>
              <w:tl2br w:val="nil"/>
              <w:tr2bl w:val="nil"/>
            </w:tcBorders>
            <w:shd w:val="clear" w:color="auto" w:fill="auto"/>
            <w:vAlign w:val="center"/>
          </w:tcPr>
          <w:p w14:paraId="3D4B370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23"/>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建设单位应在排放口处树立或挂上排放口标志牌，标志牌应注明污染物名称以警示标识</w:t>
            </w:r>
          </w:p>
        </w:tc>
      </w:tr>
      <w:tr w14:paraId="18DA0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678" w:type="pct"/>
            <w:gridSpan w:val="2"/>
            <w:tcBorders>
              <w:tl2br w:val="nil"/>
              <w:tr2bl w:val="nil"/>
            </w:tcBorders>
            <w:vAlign w:val="center"/>
          </w:tcPr>
          <w:p w14:paraId="0CDD92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highlight w:val="none"/>
              </w:rPr>
            </w:pPr>
            <w:r>
              <w:rPr>
                <w:rFonts w:hint="eastAsia" w:ascii="宋体" w:hAnsi="宋体" w:eastAsia="宋体" w:cs="宋体"/>
                <w:color w:val="0C0C0C"/>
                <w:kern w:val="0"/>
                <w:sz w:val="21"/>
                <w:szCs w:val="21"/>
                <w:highlight w:val="none"/>
                <w:lang w:val="en-US" w:eastAsia="zh-CN" w:bidi="ar"/>
              </w:rPr>
              <w:t>环境风险</w:t>
            </w:r>
          </w:p>
          <w:p w14:paraId="7B456C37">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spacing w:val="9"/>
                <w:sz w:val="21"/>
                <w:szCs w:val="21"/>
                <w:highlight w:val="none"/>
              </w:rPr>
            </w:pPr>
          </w:p>
        </w:tc>
        <w:tc>
          <w:tcPr>
            <w:tcW w:w="4321" w:type="pct"/>
            <w:gridSpan w:val="4"/>
            <w:tcBorders>
              <w:tl2br w:val="nil"/>
              <w:tr2bl w:val="nil"/>
            </w:tcBorders>
            <w:shd w:val="clear" w:color="auto" w:fill="auto"/>
            <w:vAlign w:val="center"/>
          </w:tcPr>
          <w:p w14:paraId="00C25B3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pacing w:val="23"/>
                <w:sz w:val="21"/>
                <w:szCs w:val="21"/>
                <w:highlight w:val="none"/>
              </w:rPr>
            </w:pPr>
            <w:r>
              <w:rPr>
                <w:rFonts w:hint="eastAsia" w:ascii="宋体" w:hAnsi="宋体" w:eastAsia="宋体" w:cs="宋体"/>
                <w:color w:val="0C0C0C"/>
                <w:kern w:val="0"/>
                <w:sz w:val="21"/>
                <w:szCs w:val="21"/>
                <w:highlight w:val="none"/>
                <w:lang w:val="en-US" w:eastAsia="zh-CN" w:bidi="ar"/>
              </w:rPr>
              <w:t>落实环境风险防范措施和应急措施， 落实应急预案</w:t>
            </w:r>
          </w:p>
        </w:tc>
      </w:tr>
    </w:tbl>
    <w:p w14:paraId="44725B61">
      <w:pPr>
        <w:pStyle w:val="7"/>
        <w:bidi w:val="0"/>
        <w:rPr>
          <w:rFonts w:hint="eastAsia"/>
          <w:highlight w:val="none"/>
          <w:lang w:val="en-US" w:eastAsia="zh-CN"/>
        </w:rPr>
      </w:pPr>
      <w:bookmarkStart w:id="281" w:name="_Toc11603"/>
      <w:r>
        <w:rPr>
          <w:rFonts w:hint="eastAsia"/>
          <w:highlight w:val="none"/>
          <w:lang w:val="en-US" w:eastAsia="zh-CN"/>
        </w:rPr>
        <w:t>9.3.4 信息公开制度</w:t>
      </w:r>
      <w:bookmarkEnd w:id="281"/>
    </w:p>
    <w:p w14:paraId="4AB6F6AD">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排污许可要求企业应对相关信息予以公开，相关要求如下：</w:t>
      </w:r>
    </w:p>
    <w:p w14:paraId="4890D7BB">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1</w:t>
      </w:r>
      <w:r>
        <w:rPr>
          <w:rFonts w:hint="eastAsia" w:ascii="Times New Roman" w:hAnsi="Times New Roman" w:eastAsia="宋体" w:cs="Times New Roman"/>
          <w:spacing w:val="2"/>
          <w:sz w:val="24"/>
          <w:szCs w:val="24"/>
          <w:highlight w:val="none"/>
          <w:lang w:val="en-US" w:eastAsia="zh-CN"/>
        </w:rPr>
        <w:t>、</w:t>
      </w:r>
      <w:r>
        <w:rPr>
          <w:rFonts w:hint="default" w:ascii="Times New Roman" w:hAnsi="Times New Roman" w:eastAsia="宋体" w:cs="Times New Roman"/>
          <w:spacing w:val="2"/>
          <w:sz w:val="24"/>
          <w:szCs w:val="24"/>
          <w:highlight w:val="none"/>
          <w:lang w:val="en-US" w:eastAsia="zh-CN"/>
        </w:rPr>
        <w:t>公布方式：企业通过对外网站或报纸、广播、电视、厂区外的电子屏幕等便于公众知晓的方式公开自行监测信息。</w:t>
      </w:r>
    </w:p>
    <w:p w14:paraId="0AFF7690">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2</w:t>
      </w:r>
      <w:r>
        <w:rPr>
          <w:rFonts w:hint="eastAsia" w:ascii="Times New Roman" w:hAnsi="Times New Roman" w:eastAsia="宋体" w:cs="Times New Roman"/>
          <w:spacing w:val="2"/>
          <w:sz w:val="24"/>
          <w:szCs w:val="24"/>
          <w:highlight w:val="none"/>
          <w:lang w:val="en-US" w:eastAsia="zh-CN"/>
        </w:rPr>
        <w:t>、</w:t>
      </w:r>
      <w:r>
        <w:rPr>
          <w:rFonts w:hint="default" w:ascii="Times New Roman" w:hAnsi="Times New Roman" w:eastAsia="宋体" w:cs="Times New Roman"/>
          <w:spacing w:val="2"/>
          <w:sz w:val="24"/>
          <w:szCs w:val="24"/>
          <w:highlight w:val="none"/>
          <w:lang w:val="en-US" w:eastAsia="zh-CN"/>
        </w:rPr>
        <w:t>公开内容</w:t>
      </w:r>
    </w:p>
    <w:p w14:paraId="7CE9D224">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①基础信息：企业名称、法人代表、所属行业、地理位置、生产周期、联系方式、委托监测机构名称等；污染物排放信息应当包括污染物排放种类、排放浓度和排放量，以及污染防治设施的建设运行情况、排污许可证执行报告、自行监测数据等；其中，水污染物排入市政排水管网的，还应当包括污水接入市政排水管网位置、排放方式等信息。</w:t>
      </w:r>
    </w:p>
    <w:p w14:paraId="62E962FB">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（2）排污信息：包括主要污染物及特征污染物的名称、排放方式、排放口 数量和分布情况、排放浓度和总量、达标排放情况，以及执行的污染物排放标准、核定的排放总量；</w:t>
      </w:r>
    </w:p>
    <w:p w14:paraId="3F055BE8">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（3）防治污染设施的建设和运行情况；</w:t>
      </w:r>
    </w:p>
    <w:p w14:paraId="22407ED8">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（4）建设项目环境影响评价及其他环境保护行政许可情况；</w:t>
      </w:r>
    </w:p>
    <w:p w14:paraId="1E12344B">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（5）突发环境事件应急预案。</w:t>
      </w:r>
    </w:p>
    <w:p w14:paraId="2F01F4E3">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ascii="Times New Roman" w:hAnsi="Times New Roman" w:eastAsia="宋体" w:cs="Times New Roman"/>
          <w:spacing w:val="2"/>
          <w:sz w:val="24"/>
          <w:szCs w:val="24"/>
          <w:highlight w:val="none"/>
          <w:lang w:val="en-US" w:eastAsia="zh-CN"/>
        </w:rPr>
        <w:sectPr>
          <w:footerReference r:id="rId11" w:type="default"/>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466" w:charSpace="0"/>
        </w:sectPr>
      </w:pPr>
    </w:p>
    <w:p w14:paraId="536CAFBB">
      <w:pPr>
        <w:pStyle w:val="5"/>
        <w:pageBreakBefore w:val="0"/>
        <w:kinsoku/>
        <w:wordWrap/>
        <w:overflowPunct/>
        <w:topLinePunct w:val="0"/>
        <w:autoSpaceDE/>
        <w:autoSpaceDN/>
        <w:bidi w:val="0"/>
        <w:adjustRightInd/>
        <w:spacing w:afterAutospacing="0" w:line="360" w:lineRule="auto"/>
        <w:ind w:left="0" w:right="0"/>
        <w:textAlignment w:val="auto"/>
        <w:rPr>
          <w:highlight w:val="none"/>
        </w:rPr>
      </w:pPr>
      <w:bookmarkStart w:id="282" w:name="_Toc15184"/>
      <w:r>
        <w:rPr>
          <w:highlight w:val="none"/>
        </w:rPr>
        <w:t>11 结论和建议</w:t>
      </w:r>
      <w:bookmarkEnd w:id="282"/>
    </w:p>
    <w:p w14:paraId="31A2EE23">
      <w:pPr>
        <w:pageBreakBefore w:val="0"/>
        <w:kinsoku/>
        <w:wordWrap/>
        <w:overflowPunct/>
        <w:topLinePunct w:val="0"/>
        <w:autoSpaceDE/>
        <w:autoSpaceDN/>
        <w:bidi w:val="0"/>
        <w:adjustRightInd/>
        <w:spacing w:afterAutospacing="0" w:line="360" w:lineRule="auto"/>
        <w:ind w:left="0" w:leftChars="0" w:right="0" w:firstLine="0" w:firstLineChars="0"/>
        <w:textAlignment w:val="auto"/>
        <w:outlineLvl w:val="1"/>
        <w:rPr>
          <w:rFonts w:ascii="宋体" w:hAnsi="宋体" w:eastAsia="宋体" w:cs="宋体"/>
          <w:sz w:val="31"/>
          <w:szCs w:val="31"/>
          <w:highlight w:val="none"/>
        </w:rPr>
      </w:pPr>
      <w:bookmarkStart w:id="283" w:name="bookmark80"/>
      <w:bookmarkEnd w:id="283"/>
      <w:bookmarkStart w:id="284" w:name="_Toc23836"/>
      <w:r>
        <w:rPr>
          <w:rFonts w:ascii="Times New Roman" w:hAnsi="Times New Roman" w:eastAsia="Times New Roman" w:cs="Times New Roman"/>
          <w:b/>
          <w:bCs/>
          <w:spacing w:val="-2"/>
          <w:sz w:val="31"/>
          <w:szCs w:val="31"/>
          <w:highlight w:val="none"/>
        </w:rPr>
        <w:t xml:space="preserve">11.1  </w:t>
      </w:r>
      <w:r>
        <w:rPr>
          <w:rFonts w:ascii="宋体" w:hAnsi="宋体" w:eastAsia="宋体" w:cs="宋体"/>
          <w:b/>
          <w:bCs/>
          <w:spacing w:val="-2"/>
          <w:sz w:val="31"/>
          <w:szCs w:val="31"/>
          <w:highlight w:val="none"/>
        </w:rPr>
        <w:t>结论</w:t>
      </w:r>
      <w:bookmarkEnd w:id="284"/>
    </w:p>
    <w:p w14:paraId="65FAD969">
      <w:pPr>
        <w:pStyle w:val="7"/>
        <w:bidi w:val="0"/>
        <w:rPr>
          <w:highlight w:val="none"/>
        </w:rPr>
      </w:pPr>
      <w:bookmarkStart w:id="285" w:name="_Toc5925"/>
      <w:r>
        <w:rPr>
          <w:highlight w:val="none"/>
        </w:rPr>
        <w:t>11.1.1. 建设项目概况</w:t>
      </w:r>
      <w:bookmarkEnd w:id="285"/>
    </w:p>
    <w:p w14:paraId="5CFECC0C">
      <w:pPr>
        <w:pageBreakBefore w:val="0"/>
        <w:kinsoku/>
        <w:wordWrap/>
        <w:overflowPunct/>
        <w:topLinePunct w:val="0"/>
        <w:autoSpaceDE/>
        <w:autoSpaceDN/>
        <w:bidi w:val="0"/>
        <w:adjustRightInd/>
        <w:spacing w:afterAutospacing="0" w:line="360" w:lineRule="auto"/>
        <w:ind w:left="0" w:leftChars="0" w:right="0" w:firstLine="468" w:firstLineChars="200"/>
        <w:textAlignment w:val="auto"/>
        <w:rPr>
          <w:rFonts w:ascii="宋体" w:hAnsi="宋体" w:eastAsia="宋体" w:cs="宋体"/>
          <w:b/>
          <w:bCs/>
          <w:spacing w:val="-5"/>
          <w:sz w:val="28"/>
          <w:szCs w:val="28"/>
          <w:highlight w:val="none"/>
        </w:rPr>
      </w:pPr>
      <w:r>
        <w:rPr>
          <w:rFonts w:hint="eastAsia" w:ascii="Times New Roman" w:hAnsi="Times New Roman" w:eastAsia="宋体" w:cs="Times New Roman"/>
          <w:snapToGrid w:val="0"/>
          <w:color w:val="000000"/>
          <w:spacing w:val="-3"/>
          <w:kern w:val="0"/>
          <w:sz w:val="24"/>
          <w:szCs w:val="24"/>
          <w:highlight w:val="none"/>
          <w:lang w:val="en-US" w:eastAsia="zh-CN" w:bidi="ar-SA"/>
        </w:rPr>
        <w:t>湖南鸿蒙新材料制造有限公司拟在</w:t>
      </w:r>
      <w:r>
        <w:rPr>
          <w:rFonts w:hint="eastAsia" w:eastAsia="宋体" w:cs="Times New Roman"/>
          <w:snapToGrid w:val="0"/>
          <w:color w:val="000000"/>
          <w:spacing w:val="-3"/>
          <w:kern w:val="0"/>
          <w:sz w:val="24"/>
          <w:szCs w:val="24"/>
          <w:highlight w:val="none"/>
          <w:lang w:val="en-US" w:eastAsia="zh-CN" w:bidi="ar-SA"/>
        </w:rPr>
        <w:t>湖</w:t>
      </w:r>
      <w:r>
        <w:rPr>
          <w:rFonts w:hint="eastAsia" w:ascii="Times New Roman" w:hAnsi="Times New Roman" w:eastAsia="宋体" w:cs="Times New Roman"/>
          <w:snapToGrid w:val="0"/>
          <w:color w:val="000000"/>
          <w:spacing w:val="-3"/>
          <w:kern w:val="0"/>
          <w:sz w:val="24"/>
          <w:szCs w:val="24"/>
          <w:highlight w:val="none"/>
          <w:lang w:val="en-US" w:eastAsia="en-US" w:bidi="ar-SA"/>
        </w:rPr>
        <w:t>南省岳阳县荣家湾镇岳阳高新技术产业园武广路3号创新创业基地C栋</w:t>
      </w:r>
      <w:r>
        <w:rPr>
          <w:rFonts w:hint="eastAsia" w:eastAsia="宋体" w:cs="Times New Roman"/>
          <w:snapToGrid w:val="0"/>
          <w:color w:val="000000"/>
          <w:spacing w:val="-3"/>
          <w:kern w:val="0"/>
          <w:sz w:val="24"/>
          <w:szCs w:val="24"/>
          <w:highlight w:val="none"/>
          <w:lang w:val="en-US" w:eastAsia="zh-CN" w:bidi="ar-SA"/>
        </w:rPr>
        <w:t>（2F）</w:t>
      </w:r>
      <w:r>
        <w:rPr>
          <w:rFonts w:hint="eastAsia" w:ascii="Times New Roman" w:hAnsi="Times New Roman" w:eastAsia="宋体" w:cs="Times New Roman"/>
          <w:snapToGrid w:val="0"/>
          <w:color w:val="000000"/>
          <w:spacing w:val="-3"/>
          <w:kern w:val="0"/>
          <w:sz w:val="24"/>
          <w:szCs w:val="24"/>
          <w:highlight w:val="none"/>
          <w:lang w:val="en-US" w:eastAsia="en-US" w:bidi="ar-SA"/>
        </w:rPr>
        <w:t>开展</w:t>
      </w:r>
      <w:r>
        <w:rPr>
          <w:rFonts w:hint="eastAsia" w:ascii="Times New Roman" w:hAnsi="Times New Roman" w:eastAsia="宋体" w:cs="Times New Roman"/>
          <w:snapToGrid w:val="0"/>
          <w:color w:val="000000"/>
          <w:spacing w:val="-3"/>
          <w:kern w:val="0"/>
          <w:sz w:val="24"/>
          <w:szCs w:val="24"/>
          <w:highlight w:val="none"/>
          <w:lang w:val="en-US" w:eastAsia="zh-CN" w:bidi="ar-SA"/>
        </w:rPr>
        <w:t>“</w:t>
      </w:r>
      <w:r>
        <w:rPr>
          <w:rFonts w:hint="eastAsia" w:ascii="Times New Roman" w:hAnsi="Times New Roman" w:eastAsia="宋体" w:cs="Times New Roman"/>
          <w:snapToGrid w:val="0"/>
          <w:color w:val="000000"/>
          <w:spacing w:val="-3"/>
          <w:kern w:val="0"/>
          <w:sz w:val="24"/>
          <w:szCs w:val="24"/>
          <w:highlight w:val="none"/>
          <w:lang w:val="en-US" w:eastAsia="en-US" w:bidi="ar-SA"/>
        </w:rPr>
        <w:t>年复配3500吨生物酶制剂及1500吨酶制品助剂应用项目</w:t>
      </w:r>
      <w:r>
        <w:rPr>
          <w:rFonts w:hint="eastAsia" w:ascii="Times New Roman" w:hAnsi="Times New Roman" w:eastAsia="宋体" w:cs="Times New Roman"/>
          <w:snapToGrid w:val="0"/>
          <w:color w:val="000000"/>
          <w:spacing w:val="-3"/>
          <w:kern w:val="0"/>
          <w:sz w:val="24"/>
          <w:szCs w:val="24"/>
          <w:highlight w:val="none"/>
          <w:lang w:val="en-US" w:eastAsia="zh-CN" w:bidi="ar-SA"/>
        </w:rPr>
        <w:t>”，</w:t>
      </w:r>
      <w:r>
        <w:rPr>
          <w:rFonts w:hint="eastAsia" w:eastAsia="宋体" w:cs="Times New Roman"/>
          <w:snapToGrid w:val="0"/>
          <w:color w:val="000000"/>
          <w:spacing w:val="-3"/>
          <w:kern w:val="0"/>
          <w:sz w:val="24"/>
          <w:szCs w:val="24"/>
          <w:highlight w:val="none"/>
          <w:lang w:val="en-US" w:eastAsia="zh-CN" w:bidi="ar-SA"/>
        </w:rPr>
        <w:t>产品主要用于纺织行业</w:t>
      </w:r>
      <w:r>
        <w:rPr>
          <w:rFonts w:hint="eastAsia" w:ascii="Times New Roman" w:hAnsi="Times New Roman" w:eastAsia="宋体" w:cs="Times New Roman"/>
          <w:snapToGrid w:val="0"/>
          <w:color w:val="000000"/>
          <w:spacing w:val="-3"/>
          <w:kern w:val="0"/>
          <w:sz w:val="24"/>
          <w:szCs w:val="24"/>
          <w:highlight w:val="none"/>
          <w:lang w:val="en-US" w:eastAsia="en-US" w:bidi="ar-SA"/>
        </w:rPr>
        <w:t>。</w:t>
      </w:r>
      <w:r>
        <w:rPr>
          <w:rFonts w:hint="eastAsia" w:eastAsia="宋体" w:cs="Times New Roman"/>
          <w:snapToGrid w:val="0"/>
          <w:color w:val="000000"/>
          <w:spacing w:val="-3"/>
          <w:kern w:val="0"/>
          <w:sz w:val="24"/>
          <w:szCs w:val="24"/>
          <w:highlight w:val="none"/>
          <w:lang w:val="en-US" w:eastAsia="zh-CN" w:bidi="ar-SA"/>
        </w:rPr>
        <w:t>建设</w:t>
      </w:r>
      <w:r>
        <w:rPr>
          <w:rFonts w:hint="default" w:ascii="Times New Roman" w:hAnsi="Times New Roman" w:eastAsia="宋体" w:cs="Times New Roman"/>
          <w:snapToGrid w:val="0"/>
          <w:color w:val="000000"/>
          <w:spacing w:val="-3"/>
          <w:kern w:val="0"/>
          <w:sz w:val="24"/>
          <w:szCs w:val="24"/>
          <w:highlight w:val="none"/>
          <w:lang w:val="en-US" w:eastAsia="en-US" w:bidi="ar-SA"/>
        </w:rPr>
        <w:t>内容包括</w:t>
      </w:r>
      <w:r>
        <w:rPr>
          <w:rFonts w:hint="eastAsia" w:ascii="Times New Roman" w:hAnsi="Times New Roman" w:eastAsia="宋体" w:cs="Times New Roman"/>
          <w:snapToGrid w:val="0"/>
          <w:color w:val="000000"/>
          <w:spacing w:val="-3"/>
          <w:kern w:val="0"/>
          <w:sz w:val="24"/>
          <w:szCs w:val="24"/>
          <w:highlight w:val="none"/>
          <w:lang w:val="en-US" w:eastAsia="en-US" w:bidi="ar-SA"/>
        </w:rPr>
        <w:t>园区租赁</w:t>
      </w:r>
      <w:r>
        <w:rPr>
          <w:rFonts w:hint="default" w:ascii="Times New Roman" w:hAnsi="Times New Roman" w:eastAsia="宋体" w:cs="Times New Roman"/>
          <w:snapToGrid w:val="0"/>
          <w:color w:val="000000"/>
          <w:spacing w:val="-3"/>
          <w:kern w:val="0"/>
          <w:sz w:val="24"/>
          <w:szCs w:val="24"/>
          <w:highlight w:val="none"/>
          <w:lang w:val="en-US" w:eastAsia="en-US" w:bidi="ar-SA"/>
        </w:rPr>
        <w:t>厂房</w:t>
      </w:r>
      <w:r>
        <w:rPr>
          <w:rFonts w:hint="eastAsia" w:ascii="Times New Roman" w:hAnsi="Times New Roman" w:eastAsia="宋体" w:cs="Times New Roman"/>
          <w:snapToGrid w:val="0"/>
          <w:color w:val="000000"/>
          <w:spacing w:val="-3"/>
          <w:kern w:val="0"/>
          <w:sz w:val="24"/>
          <w:szCs w:val="24"/>
          <w:highlight w:val="none"/>
          <w:lang w:val="en-US" w:eastAsia="en-US" w:bidi="ar-SA"/>
        </w:rPr>
        <w:t>及办公场地</w:t>
      </w:r>
      <w:r>
        <w:rPr>
          <w:rFonts w:hint="eastAsia" w:eastAsia="宋体" w:cs="Times New Roman"/>
          <w:snapToGrid w:val="0"/>
          <w:color w:val="000000"/>
          <w:spacing w:val="-3"/>
          <w:kern w:val="0"/>
          <w:sz w:val="24"/>
          <w:szCs w:val="24"/>
          <w:highlight w:val="none"/>
          <w:lang w:val="en-US" w:eastAsia="zh-CN" w:bidi="ar-SA"/>
        </w:rPr>
        <w:t>的</w:t>
      </w:r>
      <w:r>
        <w:rPr>
          <w:rFonts w:hint="eastAsia" w:ascii="Times New Roman" w:hAnsi="Times New Roman" w:eastAsia="宋体" w:cs="Times New Roman"/>
          <w:snapToGrid w:val="0"/>
          <w:color w:val="000000"/>
          <w:spacing w:val="-3"/>
          <w:kern w:val="0"/>
          <w:sz w:val="24"/>
          <w:szCs w:val="24"/>
          <w:highlight w:val="none"/>
          <w:lang w:val="en-US" w:eastAsia="en-US" w:bidi="ar-SA"/>
        </w:rPr>
        <w:t>装修、设备安装等</w:t>
      </w:r>
      <w:r>
        <w:rPr>
          <w:rFonts w:hint="default" w:ascii="Times New Roman" w:hAnsi="Times New Roman" w:eastAsia="宋体" w:cs="Times New Roman"/>
          <w:snapToGrid w:val="0"/>
          <w:color w:val="000000"/>
          <w:spacing w:val="-3"/>
          <w:kern w:val="0"/>
          <w:sz w:val="24"/>
          <w:szCs w:val="24"/>
          <w:highlight w:val="none"/>
          <w:lang w:val="en-US" w:eastAsia="en-US" w:bidi="ar-SA"/>
        </w:rPr>
        <w:t>，</w:t>
      </w:r>
      <w:r>
        <w:rPr>
          <w:rFonts w:hint="eastAsia" w:ascii="Times New Roman" w:hAnsi="Times New Roman" w:eastAsia="宋体" w:cs="Times New Roman"/>
          <w:snapToGrid w:val="0"/>
          <w:color w:val="000000"/>
          <w:spacing w:val="-3"/>
          <w:kern w:val="0"/>
          <w:sz w:val="24"/>
          <w:szCs w:val="24"/>
          <w:highlight w:val="none"/>
          <w:lang w:val="en-US" w:eastAsia="en-US" w:bidi="ar-SA"/>
        </w:rPr>
        <w:t>项目投资金额约为</w:t>
      </w:r>
      <w:r>
        <w:rPr>
          <w:rFonts w:hint="eastAsia" w:eastAsia="宋体" w:cs="Times New Roman"/>
          <w:snapToGrid w:val="0"/>
          <w:color w:val="000000"/>
          <w:spacing w:val="-3"/>
          <w:kern w:val="0"/>
          <w:sz w:val="24"/>
          <w:szCs w:val="24"/>
          <w:highlight w:val="none"/>
          <w:lang w:val="en-US" w:eastAsia="zh-CN" w:bidi="ar-SA"/>
        </w:rPr>
        <w:t>8</w:t>
      </w:r>
      <w:r>
        <w:rPr>
          <w:rFonts w:hint="default" w:ascii="Times New Roman" w:hAnsi="Times New Roman" w:eastAsia="宋体" w:cs="Times New Roman"/>
          <w:snapToGrid w:val="0"/>
          <w:color w:val="000000"/>
          <w:spacing w:val="-3"/>
          <w:kern w:val="0"/>
          <w:sz w:val="24"/>
          <w:szCs w:val="24"/>
          <w:highlight w:val="none"/>
          <w:lang w:val="en-US" w:eastAsia="en-US" w:bidi="ar-SA"/>
        </w:rPr>
        <w:t>00</w:t>
      </w:r>
      <w:r>
        <w:rPr>
          <w:rFonts w:hint="eastAsia" w:ascii="Times New Roman" w:hAnsi="Times New Roman" w:eastAsia="宋体" w:cs="Times New Roman"/>
          <w:snapToGrid w:val="0"/>
          <w:color w:val="000000"/>
          <w:spacing w:val="-3"/>
          <w:kern w:val="0"/>
          <w:sz w:val="24"/>
          <w:szCs w:val="24"/>
          <w:highlight w:val="none"/>
          <w:lang w:val="en-US" w:eastAsia="en-US" w:bidi="ar-SA"/>
        </w:rPr>
        <w:t>万元人民币</w:t>
      </w:r>
      <w:r>
        <w:rPr>
          <w:rFonts w:hint="eastAsia" w:ascii="Times New Roman" w:hAnsi="Times New Roman" w:eastAsia="宋体" w:cs="Times New Roman"/>
          <w:snapToGrid w:val="0"/>
          <w:color w:val="000000"/>
          <w:spacing w:val="-3"/>
          <w:kern w:val="0"/>
          <w:sz w:val="24"/>
          <w:szCs w:val="24"/>
          <w:highlight w:val="none"/>
          <w:lang w:val="en-US" w:eastAsia="zh-CN" w:bidi="ar-SA"/>
        </w:rPr>
        <w:t>，</w:t>
      </w:r>
      <w:r>
        <w:rPr>
          <w:rFonts w:ascii="宋体" w:hAnsi="宋体" w:eastAsia="宋体" w:cs="宋体"/>
          <w:spacing w:val="-5"/>
          <w:sz w:val="24"/>
          <w:szCs w:val="24"/>
          <w:highlight w:val="none"/>
        </w:rPr>
        <w:t>其中环保投</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资占</w:t>
      </w:r>
      <w:r>
        <w:rPr>
          <w:rFonts w:hint="default" w:ascii="Times New Roman" w:hAnsi="Times New Roman" w:eastAsia="宋体" w:cs="Times New Roman"/>
          <w:color w:val="0C0C0C"/>
          <w:kern w:val="0"/>
          <w:sz w:val="24"/>
          <w:szCs w:val="24"/>
          <w:highlight w:val="none"/>
          <w:lang w:val="en-US" w:eastAsia="zh-CN" w:bidi="ar"/>
        </w:rPr>
        <w:t>34.1</w:t>
      </w:r>
      <w:r>
        <w:rPr>
          <w:rFonts w:hint="eastAsia" w:ascii="Times New Roman" w:hAnsi="Times New Roman" w:eastAsia="宋体" w:cs="Times New Roman"/>
          <w:sz w:val="24"/>
          <w:szCs w:val="24"/>
          <w:highlight w:val="none"/>
          <w:lang w:val="en-US" w:eastAsia="zh-CN"/>
        </w:rPr>
        <w:t>万</w:t>
      </w:r>
      <w:r>
        <w:rPr>
          <w:rFonts w:hint="default" w:ascii="Times New Roman" w:hAnsi="Times New Roman" w:eastAsia="宋体" w:cs="Times New Roman"/>
          <w:snapToGrid w:val="0"/>
          <w:color w:val="000000"/>
          <w:spacing w:val="-3"/>
          <w:kern w:val="0"/>
          <w:sz w:val="24"/>
          <w:szCs w:val="24"/>
          <w:highlight w:val="none"/>
          <w:lang w:val="en-US" w:eastAsia="en-US" w:bidi="ar-SA"/>
        </w:rPr>
        <w:t>。</w:t>
      </w:r>
    </w:p>
    <w:p w14:paraId="07D36174">
      <w:pPr>
        <w:pageBreakBefore w:val="0"/>
        <w:kinsoku/>
        <w:wordWrap/>
        <w:overflowPunct/>
        <w:topLinePunct w:val="0"/>
        <w:autoSpaceDE/>
        <w:autoSpaceDN/>
        <w:bidi w:val="0"/>
        <w:adjustRightInd/>
        <w:spacing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Cs/>
          <w:color w:val="auto"/>
          <w:sz w:val="24"/>
          <w:szCs w:val="24"/>
          <w:highlight w:val="none"/>
        </w:rPr>
        <w:t>劳动定员：</w:t>
      </w:r>
      <w:r>
        <w:rPr>
          <w:rFonts w:hint="default" w:ascii="Times New Roman" w:hAnsi="Times New Roman" w:eastAsia="宋体" w:cs="Times New Roman"/>
          <w:color w:val="auto"/>
          <w:kern w:val="0"/>
          <w:sz w:val="24"/>
          <w:szCs w:val="24"/>
          <w:highlight w:val="none"/>
        </w:rPr>
        <w:t>拟建项目劳动定员为</w:t>
      </w:r>
      <w:r>
        <w:rPr>
          <w:rFonts w:hint="default" w:ascii="Times New Roman" w:hAnsi="Times New Roman" w:eastAsia="宋体" w:cs="Times New Roman"/>
          <w:color w:val="auto"/>
          <w:kern w:val="0"/>
          <w:sz w:val="24"/>
          <w:szCs w:val="24"/>
          <w:highlight w:val="none"/>
          <w:lang w:val="en-US" w:eastAsia="zh-CN"/>
        </w:rPr>
        <w:t>18</w:t>
      </w:r>
      <w:r>
        <w:rPr>
          <w:rFonts w:hint="default" w:ascii="Times New Roman" w:hAnsi="Times New Roman" w:eastAsia="宋体" w:cs="Times New Roman"/>
          <w:color w:val="auto"/>
          <w:kern w:val="0"/>
          <w:sz w:val="24"/>
          <w:szCs w:val="24"/>
          <w:highlight w:val="none"/>
        </w:rPr>
        <w:t>人</w:t>
      </w:r>
      <w:r>
        <w:rPr>
          <w:rFonts w:hint="default" w:ascii="Times New Roman" w:hAnsi="Times New Roman" w:eastAsia="宋体" w:cs="Times New Roman"/>
          <w:color w:val="auto"/>
          <w:kern w:val="0"/>
          <w:sz w:val="24"/>
          <w:szCs w:val="24"/>
          <w:highlight w:val="none"/>
          <w:lang w:eastAsia="zh-CN"/>
        </w:rPr>
        <w:t>；</w:t>
      </w:r>
    </w:p>
    <w:p w14:paraId="6E294F6C">
      <w:pPr>
        <w:pageBreakBefore w:val="0"/>
        <w:kinsoku/>
        <w:wordWrap/>
        <w:overflowPunct/>
        <w:topLinePunct w:val="0"/>
        <w:autoSpaceDE/>
        <w:autoSpaceDN/>
        <w:bidi w:val="0"/>
        <w:adjustRightInd/>
        <w:spacing w:afterAutospacing="0" w:line="360" w:lineRule="auto"/>
        <w:ind w:left="0" w:right="0" w:firstLine="480" w:firstLineChars="200"/>
        <w:textAlignment w:val="auto"/>
        <w:rPr>
          <w:rFonts w:ascii="宋体" w:hAnsi="宋体" w:eastAsia="宋体" w:cs="宋体"/>
          <w:b/>
          <w:bCs/>
          <w:spacing w:val="-5"/>
          <w:sz w:val="28"/>
          <w:szCs w:val="28"/>
          <w:highlight w:val="none"/>
        </w:rPr>
      </w:pPr>
      <w:r>
        <w:rPr>
          <w:rFonts w:hint="default" w:ascii="Times New Roman" w:hAnsi="Times New Roman" w:eastAsia="宋体" w:cs="Times New Roman"/>
          <w:color w:val="auto"/>
          <w:kern w:val="0"/>
          <w:sz w:val="24"/>
          <w:szCs w:val="24"/>
          <w:highlight w:val="none"/>
        </w:rPr>
        <w:t>生产班制：本项目年工作日期为3</w:t>
      </w:r>
      <w:r>
        <w:rPr>
          <w:rFonts w:hint="default" w:ascii="Times New Roman" w:hAnsi="Times New Roman" w:eastAsia="宋体" w:cs="Times New Roman"/>
          <w:color w:val="auto"/>
          <w:kern w:val="0"/>
          <w:sz w:val="24"/>
          <w:szCs w:val="24"/>
          <w:highlight w:val="none"/>
          <w:lang w:val="en-US" w:eastAsia="zh-CN"/>
        </w:rPr>
        <w:t>00</w:t>
      </w:r>
      <w:r>
        <w:rPr>
          <w:rFonts w:hint="default" w:ascii="Times New Roman" w:hAnsi="Times New Roman" w:eastAsia="宋体" w:cs="Times New Roman"/>
          <w:color w:val="auto"/>
          <w:kern w:val="0"/>
          <w:sz w:val="24"/>
          <w:szCs w:val="24"/>
          <w:highlight w:val="none"/>
        </w:rPr>
        <w:t>天，工作人员每天工作8小时。</w:t>
      </w:r>
    </w:p>
    <w:p w14:paraId="37FB222B">
      <w:pPr>
        <w:pStyle w:val="7"/>
        <w:bidi w:val="0"/>
        <w:rPr>
          <w:highlight w:val="none"/>
        </w:rPr>
      </w:pPr>
      <w:bookmarkStart w:id="286" w:name="_Toc17074"/>
      <w:r>
        <w:rPr>
          <w:highlight w:val="none"/>
        </w:rPr>
        <w:t>11.1.</w:t>
      </w:r>
      <w:r>
        <w:rPr>
          <w:rFonts w:hint="eastAsia"/>
          <w:highlight w:val="none"/>
          <w:lang w:val="en-US" w:eastAsia="zh-CN"/>
        </w:rPr>
        <w:t>2</w:t>
      </w:r>
      <w:r>
        <w:rPr>
          <w:highlight w:val="none"/>
        </w:rPr>
        <w:t>环境质量现状评价结论</w:t>
      </w:r>
      <w:bookmarkEnd w:id="286"/>
    </w:p>
    <w:p w14:paraId="5B16C00C">
      <w:pPr>
        <w:pageBreakBefore w:val="0"/>
        <w:kinsoku/>
        <w:wordWrap/>
        <w:overflowPunct/>
        <w:topLinePunct w:val="0"/>
        <w:autoSpaceDE/>
        <w:autoSpaceDN/>
        <w:bidi w:val="0"/>
        <w:adjustRightInd/>
        <w:spacing w:afterAutospacing="0" w:line="360" w:lineRule="auto"/>
        <w:ind w:left="0" w:right="0"/>
        <w:textAlignment w:val="auto"/>
        <w:rPr>
          <w:rFonts w:ascii="宋体" w:hAnsi="宋体" w:eastAsia="宋体" w:cs="宋体"/>
          <w:b/>
          <w:bCs/>
          <w:spacing w:val="-6"/>
          <w:sz w:val="24"/>
          <w:szCs w:val="24"/>
          <w:highlight w:val="none"/>
        </w:rPr>
      </w:pPr>
      <w:r>
        <w:rPr>
          <w:rFonts w:ascii="Times New Roman" w:hAnsi="Times New Roman" w:eastAsia="Times New Roman" w:cs="Times New Roman"/>
          <w:b/>
          <w:bCs/>
          <w:spacing w:val="-6"/>
          <w:sz w:val="24"/>
          <w:szCs w:val="24"/>
          <w:highlight w:val="none"/>
        </w:rPr>
        <w:t>1</w:t>
      </w:r>
      <w:r>
        <w:rPr>
          <w:rFonts w:hint="eastAsia" w:ascii="Times New Roman" w:hAnsi="Times New Roman" w:eastAsia="宋体" w:cs="Times New Roman"/>
          <w:b/>
          <w:bCs/>
          <w:spacing w:val="-6"/>
          <w:sz w:val="24"/>
          <w:szCs w:val="24"/>
          <w:highlight w:val="none"/>
          <w:lang w:eastAsia="zh-CN"/>
        </w:rPr>
        <w:t>、</w:t>
      </w:r>
      <w:r>
        <w:rPr>
          <w:rFonts w:ascii="宋体" w:hAnsi="宋体" w:eastAsia="宋体" w:cs="宋体"/>
          <w:b/>
          <w:bCs/>
          <w:spacing w:val="-6"/>
          <w:sz w:val="24"/>
          <w:szCs w:val="24"/>
          <w:highlight w:val="none"/>
        </w:rPr>
        <w:t>环境空气质量现状</w:t>
      </w:r>
    </w:p>
    <w:p w14:paraId="2F8E0FE1">
      <w:pPr>
        <w:pStyle w:val="2"/>
        <w:pageBreakBefore w:val="0"/>
        <w:kinsoku/>
        <w:wordWrap/>
        <w:overflowPunct/>
        <w:topLinePunct w:val="0"/>
        <w:autoSpaceDE/>
        <w:autoSpaceDN/>
        <w:bidi w:val="0"/>
        <w:adjustRightInd/>
        <w:spacing w:before="0" w:after="0" w:afterAutospacing="0" w:line="360" w:lineRule="auto"/>
        <w:ind w:left="0" w:right="0" w:firstLine="480"/>
        <w:jc w:val="both"/>
        <w:textAlignment w:val="auto"/>
        <w:rPr>
          <w:spacing w:val="-1"/>
          <w:highlight w:val="none"/>
        </w:rPr>
      </w:pPr>
      <w:r>
        <w:rPr>
          <w:rFonts w:hint="eastAsia" w:ascii="Times New Roman" w:hAnsi="Times New Roman" w:eastAsia="宋体" w:cs="Times New Roman"/>
          <w:sz w:val="24"/>
          <w:szCs w:val="24"/>
          <w:highlight w:val="none"/>
          <w:lang w:val="en-US" w:eastAsia="zh-CN"/>
        </w:rPr>
        <w:t>项目</w:t>
      </w:r>
      <w:r>
        <w:rPr>
          <w:rFonts w:hint="default" w:ascii="Times New Roman" w:hAnsi="Times New Roman" w:eastAsia="宋体" w:cs="Times New Roman"/>
          <w:b w:val="0"/>
          <w:bCs w:val="0"/>
          <w:sz w:val="24"/>
          <w:szCs w:val="24"/>
          <w:highlight w:val="none"/>
          <w:vertAlign w:val="baseline"/>
          <w:lang w:val="en-US" w:eastAsia="zh-CN"/>
        </w:rPr>
        <w:t>所在区域的</w:t>
      </w:r>
      <w:r>
        <w:rPr>
          <w:rFonts w:hint="default" w:ascii="Times New Roman" w:hAnsi="Times New Roman" w:eastAsia="宋体" w:cs="Times New Roman"/>
          <w:b w:val="0"/>
          <w:bCs w:val="0"/>
          <w:sz w:val="24"/>
          <w:szCs w:val="24"/>
          <w:highlight w:val="none"/>
        </w:rPr>
        <w:t>SO</w:t>
      </w:r>
      <w:r>
        <w:rPr>
          <w:rFonts w:hint="default" w:ascii="Times New Roman" w:hAnsi="Times New Roman" w:eastAsia="宋体" w:cs="Times New Roman"/>
          <w:b w:val="0"/>
          <w:bCs w:val="0"/>
          <w:sz w:val="24"/>
          <w:szCs w:val="24"/>
          <w:highlight w:val="none"/>
          <w:vertAlign w:val="subscript"/>
        </w:rPr>
        <w:t>2</w:t>
      </w:r>
      <w:r>
        <w:rPr>
          <w:rFonts w:hint="default" w:ascii="Times New Roman" w:hAnsi="Times New Roman" w:eastAsia="宋体" w:cs="Times New Roman"/>
          <w:b w:val="0"/>
          <w:bCs w:val="0"/>
          <w:sz w:val="24"/>
          <w:szCs w:val="24"/>
          <w:highlight w:val="none"/>
        </w:rPr>
        <w:t>、NO</w:t>
      </w:r>
      <w:r>
        <w:rPr>
          <w:rFonts w:hint="default" w:ascii="Times New Roman" w:hAnsi="Times New Roman" w:eastAsia="宋体" w:cs="Times New Roman"/>
          <w:b w:val="0"/>
          <w:bCs w:val="0"/>
          <w:sz w:val="24"/>
          <w:szCs w:val="24"/>
          <w:highlight w:val="none"/>
          <w:vertAlign w:val="subscript"/>
        </w:rPr>
        <w:t>2</w:t>
      </w:r>
      <w:r>
        <w:rPr>
          <w:rFonts w:hint="default" w:ascii="Times New Roman" w:hAnsi="Times New Roman" w:eastAsia="宋体" w:cs="Times New Roman"/>
          <w:b w:val="0"/>
          <w:bCs w:val="0"/>
          <w:sz w:val="24"/>
          <w:szCs w:val="24"/>
          <w:highlight w:val="none"/>
        </w:rPr>
        <w:t>、PM</w:t>
      </w:r>
      <w:r>
        <w:rPr>
          <w:rFonts w:hint="default" w:ascii="Times New Roman" w:hAnsi="Times New Roman" w:eastAsia="宋体" w:cs="Times New Roman"/>
          <w:b w:val="0"/>
          <w:bCs w:val="0"/>
          <w:sz w:val="24"/>
          <w:szCs w:val="24"/>
          <w:highlight w:val="none"/>
          <w:vertAlign w:val="subscript"/>
        </w:rPr>
        <w:t>10</w:t>
      </w:r>
      <w:r>
        <w:rPr>
          <w:rFonts w:hint="default" w:ascii="Times New Roman" w:hAnsi="Times New Roman" w:eastAsia="宋体" w:cs="Times New Roman"/>
          <w:b w:val="0"/>
          <w:bCs w:val="0"/>
          <w:sz w:val="24"/>
          <w:szCs w:val="24"/>
          <w:highlight w:val="none"/>
        </w:rPr>
        <w:t>、PM</w:t>
      </w:r>
      <w:r>
        <w:rPr>
          <w:rFonts w:hint="default" w:ascii="Times New Roman" w:hAnsi="Times New Roman" w:eastAsia="宋体" w:cs="Times New Roman"/>
          <w:b w:val="0"/>
          <w:bCs w:val="0"/>
          <w:sz w:val="24"/>
          <w:szCs w:val="24"/>
          <w:highlight w:val="none"/>
          <w:vertAlign w:val="subscript"/>
        </w:rPr>
        <w:t>2.5</w:t>
      </w:r>
      <w:r>
        <w:rPr>
          <w:rFonts w:hint="default" w:ascii="Times New Roman" w:hAnsi="Times New Roman" w:eastAsia="宋体" w:cs="Times New Roman"/>
          <w:b w:val="0"/>
          <w:bCs w:val="0"/>
          <w:sz w:val="24"/>
          <w:szCs w:val="24"/>
          <w:highlight w:val="none"/>
          <w:vertAlign w:val="baseline"/>
          <w:lang w:eastAsia="zh-CN"/>
        </w:rPr>
        <w:t>、</w:t>
      </w:r>
      <w:r>
        <w:rPr>
          <w:rFonts w:hint="default" w:ascii="Times New Roman" w:hAnsi="Times New Roman" w:eastAsia="宋体" w:cs="Times New Roman"/>
          <w:b w:val="0"/>
          <w:bCs w:val="0"/>
          <w:sz w:val="24"/>
          <w:szCs w:val="24"/>
          <w:highlight w:val="none"/>
        </w:rPr>
        <w:t>CO、O</w:t>
      </w:r>
      <w:r>
        <w:rPr>
          <w:rFonts w:hint="default" w:ascii="Times New Roman" w:hAnsi="Times New Roman" w:eastAsia="宋体" w:cs="Times New Roman"/>
          <w:b w:val="0"/>
          <w:bCs w:val="0"/>
          <w:sz w:val="24"/>
          <w:szCs w:val="24"/>
          <w:highlight w:val="none"/>
          <w:vertAlign w:val="subscript"/>
        </w:rPr>
        <w:t>3</w:t>
      </w:r>
      <w:r>
        <w:rPr>
          <w:rFonts w:hint="default" w:ascii="Times New Roman" w:hAnsi="Times New Roman" w:eastAsia="宋体" w:cs="Times New Roman"/>
          <w:b w:val="0"/>
          <w:bCs w:val="0"/>
          <w:sz w:val="24"/>
          <w:szCs w:val="24"/>
          <w:highlight w:val="none"/>
          <w:vertAlign w:val="baseline"/>
          <w:lang w:val="en-US" w:eastAsia="zh-CN"/>
        </w:rPr>
        <w:t>监测指标均达到《环境空气质量标准》（GB3095-2012）二级标准要求</w:t>
      </w:r>
      <w:r>
        <w:rPr>
          <w:rFonts w:hint="eastAsia" w:ascii="Times New Roman" w:hAnsi="Times New Roman" w:eastAsia="宋体" w:cs="Times New Roman"/>
          <w:b w:val="0"/>
          <w:bCs w:val="0"/>
          <w:sz w:val="24"/>
          <w:szCs w:val="24"/>
          <w:highlight w:val="none"/>
          <w:vertAlign w:val="baseline"/>
          <w:lang w:val="en-US" w:eastAsia="zh-CN"/>
        </w:rPr>
        <w:t>。</w:t>
      </w:r>
      <w:r>
        <w:rPr>
          <w:spacing w:val="-1"/>
          <w:highlight w:val="none"/>
        </w:rPr>
        <w:t>区域环境</w:t>
      </w:r>
      <w:r>
        <w:rPr>
          <w:rFonts w:hint="eastAsia"/>
          <w:spacing w:val="-1"/>
          <w:highlight w:val="none"/>
          <w:lang w:val="en-US" w:eastAsia="zh-CN"/>
        </w:rPr>
        <w:t>空气</w:t>
      </w:r>
      <w:r>
        <w:rPr>
          <w:spacing w:val="-1"/>
          <w:highlight w:val="none"/>
        </w:rPr>
        <w:t>质量较好，属于达标区。</w:t>
      </w:r>
    </w:p>
    <w:p w14:paraId="7A2A2477">
      <w:pPr>
        <w:pStyle w:val="2"/>
        <w:pageBreakBefore w:val="0"/>
        <w:kinsoku/>
        <w:wordWrap/>
        <w:overflowPunct/>
        <w:topLinePunct w:val="0"/>
        <w:autoSpaceDE/>
        <w:autoSpaceDN/>
        <w:bidi w:val="0"/>
        <w:adjustRightInd/>
        <w:spacing w:before="0" w:after="0" w:afterAutospacing="0" w:line="360" w:lineRule="auto"/>
        <w:ind w:left="0" w:right="0" w:firstLine="480"/>
        <w:jc w:val="both"/>
        <w:textAlignment w:val="auto"/>
        <w:rPr>
          <w:rFonts w:ascii="宋体" w:hAnsi="宋体" w:eastAsia="宋体" w:cs="宋体"/>
          <w:spacing w:val="-6"/>
          <w:sz w:val="24"/>
          <w:szCs w:val="24"/>
          <w:highlight w:val="none"/>
        </w:rPr>
      </w:pPr>
      <w:r>
        <w:rPr>
          <w:rFonts w:hint="eastAsia"/>
          <w:spacing w:val="-1"/>
          <w:highlight w:val="none"/>
          <w:lang w:val="en-US" w:eastAsia="zh-CN"/>
        </w:rPr>
        <w:t>补充</w:t>
      </w:r>
      <w:r>
        <w:rPr>
          <w:spacing w:val="16"/>
          <w:highlight w:val="none"/>
        </w:rPr>
        <w:t>监测数据表明</w:t>
      </w:r>
      <w:r>
        <w:rPr>
          <w:spacing w:val="-70"/>
          <w:highlight w:val="none"/>
        </w:rPr>
        <w:t xml:space="preserve"> </w:t>
      </w:r>
      <w:r>
        <w:rPr>
          <w:spacing w:val="16"/>
          <w:highlight w:val="none"/>
        </w:rPr>
        <w:t>，</w:t>
      </w:r>
      <w:r>
        <w:rPr>
          <w:rFonts w:hint="eastAsia" w:ascii="Times New Roman" w:hAnsi="Times New Roman" w:eastAsia="宋体" w:cs="Times New Roman"/>
          <w:b w:val="0"/>
          <w:bCs w:val="0"/>
          <w:sz w:val="24"/>
          <w:szCs w:val="24"/>
          <w:highlight w:val="none"/>
          <w:vertAlign w:val="baseline"/>
          <w:lang w:val="en-US" w:eastAsia="zh-CN"/>
        </w:rPr>
        <w:t>TSP 满足《环境空气质量标准》（GB3095-2012）二级标准要求；TVOC 满足《环境影响评价技术导则大气环境》（HJ2.2-2018）中附录 D.1“其他污染物空气质量浓度参考限值”。</w:t>
      </w:r>
      <w:r>
        <w:rPr>
          <w:spacing w:val="-1"/>
          <w:highlight w:val="none"/>
        </w:rPr>
        <w:t>项目</w:t>
      </w:r>
      <w:r>
        <w:rPr>
          <w:spacing w:val="-2"/>
          <w:highlight w:val="none"/>
        </w:rPr>
        <w:t>所在地环境空气质量良好。</w:t>
      </w:r>
    </w:p>
    <w:p w14:paraId="1D38C084">
      <w:pPr>
        <w:pageBreakBefore w:val="0"/>
        <w:kinsoku/>
        <w:wordWrap/>
        <w:overflowPunct/>
        <w:topLinePunct w:val="0"/>
        <w:autoSpaceDE/>
        <w:autoSpaceDN/>
        <w:bidi w:val="0"/>
        <w:adjustRightInd/>
        <w:spacing w:afterAutospacing="0" w:line="360" w:lineRule="auto"/>
        <w:ind w:left="0" w:right="0"/>
        <w:textAlignment w:val="auto"/>
        <w:rPr>
          <w:rFonts w:ascii="宋体" w:hAnsi="宋体" w:eastAsia="宋体" w:cs="宋体"/>
          <w:spacing w:val="-3"/>
          <w:sz w:val="24"/>
          <w:szCs w:val="24"/>
          <w:highlight w:val="none"/>
        </w:rPr>
      </w:pPr>
      <w:r>
        <w:rPr>
          <w:rFonts w:ascii="Times New Roman" w:hAnsi="Times New Roman" w:eastAsia="Times New Roman" w:cs="Times New Roman"/>
          <w:spacing w:val="-3"/>
          <w:sz w:val="24"/>
          <w:szCs w:val="24"/>
          <w:highlight w:val="none"/>
        </w:rPr>
        <w:t>2</w:t>
      </w:r>
      <w:r>
        <w:rPr>
          <w:rFonts w:hint="eastAsia" w:ascii="Times New Roman" w:hAnsi="Times New Roman" w:eastAsia="宋体" w:cs="Times New Roman"/>
          <w:spacing w:val="-3"/>
          <w:sz w:val="24"/>
          <w:szCs w:val="24"/>
          <w:highlight w:val="none"/>
          <w:lang w:eastAsia="zh-CN"/>
        </w:rPr>
        <w:t>、</w:t>
      </w:r>
      <w:r>
        <w:rPr>
          <w:rFonts w:ascii="宋体" w:hAnsi="宋体" w:eastAsia="宋体" w:cs="宋体"/>
          <w:spacing w:val="-3"/>
          <w:sz w:val="24"/>
          <w:szCs w:val="24"/>
          <w:highlight w:val="none"/>
        </w:rPr>
        <w:t>地表水环境质量现状</w:t>
      </w:r>
    </w:p>
    <w:p w14:paraId="00139254">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宋体" w:cs="Times New Roman"/>
          <w:b w:val="0"/>
          <w:bCs w:val="0"/>
          <w:kern w:val="0"/>
          <w:sz w:val="24"/>
          <w:szCs w:val="24"/>
          <w:highlight w:val="none"/>
          <w:vertAlign w:val="baseline"/>
          <w:lang w:val="zh-CN"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本评价引用岳阳高新技术产业园2022年12月17日对新墙河岳阳县污水处理厂排口上游200 米、新墙河下游1500米，白杨水库的地表水分析数据</w:t>
      </w:r>
      <w:r>
        <w:rPr>
          <w:rFonts w:hint="eastAsia" w:eastAsia="宋体" w:cs="Times New Roman"/>
          <w:b w:val="0"/>
          <w:bCs w:val="0"/>
          <w:kern w:val="0"/>
          <w:sz w:val="24"/>
          <w:szCs w:val="24"/>
          <w:highlight w:val="none"/>
          <w:vertAlign w:val="baseline"/>
          <w:lang w:val="en-US" w:eastAsia="zh-CN" w:bidi="ar-SA"/>
        </w:rPr>
        <w:t>，</w:t>
      </w:r>
      <w:r>
        <w:rPr>
          <w:rFonts w:hint="default" w:ascii="Times New Roman" w:hAnsi="Times New Roman" w:eastAsia="宋体" w:cs="Times New Roman"/>
          <w:color w:val="auto"/>
          <w:sz w:val="24"/>
          <w:szCs w:val="24"/>
          <w:highlight w:val="none"/>
          <w:u w:val="none" w:color="auto"/>
        </w:rPr>
        <w:t>监测时间较近且在3年有效范围内</w:t>
      </w:r>
      <w:r>
        <w:rPr>
          <w:rFonts w:hint="eastAsia" w:ascii="Times New Roman" w:hAnsi="Times New Roman" w:eastAsia="宋体" w:cs="Times New Roman"/>
          <w:b w:val="0"/>
          <w:bCs w:val="0"/>
          <w:kern w:val="0"/>
          <w:sz w:val="24"/>
          <w:szCs w:val="24"/>
          <w:highlight w:val="none"/>
          <w:vertAlign w:val="baseline"/>
          <w:lang w:val="en-US" w:eastAsia="zh-CN" w:bidi="ar-SA"/>
        </w:rPr>
        <w:t>。引用监测结果表明，</w:t>
      </w:r>
      <w:r>
        <w:rPr>
          <w:rFonts w:hint="eastAsia" w:ascii="Times New Roman" w:hAnsi="Times New Roman" w:eastAsia="宋体" w:cs="Times New Roman"/>
          <w:b w:val="0"/>
          <w:bCs w:val="0"/>
          <w:kern w:val="0"/>
          <w:sz w:val="24"/>
          <w:szCs w:val="24"/>
          <w:highlight w:val="none"/>
          <w:vertAlign w:val="baseline"/>
          <w:lang w:val="zh-CN" w:eastAsia="zh-CN" w:bidi="ar-SA"/>
        </w:rPr>
        <w:t>各监测因子浓度均符合《地表水环境质量标准》（GB</w:t>
      </w:r>
      <w:r>
        <w:rPr>
          <w:rFonts w:hint="eastAsia" w:ascii="Times New Roman" w:hAnsi="Times New Roman" w:eastAsia="宋体" w:cs="Times New Roman"/>
          <w:b w:val="0"/>
          <w:bCs w:val="0"/>
          <w:kern w:val="0"/>
          <w:sz w:val="24"/>
          <w:szCs w:val="24"/>
          <w:highlight w:val="none"/>
          <w:vertAlign w:val="baseline"/>
          <w:lang w:val="en-US" w:eastAsia="zh-CN" w:bidi="ar-SA"/>
        </w:rPr>
        <w:t>3838</w:t>
      </w:r>
      <w:r>
        <w:rPr>
          <w:rFonts w:hint="eastAsia" w:ascii="Times New Roman" w:hAnsi="Times New Roman" w:eastAsia="宋体" w:cs="Times New Roman"/>
          <w:b w:val="0"/>
          <w:bCs w:val="0"/>
          <w:kern w:val="0"/>
          <w:sz w:val="24"/>
          <w:szCs w:val="24"/>
          <w:highlight w:val="none"/>
          <w:vertAlign w:val="baseline"/>
          <w:lang w:val="zh-CN" w:eastAsia="zh-CN" w:bidi="ar-SA"/>
        </w:rPr>
        <w:t>-</w:t>
      </w:r>
      <w:r>
        <w:rPr>
          <w:rFonts w:hint="eastAsia" w:ascii="Times New Roman" w:hAnsi="Times New Roman" w:eastAsia="宋体" w:cs="Times New Roman"/>
          <w:b w:val="0"/>
          <w:bCs w:val="0"/>
          <w:kern w:val="0"/>
          <w:sz w:val="24"/>
          <w:szCs w:val="24"/>
          <w:highlight w:val="none"/>
          <w:vertAlign w:val="baseline"/>
          <w:lang w:val="en-US" w:eastAsia="zh-CN" w:bidi="ar-SA"/>
        </w:rPr>
        <w:t>2002</w:t>
      </w:r>
      <w:r>
        <w:rPr>
          <w:rFonts w:hint="eastAsia" w:ascii="Times New Roman" w:hAnsi="Times New Roman" w:eastAsia="宋体" w:cs="Times New Roman"/>
          <w:b w:val="0"/>
          <w:bCs w:val="0"/>
          <w:kern w:val="0"/>
          <w:sz w:val="24"/>
          <w:szCs w:val="24"/>
          <w:highlight w:val="none"/>
          <w:vertAlign w:val="baseline"/>
          <w:lang w:val="zh-CN" w:eastAsia="zh-CN" w:bidi="ar-SA"/>
        </w:rPr>
        <w:t>）中的</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begin"/>
      </w:r>
      <w:r>
        <w:rPr>
          <w:rFonts w:hint="eastAsia" w:ascii="Times New Roman" w:hAnsi="Times New Roman" w:eastAsia="宋体" w:cs="Times New Roman"/>
          <w:b w:val="0"/>
          <w:bCs w:val="0"/>
          <w:kern w:val="0"/>
          <w:sz w:val="24"/>
          <w:szCs w:val="24"/>
          <w:highlight w:val="none"/>
          <w:vertAlign w:val="baseline"/>
          <w:lang w:val="en-US" w:eastAsia="zh-CN" w:bidi="ar-SA"/>
        </w:rPr>
        <w:instrText xml:space="preserve"> = 3 \* ROMAN \* MERGEFORMAT </w:instrText>
      </w:r>
      <w:r>
        <w:rPr>
          <w:rFonts w:hint="eastAsia" w:ascii="Times New Roman" w:hAnsi="Times New Roman" w:eastAsia="宋体" w:cs="Times New Roman"/>
          <w:b w:val="0"/>
          <w:bCs w:val="0"/>
          <w:kern w:val="0"/>
          <w:sz w:val="24"/>
          <w:szCs w:val="24"/>
          <w:highlight w:val="none"/>
          <w:vertAlign w:val="baseline"/>
          <w:lang w:val="en-US" w:eastAsia="zh-CN" w:bidi="ar-SA"/>
        </w:rPr>
        <w:fldChar w:fldCharType="separate"/>
      </w:r>
      <w:r>
        <w:rPr>
          <w:rFonts w:hint="eastAsia" w:ascii="Times New Roman" w:hAnsi="Times New Roman" w:eastAsia="宋体" w:cs="Times New Roman"/>
          <w:b w:val="0"/>
          <w:bCs w:val="0"/>
          <w:kern w:val="0"/>
          <w:sz w:val="24"/>
          <w:szCs w:val="24"/>
          <w:highlight w:val="none"/>
          <w:vertAlign w:val="baseline"/>
          <w:lang w:val="en-US" w:eastAsia="zh-CN" w:bidi="ar-SA"/>
        </w:rPr>
        <w:t>III</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end"/>
      </w:r>
      <w:r>
        <w:rPr>
          <w:rFonts w:hint="eastAsia" w:ascii="Times New Roman" w:hAnsi="Times New Roman" w:eastAsia="宋体" w:cs="Times New Roman"/>
          <w:b w:val="0"/>
          <w:bCs w:val="0"/>
          <w:kern w:val="0"/>
          <w:sz w:val="24"/>
          <w:szCs w:val="24"/>
          <w:highlight w:val="none"/>
          <w:vertAlign w:val="baseline"/>
          <w:lang w:val="en-US" w:eastAsia="zh-CN" w:bidi="ar-SA"/>
        </w:rPr>
        <w:t>类</w:t>
      </w:r>
      <w:r>
        <w:rPr>
          <w:rFonts w:hint="eastAsia" w:ascii="Times New Roman" w:hAnsi="Times New Roman" w:eastAsia="宋体" w:cs="Times New Roman"/>
          <w:b w:val="0"/>
          <w:bCs w:val="0"/>
          <w:kern w:val="0"/>
          <w:sz w:val="24"/>
          <w:szCs w:val="24"/>
          <w:highlight w:val="none"/>
          <w:vertAlign w:val="baseline"/>
          <w:lang w:val="zh-CN" w:eastAsia="zh-CN" w:bidi="ar-SA"/>
        </w:rPr>
        <w:t>标准要求。</w:t>
      </w:r>
    </w:p>
    <w:p w14:paraId="001ACE28">
      <w:pPr>
        <w:pageBreakBefore w:val="0"/>
        <w:kinsoku/>
        <w:wordWrap/>
        <w:overflowPunct/>
        <w:topLinePunct w:val="0"/>
        <w:autoSpaceDE/>
        <w:autoSpaceDN/>
        <w:bidi w:val="0"/>
        <w:adjustRightInd/>
        <w:spacing w:afterAutospacing="0" w:line="360" w:lineRule="auto"/>
        <w:ind w:left="0" w:right="0" w:firstLine="480" w:firstLineChars="200"/>
        <w:textAlignment w:val="auto"/>
        <w:rPr>
          <w:rFonts w:ascii="宋体" w:hAnsi="宋体" w:eastAsia="宋体" w:cs="宋体"/>
          <w:spacing w:val="-3"/>
          <w:sz w:val="24"/>
          <w:szCs w:val="24"/>
          <w:highlight w:val="none"/>
        </w:rPr>
      </w:pPr>
      <w:r>
        <w:rPr>
          <w:rFonts w:hint="eastAsia" w:ascii="Times New Roman" w:hAnsi="Times New Roman" w:eastAsia="宋体" w:cs="Times New Roman"/>
          <w:b w:val="0"/>
          <w:bCs w:val="0"/>
          <w:kern w:val="0"/>
          <w:sz w:val="24"/>
          <w:szCs w:val="24"/>
          <w:highlight w:val="none"/>
          <w:vertAlign w:val="baseline"/>
          <w:lang w:val="en-US" w:eastAsia="zh-CN" w:bidi="ar-SA"/>
        </w:rPr>
        <w:t>另外，本项目委托</w:t>
      </w:r>
      <w:r>
        <w:rPr>
          <w:rFonts w:hint="default" w:ascii="Times New Roman" w:hAnsi="Times New Roman" w:eastAsia="宋体" w:cs="Times New Roman"/>
          <w:b w:val="0"/>
          <w:bCs w:val="0"/>
          <w:sz w:val="24"/>
          <w:szCs w:val="24"/>
          <w:highlight w:val="none"/>
          <w:vertAlign w:val="baseline"/>
          <w:lang w:val="en-US" w:eastAsia="zh-CN"/>
        </w:rPr>
        <w:t>湖南中额环保科技有限公司</w:t>
      </w:r>
      <w:r>
        <w:rPr>
          <w:rFonts w:hint="default" w:ascii="Times New Roman" w:hAnsi="Times New Roman" w:eastAsia="宋体" w:cs="Times New Roman"/>
          <w:b w:val="0"/>
          <w:bCs w:val="0"/>
          <w:kern w:val="0"/>
          <w:sz w:val="24"/>
          <w:szCs w:val="24"/>
          <w:highlight w:val="none"/>
          <w:vertAlign w:val="baseline"/>
          <w:lang w:val="en-US" w:eastAsia="zh-CN" w:bidi="ar-SA"/>
        </w:rPr>
        <w:t>于202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w:t>
      </w:r>
      <w:r>
        <w:rPr>
          <w:rFonts w:hint="default" w:ascii="Times New Roman" w:hAnsi="Times New Roman" w:eastAsia="宋体" w:cs="Times New Roman"/>
          <w:b w:val="0"/>
          <w:bCs w:val="0"/>
          <w:kern w:val="0"/>
          <w:sz w:val="24"/>
          <w:szCs w:val="24"/>
          <w:highlight w:val="none"/>
          <w:vertAlign w:val="baseline"/>
          <w:lang w:val="en-US" w:eastAsia="zh-CN" w:bidi="ar-SA"/>
        </w:rPr>
        <w:t xml:space="preserve"> 月</w:t>
      </w:r>
      <w:r>
        <w:rPr>
          <w:rFonts w:hint="eastAsia" w:ascii="Times New Roman" w:hAnsi="Times New Roman" w:eastAsia="宋体" w:cs="Times New Roman"/>
          <w:b w:val="0"/>
          <w:bCs w:val="0"/>
          <w:kern w:val="0"/>
          <w:sz w:val="24"/>
          <w:szCs w:val="24"/>
          <w:highlight w:val="none"/>
          <w:vertAlign w:val="baseline"/>
          <w:lang w:val="en-US" w:eastAsia="zh-CN" w:bidi="ar-SA"/>
        </w:rPr>
        <w:t>25日~</w:t>
      </w:r>
      <w:r>
        <w:rPr>
          <w:rFonts w:hint="default" w:ascii="Times New Roman" w:hAnsi="Times New Roman" w:eastAsia="宋体" w:cs="Times New Roman"/>
          <w:b w:val="0"/>
          <w:bCs w:val="0"/>
          <w:kern w:val="0"/>
          <w:sz w:val="24"/>
          <w:szCs w:val="24"/>
          <w:highlight w:val="none"/>
          <w:vertAlign w:val="baseline"/>
          <w:lang w:val="en-US" w:eastAsia="zh-CN" w:bidi="ar-SA"/>
        </w:rPr>
        <w:t>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3月27</w:t>
      </w:r>
      <w:r>
        <w:rPr>
          <w:rFonts w:hint="default" w:ascii="Times New Roman" w:hAnsi="Times New Roman" w:eastAsia="宋体" w:cs="Times New Roman"/>
          <w:b w:val="0"/>
          <w:bCs w:val="0"/>
          <w:kern w:val="0"/>
          <w:sz w:val="24"/>
          <w:szCs w:val="24"/>
          <w:highlight w:val="none"/>
          <w:vertAlign w:val="baseline"/>
          <w:lang w:val="en-US" w:eastAsia="zh-CN" w:bidi="ar-SA"/>
        </w:rPr>
        <w:t>日</w:t>
      </w:r>
      <w:r>
        <w:rPr>
          <w:rFonts w:hint="eastAsia" w:ascii="Times New Roman" w:hAnsi="Times New Roman" w:eastAsia="宋体" w:cs="Times New Roman"/>
          <w:b w:val="0"/>
          <w:bCs w:val="0"/>
          <w:kern w:val="0"/>
          <w:sz w:val="24"/>
          <w:szCs w:val="24"/>
          <w:highlight w:val="none"/>
          <w:vertAlign w:val="baseline"/>
          <w:lang w:val="en-US" w:eastAsia="zh-CN" w:bidi="ar-SA"/>
        </w:rPr>
        <w:t>对岳阳高新技术产业园污水处理厂排口入新墙河</w:t>
      </w:r>
      <w:r>
        <w:rPr>
          <w:rFonts w:hint="default" w:ascii="Times New Roman" w:hAnsi="Times New Roman" w:eastAsia="宋体" w:cs="Times New Roman"/>
          <w:b w:val="0"/>
          <w:bCs w:val="0"/>
          <w:kern w:val="0"/>
          <w:sz w:val="24"/>
          <w:szCs w:val="24"/>
          <w:highlight w:val="none"/>
          <w:vertAlign w:val="baseline"/>
          <w:lang w:val="en-US" w:eastAsia="zh-CN" w:bidi="ar-SA"/>
        </w:rPr>
        <w:t>水域上游500m</w:t>
      </w:r>
      <w:r>
        <w:rPr>
          <w:rFonts w:hint="eastAsia" w:ascii="Times New Roman" w:hAnsi="Times New Roman" w:eastAsia="宋体" w:cs="Times New Roman"/>
          <w:b w:val="0"/>
          <w:bCs w:val="0"/>
          <w:kern w:val="0"/>
          <w:sz w:val="24"/>
          <w:szCs w:val="24"/>
          <w:highlight w:val="none"/>
          <w:vertAlign w:val="baseline"/>
          <w:lang w:val="en-US" w:eastAsia="zh-CN" w:bidi="ar-SA"/>
        </w:rPr>
        <w:t>和下</w:t>
      </w:r>
      <w:r>
        <w:rPr>
          <w:rFonts w:hint="default" w:ascii="Times New Roman" w:hAnsi="Times New Roman" w:eastAsia="宋体" w:cs="Times New Roman"/>
          <w:b w:val="0"/>
          <w:bCs w:val="0"/>
          <w:kern w:val="0"/>
          <w:sz w:val="24"/>
          <w:szCs w:val="24"/>
          <w:highlight w:val="none"/>
          <w:vertAlign w:val="baseline"/>
          <w:lang w:val="en-US" w:eastAsia="zh-CN" w:bidi="ar-SA"/>
        </w:rPr>
        <w:t>游</w:t>
      </w:r>
      <w:r>
        <w:rPr>
          <w:rFonts w:hint="eastAsia" w:ascii="Times New Roman" w:hAnsi="Times New Roman" w:eastAsia="宋体" w:cs="Times New Roman"/>
          <w:b w:val="0"/>
          <w:bCs w:val="0"/>
          <w:kern w:val="0"/>
          <w:sz w:val="24"/>
          <w:szCs w:val="24"/>
          <w:highlight w:val="none"/>
          <w:vertAlign w:val="baseline"/>
          <w:lang w:val="en-US" w:eastAsia="zh-CN" w:bidi="ar-SA"/>
        </w:rPr>
        <w:t>1000</w:t>
      </w:r>
      <w:r>
        <w:rPr>
          <w:rFonts w:hint="default" w:ascii="Times New Roman" w:hAnsi="Times New Roman" w:eastAsia="宋体" w:cs="Times New Roman"/>
          <w:b w:val="0"/>
          <w:bCs w:val="0"/>
          <w:kern w:val="0"/>
          <w:sz w:val="24"/>
          <w:szCs w:val="24"/>
          <w:highlight w:val="none"/>
          <w:vertAlign w:val="baseline"/>
          <w:lang w:val="en-US" w:eastAsia="zh-CN" w:bidi="ar-SA"/>
        </w:rPr>
        <w:t>m</w:t>
      </w:r>
      <w:r>
        <w:rPr>
          <w:rFonts w:hint="eastAsia" w:ascii="Times New Roman" w:hAnsi="Times New Roman" w:eastAsia="宋体" w:cs="Times New Roman"/>
          <w:b w:val="0"/>
          <w:bCs w:val="0"/>
          <w:kern w:val="0"/>
          <w:sz w:val="24"/>
          <w:szCs w:val="24"/>
          <w:highlight w:val="none"/>
          <w:vertAlign w:val="baseline"/>
          <w:lang w:val="en-US" w:eastAsia="zh-CN" w:bidi="ar-SA"/>
        </w:rPr>
        <w:t>进行了补充检测。补充监测结果表明</w:t>
      </w:r>
      <w:r>
        <w:rPr>
          <w:rFonts w:hint="eastAsia" w:eastAsia="宋体" w:cs="Times New Roman"/>
          <w:b w:val="0"/>
          <w:bCs w:val="0"/>
          <w:kern w:val="0"/>
          <w:sz w:val="24"/>
          <w:szCs w:val="24"/>
          <w:highlight w:val="none"/>
          <w:vertAlign w:val="baseline"/>
          <w:lang w:val="en-US" w:eastAsia="zh-CN" w:bidi="ar-SA"/>
        </w:rPr>
        <w:t>各项因子</w:t>
      </w:r>
      <w:r>
        <w:rPr>
          <w:rFonts w:hint="eastAsia" w:ascii="Times New Roman" w:hAnsi="Times New Roman" w:eastAsia="宋体" w:cs="Times New Roman"/>
          <w:b w:val="0"/>
          <w:bCs w:val="0"/>
          <w:kern w:val="0"/>
          <w:sz w:val="24"/>
          <w:szCs w:val="24"/>
          <w:highlight w:val="none"/>
          <w:vertAlign w:val="baseline"/>
          <w:lang w:val="en-US" w:eastAsia="zh-CN" w:bidi="ar-SA"/>
        </w:rPr>
        <w:t>浓度符合</w:t>
      </w:r>
      <w:r>
        <w:rPr>
          <w:rFonts w:hint="eastAsia" w:ascii="Times New Roman" w:hAnsi="Times New Roman" w:eastAsia="宋体" w:cs="Times New Roman"/>
          <w:b w:val="0"/>
          <w:bCs w:val="0"/>
          <w:kern w:val="0"/>
          <w:sz w:val="24"/>
          <w:szCs w:val="24"/>
          <w:highlight w:val="none"/>
          <w:vertAlign w:val="baseline"/>
          <w:lang w:val="zh-CN" w:eastAsia="zh-CN" w:bidi="ar-SA"/>
        </w:rPr>
        <w:t>《地表水环境质量标准》（GB</w:t>
      </w:r>
      <w:r>
        <w:rPr>
          <w:rFonts w:hint="eastAsia" w:ascii="Times New Roman" w:hAnsi="Times New Roman" w:eastAsia="宋体" w:cs="Times New Roman"/>
          <w:b w:val="0"/>
          <w:bCs w:val="0"/>
          <w:kern w:val="0"/>
          <w:sz w:val="24"/>
          <w:szCs w:val="24"/>
          <w:highlight w:val="none"/>
          <w:vertAlign w:val="baseline"/>
          <w:lang w:val="en-US" w:eastAsia="zh-CN" w:bidi="ar-SA"/>
        </w:rPr>
        <w:t>3838</w:t>
      </w:r>
      <w:r>
        <w:rPr>
          <w:rFonts w:hint="eastAsia" w:ascii="Times New Roman" w:hAnsi="Times New Roman" w:eastAsia="宋体" w:cs="Times New Roman"/>
          <w:b w:val="0"/>
          <w:bCs w:val="0"/>
          <w:kern w:val="0"/>
          <w:sz w:val="24"/>
          <w:szCs w:val="24"/>
          <w:highlight w:val="none"/>
          <w:vertAlign w:val="baseline"/>
          <w:lang w:val="zh-CN" w:eastAsia="zh-CN" w:bidi="ar-SA"/>
        </w:rPr>
        <w:t>-</w:t>
      </w:r>
      <w:r>
        <w:rPr>
          <w:rFonts w:hint="eastAsia" w:ascii="Times New Roman" w:hAnsi="Times New Roman" w:eastAsia="宋体" w:cs="Times New Roman"/>
          <w:b w:val="0"/>
          <w:bCs w:val="0"/>
          <w:kern w:val="0"/>
          <w:sz w:val="24"/>
          <w:szCs w:val="24"/>
          <w:highlight w:val="none"/>
          <w:vertAlign w:val="baseline"/>
          <w:lang w:val="en-US" w:eastAsia="zh-CN" w:bidi="ar-SA"/>
        </w:rPr>
        <w:t>2002</w:t>
      </w:r>
      <w:r>
        <w:rPr>
          <w:rFonts w:hint="eastAsia" w:ascii="Times New Roman" w:hAnsi="Times New Roman" w:eastAsia="宋体" w:cs="Times New Roman"/>
          <w:b w:val="0"/>
          <w:bCs w:val="0"/>
          <w:kern w:val="0"/>
          <w:sz w:val="24"/>
          <w:szCs w:val="24"/>
          <w:highlight w:val="none"/>
          <w:vertAlign w:val="baseline"/>
          <w:lang w:val="zh-CN" w:eastAsia="zh-CN" w:bidi="ar-SA"/>
        </w:rPr>
        <w:t>）中的</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begin"/>
      </w:r>
      <w:r>
        <w:rPr>
          <w:rFonts w:hint="eastAsia" w:ascii="Times New Roman" w:hAnsi="Times New Roman" w:eastAsia="宋体" w:cs="Times New Roman"/>
          <w:b w:val="0"/>
          <w:bCs w:val="0"/>
          <w:kern w:val="0"/>
          <w:sz w:val="24"/>
          <w:szCs w:val="24"/>
          <w:highlight w:val="none"/>
          <w:vertAlign w:val="baseline"/>
          <w:lang w:val="en-US" w:eastAsia="zh-CN" w:bidi="ar-SA"/>
        </w:rPr>
        <w:instrText xml:space="preserve"> = 3 \* ROMAN \* MERGEFORMAT </w:instrText>
      </w:r>
      <w:r>
        <w:rPr>
          <w:rFonts w:hint="eastAsia" w:ascii="Times New Roman" w:hAnsi="Times New Roman" w:eastAsia="宋体" w:cs="Times New Roman"/>
          <w:b w:val="0"/>
          <w:bCs w:val="0"/>
          <w:kern w:val="0"/>
          <w:sz w:val="24"/>
          <w:szCs w:val="24"/>
          <w:highlight w:val="none"/>
          <w:vertAlign w:val="baseline"/>
          <w:lang w:val="en-US" w:eastAsia="zh-CN" w:bidi="ar-SA"/>
        </w:rPr>
        <w:fldChar w:fldCharType="separate"/>
      </w:r>
      <w:r>
        <w:rPr>
          <w:rFonts w:hint="eastAsia" w:ascii="Times New Roman" w:hAnsi="Times New Roman" w:eastAsia="宋体" w:cs="Times New Roman"/>
          <w:b w:val="0"/>
          <w:bCs w:val="0"/>
          <w:kern w:val="0"/>
          <w:sz w:val="24"/>
          <w:szCs w:val="24"/>
          <w:highlight w:val="none"/>
          <w:vertAlign w:val="baseline"/>
          <w:lang w:val="en-US" w:eastAsia="zh-CN" w:bidi="ar-SA"/>
        </w:rPr>
        <w:t>III</w:t>
      </w:r>
      <w:r>
        <w:rPr>
          <w:rFonts w:hint="eastAsia" w:ascii="Times New Roman" w:hAnsi="Times New Roman" w:eastAsia="宋体" w:cs="Times New Roman"/>
          <w:b w:val="0"/>
          <w:bCs w:val="0"/>
          <w:kern w:val="0"/>
          <w:sz w:val="24"/>
          <w:szCs w:val="24"/>
          <w:highlight w:val="none"/>
          <w:vertAlign w:val="baseline"/>
          <w:lang w:val="en-US" w:eastAsia="zh-CN" w:bidi="ar-SA"/>
        </w:rPr>
        <w:fldChar w:fldCharType="end"/>
      </w:r>
      <w:r>
        <w:rPr>
          <w:rFonts w:hint="eastAsia" w:ascii="Times New Roman" w:hAnsi="Times New Roman" w:eastAsia="宋体" w:cs="Times New Roman"/>
          <w:b w:val="0"/>
          <w:bCs w:val="0"/>
          <w:kern w:val="0"/>
          <w:sz w:val="24"/>
          <w:szCs w:val="24"/>
          <w:highlight w:val="none"/>
          <w:vertAlign w:val="baseline"/>
          <w:lang w:val="en-US" w:eastAsia="zh-CN" w:bidi="ar-SA"/>
        </w:rPr>
        <w:t>类</w:t>
      </w:r>
      <w:r>
        <w:rPr>
          <w:rFonts w:hint="eastAsia" w:ascii="Times New Roman" w:hAnsi="Times New Roman" w:eastAsia="宋体" w:cs="Times New Roman"/>
          <w:b w:val="0"/>
          <w:bCs w:val="0"/>
          <w:kern w:val="0"/>
          <w:sz w:val="24"/>
          <w:szCs w:val="24"/>
          <w:highlight w:val="none"/>
          <w:vertAlign w:val="baseline"/>
          <w:lang w:val="zh-CN" w:eastAsia="zh-CN" w:bidi="ar-SA"/>
        </w:rPr>
        <w:t>标准要求。</w:t>
      </w:r>
    </w:p>
    <w:p w14:paraId="3B996700">
      <w:pPr>
        <w:pageBreakBefore w:val="0"/>
        <w:kinsoku/>
        <w:wordWrap/>
        <w:overflowPunct/>
        <w:topLinePunct w:val="0"/>
        <w:autoSpaceDE/>
        <w:autoSpaceDN/>
        <w:bidi w:val="0"/>
        <w:adjustRightInd/>
        <w:spacing w:afterAutospacing="0" w:line="360" w:lineRule="auto"/>
        <w:ind w:left="0" w:right="0"/>
        <w:textAlignment w:val="auto"/>
        <w:rPr>
          <w:rFonts w:ascii="Times New Roman" w:hAnsi="Times New Roman" w:eastAsia="Times New Roman" w:cs="Times New Roman"/>
          <w:b/>
          <w:bCs/>
          <w:spacing w:val="-6"/>
          <w:sz w:val="24"/>
          <w:szCs w:val="24"/>
          <w:highlight w:val="none"/>
        </w:rPr>
      </w:pPr>
      <w:r>
        <w:rPr>
          <w:rFonts w:ascii="Times New Roman" w:hAnsi="Times New Roman" w:eastAsia="Times New Roman" w:cs="Times New Roman"/>
          <w:b/>
          <w:bCs/>
          <w:spacing w:val="-6"/>
          <w:sz w:val="24"/>
          <w:szCs w:val="24"/>
          <w:highlight w:val="none"/>
        </w:rPr>
        <w:t>3</w:t>
      </w:r>
      <w:r>
        <w:rPr>
          <w:rFonts w:hint="eastAsia" w:ascii="Times New Roman" w:hAnsi="Times New Roman" w:eastAsia="Times New Roman" w:cs="Times New Roman"/>
          <w:b/>
          <w:bCs/>
          <w:spacing w:val="-6"/>
          <w:sz w:val="24"/>
          <w:szCs w:val="24"/>
          <w:highlight w:val="none"/>
          <w:lang w:eastAsia="zh-CN"/>
        </w:rPr>
        <w:t>、</w:t>
      </w:r>
      <w:r>
        <w:rPr>
          <w:rFonts w:ascii="Times New Roman" w:hAnsi="Times New Roman" w:eastAsia="Times New Roman" w:cs="Times New Roman"/>
          <w:b/>
          <w:bCs/>
          <w:spacing w:val="-6"/>
          <w:sz w:val="24"/>
          <w:szCs w:val="24"/>
          <w:highlight w:val="none"/>
        </w:rPr>
        <w:t>地下水环境质量现状</w:t>
      </w:r>
    </w:p>
    <w:p w14:paraId="5AE21880">
      <w:pPr>
        <w:pStyle w:val="2"/>
        <w:keepNext w:val="0"/>
        <w:keepLines w:val="0"/>
        <w:pageBreakBefore w:val="0"/>
        <w:kinsoku/>
        <w:wordWrap/>
        <w:overflowPunct/>
        <w:topLinePunct w:val="0"/>
        <w:autoSpaceDE/>
        <w:autoSpaceDN/>
        <w:bidi w:val="0"/>
        <w:adjustRightInd/>
        <w:spacing w:before="0" w:after="0" w:line="360" w:lineRule="auto"/>
        <w:ind w:left="0" w:right="0" w:firstLine="472"/>
        <w:jc w:val="both"/>
        <w:textAlignment w:val="auto"/>
        <w:rPr>
          <w:rFonts w:ascii="宋体" w:hAnsi="宋体" w:eastAsia="宋体" w:cs="宋体"/>
          <w:spacing w:val="-4"/>
          <w:sz w:val="24"/>
          <w:szCs w:val="24"/>
          <w:highlight w:val="none"/>
        </w:rPr>
      </w:pPr>
      <w:r>
        <w:rPr>
          <w:rFonts w:hint="eastAsia" w:ascii="Times New Roman" w:hAnsi="Times New Roman" w:eastAsia="宋体" w:cs="Times New Roman"/>
          <w:b w:val="0"/>
          <w:bCs w:val="0"/>
          <w:kern w:val="0"/>
          <w:sz w:val="24"/>
          <w:szCs w:val="24"/>
          <w:highlight w:val="none"/>
          <w:vertAlign w:val="baseline"/>
          <w:lang w:val="en-US" w:eastAsia="zh-CN" w:bidi="ar-SA"/>
        </w:rPr>
        <w:t>本项目委托</w:t>
      </w:r>
      <w:r>
        <w:rPr>
          <w:rFonts w:hint="default" w:ascii="Times New Roman" w:hAnsi="Times New Roman" w:eastAsia="宋体" w:cs="Times New Roman"/>
          <w:b w:val="0"/>
          <w:bCs w:val="0"/>
          <w:sz w:val="24"/>
          <w:szCs w:val="24"/>
          <w:highlight w:val="none"/>
          <w:vertAlign w:val="baseline"/>
          <w:lang w:val="en-US" w:eastAsia="zh-CN"/>
        </w:rPr>
        <w:t>湖南中额环保科技有限公司</w:t>
      </w:r>
      <w:r>
        <w:rPr>
          <w:rFonts w:hint="default" w:ascii="Times New Roman" w:hAnsi="Times New Roman" w:eastAsia="宋体" w:cs="Times New Roman"/>
          <w:b w:val="0"/>
          <w:bCs w:val="0"/>
          <w:kern w:val="0"/>
          <w:sz w:val="24"/>
          <w:szCs w:val="24"/>
          <w:highlight w:val="none"/>
          <w:vertAlign w:val="baseline"/>
          <w:lang w:val="en-US" w:eastAsia="zh-CN" w:bidi="ar-SA"/>
        </w:rPr>
        <w:t>于202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w:t>
      </w:r>
      <w:r>
        <w:rPr>
          <w:rFonts w:hint="default" w:ascii="Times New Roman" w:hAnsi="Times New Roman" w:eastAsia="宋体" w:cs="Times New Roman"/>
          <w:b w:val="0"/>
          <w:bCs w:val="0"/>
          <w:kern w:val="0"/>
          <w:sz w:val="24"/>
          <w:szCs w:val="24"/>
          <w:highlight w:val="none"/>
          <w:vertAlign w:val="baseline"/>
          <w:lang w:val="en-US" w:eastAsia="zh-CN" w:bidi="ar-SA"/>
        </w:rPr>
        <w:t xml:space="preserve"> 月</w:t>
      </w:r>
      <w:r>
        <w:rPr>
          <w:rFonts w:hint="eastAsia" w:ascii="Times New Roman" w:hAnsi="Times New Roman" w:eastAsia="宋体" w:cs="Times New Roman"/>
          <w:b w:val="0"/>
          <w:bCs w:val="0"/>
          <w:kern w:val="0"/>
          <w:sz w:val="24"/>
          <w:szCs w:val="24"/>
          <w:highlight w:val="none"/>
          <w:vertAlign w:val="baseline"/>
          <w:lang w:val="en-US" w:eastAsia="zh-CN" w:bidi="ar-SA"/>
        </w:rPr>
        <w:t>25日~</w:t>
      </w:r>
      <w:r>
        <w:rPr>
          <w:rFonts w:hint="default" w:ascii="Times New Roman" w:hAnsi="Times New Roman" w:eastAsia="宋体" w:cs="Times New Roman"/>
          <w:b w:val="0"/>
          <w:bCs w:val="0"/>
          <w:kern w:val="0"/>
          <w:sz w:val="24"/>
          <w:szCs w:val="24"/>
          <w:highlight w:val="none"/>
          <w:vertAlign w:val="baseline"/>
          <w:lang w:val="en-US" w:eastAsia="zh-CN" w:bidi="ar-SA"/>
        </w:rPr>
        <w:t>202</w:t>
      </w:r>
      <w:r>
        <w:rPr>
          <w:rFonts w:hint="eastAsia" w:ascii="Times New Roman" w:hAnsi="Times New Roman" w:eastAsia="宋体" w:cs="Times New Roman"/>
          <w:b w:val="0"/>
          <w:bCs w:val="0"/>
          <w:kern w:val="0"/>
          <w:sz w:val="24"/>
          <w:szCs w:val="24"/>
          <w:highlight w:val="none"/>
          <w:vertAlign w:val="baseline"/>
          <w:lang w:val="en-US" w:eastAsia="zh-CN" w:bidi="ar-SA"/>
        </w:rPr>
        <w:t>5</w:t>
      </w:r>
      <w:r>
        <w:rPr>
          <w:rFonts w:hint="default" w:ascii="Times New Roman" w:hAnsi="Times New Roman" w:eastAsia="宋体" w:cs="Times New Roman"/>
          <w:b w:val="0"/>
          <w:bCs w:val="0"/>
          <w:kern w:val="0"/>
          <w:sz w:val="24"/>
          <w:szCs w:val="24"/>
          <w:highlight w:val="none"/>
          <w:vertAlign w:val="baseline"/>
          <w:lang w:val="en-US" w:eastAsia="zh-CN" w:bidi="ar-SA"/>
        </w:rPr>
        <w:t xml:space="preserve"> 年</w:t>
      </w:r>
      <w:r>
        <w:rPr>
          <w:rFonts w:hint="eastAsia" w:ascii="Times New Roman" w:hAnsi="Times New Roman" w:eastAsia="宋体" w:cs="Times New Roman"/>
          <w:b w:val="0"/>
          <w:bCs w:val="0"/>
          <w:kern w:val="0"/>
          <w:sz w:val="24"/>
          <w:szCs w:val="24"/>
          <w:highlight w:val="none"/>
          <w:vertAlign w:val="baseline"/>
          <w:lang w:val="en-US" w:eastAsia="zh-CN" w:bidi="ar-SA"/>
        </w:rPr>
        <w:t>3月27</w:t>
      </w:r>
      <w:r>
        <w:rPr>
          <w:rFonts w:hint="default" w:ascii="Times New Roman" w:hAnsi="Times New Roman" w:eastAsia="宋体" w:cs="Times New Roman"/>
          <w:b w:val="0"/>
          <w:bCs w:val="0"/>
          <w:kern w:val="0"/>
          <w:sz w:val="24"/>
          <w:szCs w:val="24"/>
          <w:highlight w:val="none"/>
          <w:vertAlign w:val="baseline"/>
          <w:lang w:val="en-US" w:eastAsia="zh-CN" w:bidi="ar-SA"/>
        </w:rPr>
        <w:t>日</w:t>
      </w:r>
      <w:r>
        <w:rPr>
          <w:rFonts w:hint="eastAsia" w:ascii="Times New Roman" w:hAnsi="Times New Roman" w:eastAsia="宋体" w:cs="Times New Roman"/>
          <w:b w:val="0"/>
          <w:bCs w:val="0"/>
          <w:kern w:val="0"/>
          <w:sz w:val="24"/>
          <w:szCs w:val="24"/>
          <w:highlight w:val="none"/>
          <w:vertAlign w:val="baseline"/>
          <w:lang w:val="en-US" w:eastAsia="zh-CN" w:bidi="ar-SA"/>
        </w:rPr>
        <w:t>对项目地开展了</w:t>
      </w:r>
      <w:r>
        <w:rPr>
          <w:rFonts w:ascii="宋体" w:hAnsi="宋体" w:eastAsia="宋体" w:cs="宋体"/>
          <w:spacing w:val="-2"/>
          <w:sz w:val="24"/>
          <w:szCs w:val="24"/>
          <w:highlight w:val="none"/>
        </w:rPr>
        <w:t>地下水环境现状</w:t>
      </w:r>
      <w:r>
        <w:rPr>
          <w:rFonts w:hint="eastAsia" w:ascii="宋体" w:hAnsi="宋体" w:eastAsia="宋体" w:cs="宋体"/>
          <w:spacing w:val="-2"/>
          <w:sz w:val="24"/>
          <w:szCs w:val="24"/>
          <w:highlight w:val="none"/>
          <w:lang w:val="en-US" w:eastAsia="zh-CN"/>
        </w:rPr>
        <w:t>监测。</w:t>
      </w:r>
      <w:r>
        <w:rPr>
          <w:spacing w:val="9"/>
          <w:highlight w:val="none"/>
        </w:rPr>
        <w:t>项</w:t>
      </w:r>
      <w:r>
        <w:rPr>
          <w:spacing w:val="-49"/>
          <w:highlight w:val="none"/>
        </w:rPr>
        <w:t xml:space="preserve"> </w:t>
      </w:r>
      <w:r>
        <w:rPr>
          <w:spacing w:val="9"/>
          <w:highlight w:val="none"/>
        </w:rPr>
        <w:t>目区域地下水各监测点位的各监测因子均未超过《地下水质量标准》</w:t>
      </w:r>
      <w:r>
        <w:rPr>
          <w:spacing w:val="-1"/>
          <w:highlight w:val="none"/>
        </w:rPr>
        <w:t>（</w:t>
      </w:r>
      <w:r>
        <w:rPr>
          <w:rFonts w:ascii="Times New Roman" w:hAnsi="Times New Roman" w:eastAsia="Times New Roman" w:cs="Times New Roman"/>
          <w:spacing w:val="-1"/>
          <w:highlight w:val="none"/>
        </w:rPr>
        <w:t>GB/T</w:t>
      </w:r>
      <w:r>
        <w:rPr>
          <w:rFonts w:ascii="Times New Roman" w:hAnsi="Times New Roman" w:eastAsia="Times New Roman" w:cs="Times New Roman"/>
          <w:spacing w:val="25"/>
          <w:w w:val="101"/>
          <w:highlight w:val="none"/>
        </w:rPr>
        <w:t xml:space="preserve"> </w:t>
      </w:r>
      <w:r>
        <w:rPr>
          <w:rFonts w:ascii="Times New Roman" w:hAnsi="Times New Roman" w:eastAsia="Times New Roman" w:cs="Times New Roman"/>
          <w:spacing w:val="-1"/>
          <w:highlight w:val="none"/>
        </w:rPr>
        <w:t>14848—2017</w:t>
      </w:r>
      <w:r>
        <w:rPr>
          <w:spacing w:val="-1"/>
          <w:highlight w:val="none"/>
        </w:rPr>
        <w:t>）</w:t>
      </w:r>
      <w:r>
        <w:rPr>
          <w:rFonts w:ascii="Times New Roman" w:hAnsi="Times New Roman" w:eastAsia="Times New Roman" w:cs="Times New Roman"/>
          <w:spacing w:val="-1"/>
          <w:highlight w:val="none"/>
        </w:rPr>
        <w:t>Ⅲ</w:t>
      </w:r>
      <w:r>
        <w:rPr>
          <w:spacing w:val="-1"/>
          <w:highlight w:val="none"/>
        </w:rPr>
        <w:t>类标准要求，本</w:t>
      </w:r>
      <w:r>
        <w:rPr>
          <w:spacing w:val="-2"/>
          <w:highlight w:val="none"/>
        </w:rPr>
        <w:t>项目区域地下水环境质量良好。</w:t>
      </w:r>
    </w:p>
    <w:p w14:paraId="0A06C138">
      <w:pPr>
        <w:pageBreakBefore w:val="0"/>
        <w:kinsoku/>
        <w:wordWrap/>
        <w:overflowPunct/>
        <w:topLinePunct w:val="0"/>
        <w:autoSpaceDE/>
        <w:autoSpaceDN/>
        <w:bidi w:val="0"/>
        <w:adjustRightInd/>
        <w:spacing w:afterAutospacing="0" w:line="360" w:lineRule="auto"/>
        <w:ind w:left="0" w:right="0"/>
        <w:textAlignment w:val="auto"/>
        <w:rPr>
          <w:rFonts w:ascii="Times New Roman" w:hAnsi="Times New Roman" w:eastAsia="Times New Roman" w:cs="Times New Roman"/>
          <w:b/>
          <w:bCs/>
          <w:spacing w:val="-6"/>
          <w:sz w:val="24"/>
          <w:szCs w:val="24"/>
          <w:highlight w:val="none"/>
        </w:rPr>
      </w:pPr>
      <w:r>
        <w:rPr>
          <w:rFonts w:ascii="Times New Roman" w:hAnsi="Times New Roman" w:eastAsia="Times New Roman" w:cs="Times New Roman"/>
          <w:b/>
          <w:bCs/>
          <w:spacing w:val="-6"/>
          <w:sz w:val="24"/>
          <w:szCs w:val="24"/>
          <w:highlight w:val="none"/>
        </w:rPr>
        <w:t>4</w:t>
      </w:r>
      <w:r>
        <w:rPr>
          <w:rFonts w:hint="eastAsia" w:ascii="Times New Roman" w:hAnsi="Times New Roman" w:eastAsia="Times New Roman" w:cs="Times New Roman"/>
          <w:b/>
          <w:bCs/>
          <w:spacing w:val="-6"/>
          <w:sz w:val="24"/>
          <w:szCs w:val="24"/>
          <w:highlight w:val="none"/>
          <w:lang w:eastAsia="zh-CN"/>
        </w:rPr>
        <w:t>、</w:t>
      </w:r>
      <w:r>
        <w:rPr>
          <w:rFonts w:ascii="Times New Roman" w:hAnsi="Times New Roman" w:eastAsia="Times New Roman" w:cs="Times New Roman"/>
          <w:b/>
          <w:bCs/>
          <w:spacing w:val="-6"/>
          <w:sz w:val="24"/>
          <w:szCs w:val="24"/>
          <w:highlight w:val="none"/>
        </w:rPr>
        <w:t>声环境质量现状</w:t>
      </w:r>
    </w:p>
    <w:p w14:paraId="3A2EDD67">
      <w:pPr>
        <w:spacing w:line="360" w:lineRule="auto"/>
        <w:ind w:firstLine="480" w:firstLineChars="200"/>
        <w:rPr>
          <w:rFonts w:hint="default" w:ascii="Times New Roman" w:hAnsi="Times New Roman" w:eastAsia="宋体" w:cs="Times New Roman"/>
          <w:b w:val="0"/>
          <w:bCs w:val="0"/>
          <w:kern w:val="0"/>
          <w:sz w:val="24"/>
          <w:szCs w:val="24"/>
          <w:highlight w:val="none"/>
          <w:vertAlign w:val="baseline"/>
          <w:lang w:val="en-US" w:eastAsia="zh-CN" w:bidi="ar-SA"/>
        </w:rPr>
      </w:pPr>
      <w:r>
        <w:rPr>
          <w:rFonts w:hint="eastAsia" w:ascii="Times New Roman" w:hAnsi="Times New Roman" w:eastAsia="宋体" w:cs="Times New Roman"/>
          <w:b w:val="0"/>
          <w:bCs w:val="0"/>
          <w:kern w:val="0"/>
          <w:sz w:val="24"/>
          <w:szCs w:val="24"/>
          <w:highlight w:val="none"/>
          <w:vertAlign w:val="baseline"/>
          <w:lang w:val="en-US" w:eastAsia="zh-CN" w:bidi="ar-SA"/>
        </w:rPr>
        <w:t>由监测资料统计结果表明，项目地</w:t>
      </w:r>
      <w:r>
        <w:rPr>
          <w:rFonts w:hint="default" w:ascii="Times New Roman" w:hAnsi="Times New Roman" w:eastAsia="宋体" w:cs="Times New Roman"/>
          <w:b w:val="0"/>
          <w:bCs w:val="0"/>
          <w:kern w:val="0"/>
          <w:sz w:val="24"/>
          <w:szCs w:val="24"/>
          <w:highlight w:val="none"/>
          <w:vertAlign w:val="baseline"/>
          <w:lang w:val="en-US" w:eastAsia="zh-CN" w:bidi="ar-SA"/>
        </w:rPr>
        <w:t>东</w:t>
      </w:r>
      <w:r>
        <w:rPr>
          <w:rFonts w:hint="eastAsia" w:ascii="Times New Roman" w:hAnsi="Times New Roman" w:eastAsia="宋体" w:cs="Times New Roman"/>
          <w:b w:val="0"/>
          <w:bCs w:val="0"/>
          <w:kern w:val="0"/>
          <w:sz w:val="24"/>
          <w:szCs w:val="24"/>
          <w:highlight w:val="none"/>
          <w:vertAlign w:val="baseline"/>
          <w:lang w:val="en-US" w:eastAsia="zh-CN" w:bidi="ar-SA"/>
        </w:rPr>
        <w:t>、南、北</w:t>
      </w:r>
      <w:r>
        <w:rPr>
          <w:rFonts w:hint="default" w:ascii="Times New Roman" w:hAnsi="Times New Roman" w:eastAsia="宋体" w:cs="Times New Roman"/>
          <w:b w:val="0"/>
          <w:bCs w:val="0"/>
          <w:kern w:val="0"/>
          <w:sz w:val="24"/>
          <w:szCs w:val="24"/>
          <w:highlight w:val="none"/>
          <w:vertAlign w:val="baseline"/>
          <w:lang w:val="en-US" w:eastAsia="zh-CN" w:bidi="ar-SA"/>
        </w:rPr>
        <w:t>厂界声环境质量</w:t>
      </w:r>
      <w:r>
        <w:rPr>
          <w:rFonts w:hint="eastAsia" w:ascii="Times New Roman" w:hAnsi="Times New Roman" w:eastAsia="宋体" w:cs="Times New Roman"/>
          <w:b w:val="0"/>
          <w:bCs w:val="0"/>
          <w:kern w:val="0"/>
          <w:sz w:val="24"/>
          <w:szCs w:val="24"/>
          <w:highlight w:val="none"/>
          <w:vertAlign w:val="baseline"/>
          <w:lang w:val="en-US" w:eastAsia="zh-CN" w:bidi="ar-SA"/>
        </w:rPr>
        <w:t>满足</w:t>
      </w:r>
      <w:r>
        <w:rPr>
          <w:rFonts w:hint="default" w:ascii="Times New Roman" w:hAnsi="Times New Roman" w:eastAsia="宋体" w:cs="Times New Roman"/>
          <w:b w:val="0"/>
          <w:bCs w:val="0"/>
          <w:kern w:val="0"/>
          <w:sz w:val="24"/>
          <w:szCs w:val="24"/>
          <w:highlight w:val="none"/>
          <w:vertAlign w:val="baseline"/>
          <w:lang w:val="en-US" w:eastAsia="zh-CN" w:bidi="ar-SA"/>
        </w:rPr>
        <w:t>《声环境质量标准》（GB3096-2008）中的3 类区标准</w:t>
      </w:r>
      <w:r>
        <w:rPr>
          <w:rFonts w:hint="eastAsia" w:ascii="Times New Roman" w:hAnsi="Times New Roman" w:eastAsia="宋体" w:cs="Times New Roman"/>
          <w:b w:val="0"/>
          <w:bCs w:val="0"/>
          <w:kern w:val="0"/>
          <w:sz w:val="24"/>
          <w:szCs w:val="24"/>
          <w:highlight w:val="none"/>
          <w:vertAlign w:val="baseline"/>
          <w:lang w:val="en-US" w:eastAsia="zh-CN" w:bidi="ar-SA"/>
        </w:rPr>
        <w:t>；</w:t>
      </w:r>
      <w:r>
        <w:rPr>
          <w:rFonts w:hint="default" w:ascii="Times New Roman" w:hAnsi="Times New Roman" w:eastAsia="宋体" w:cs="Times New Roman"/>
          <w:b w:val="0"/>
          <w:bCs w:val="0"/>
          <w:kern w:val="0"/>
          <w:sz w:val="24"/>
          <w:szCs w:val="24"/>
          <w:highlight w:val="none"/>
          <w:vertAlign w:val="baseline"/>
          <w:lang w:val="en-US" w:eastAsia="zh-CN" w:bidi="ar-SA"/>
        </w:rPr>
        <w:t>西厂界靠近二级公路和高铁铁路干线，西厂界声环境质量</w:t>
      </w:r>
      <w:r>
        <w:rPr>
          <w:rFonts w:hint="eastAsia" w:ascii="Times New Roman" w:hAnsi="Times New Roman" w:eastAsia="宋体" w:cs="Times New Roman"/>
          <w:b w:val="0"/>
          <w:bCs w:val="0"/>
          <w:kern w:val="0"/>
          <w:sz w:val="24"/>
          <w:szCs w:val="24"/>
          <w:highlight w:val="none"/>
          <w:vertAlign w:val="baseline"/>
          <w:lang w:val="en-US" w:eastAsia="zh-CN" w:bidi="ar-SA"/>
        </w:rPr>
        <w:t>满足</w:t>
      </w:r>
      <w:r>
        <w:rPr>
          <w:rFonts w:hint="default" w:ascii="Times New Roman" w:hAnsi="Times New Roman" w:eastAsia="宋体" w:cs="Times New Roman"/>
          <w:b w:val="0"/>
          <w:bCs w:val="0"/>
          <w:kern w:val="0"/>
          <w:sz w:val="24"/>
          <w:szCs w:val="24"/>
          <w:highlight w:val="none"/>
          <w:vertAlign w:val="baseline"/>
          <w:lang w:val="en-US" w:eastAsia="zh-CN" w:bidi="ar-SA"/>
        </w:rPr>
        <w:t>《声环境质量标准》（GB3096-2008）中的4b类区标准</w:t>
      </w:r>
      <w:r>
        <w:rPr>
          <w:rFonts w:hint="eastAsia" w:ascii="Times New Roman" w:hAnsi="Times New Roman" w:eastAsia="宋体" w:cs="Times New Roman"/>
          <w:b w:val="0"/>
          <w:bCs w:val="0"/>
          <w:kern w:val="0"/>
          <w:sz w:val="24"/>
          <w:szCs w:val="24"/>
          <w:highlight w:val="none"/>
          <w:vertAlign w:val="baseline"/>
          <w:lang w:val="en-US" w:eastAsia="zh-CN" w:bidi="ar-SA"/>
        </w:rPr>
        <w:t>；</w:t>
      </w:r>
      <w:r>
        <w:rPr>
          <w:rFonts w:hint="default" w:ascii="Times New Roman" w:hAnsi="Times New Roman" w:eastAsia="宋体" w:cs="Times New Roman"/>
          <w:b w:val="0"/>
          <w:bCs w:val="0"/>
          <w:kern w:val="0"/>
          <w:sz w:val="24"/>
          <w:szCs w:val="24"/>
          <w:highlight w:val="none"/>
          <w:vertAlign w:val="baseline"/>
          <w:lang w:val="en-US" w:eastAsia="zh-CN" w:bidi="ar-SA"/>
        </w:rPr>
        <w:t>居民敏感点</w:t>
      </w:r>
      <w:r>
        <w:rPr>
          <w:rFonts w:hint="eastAsia" w:ascii="Times New Roman" w:hAnsi="Times New Roman" w:eastAsia="宋体" w:cs="Times New Roman"/>
          <w:b w:val="0"/>
          <w:bCs w:val="0"/>
          <w:kern w:val="0"/>
          <w:sz w:val="24"/>
          <w:szCs w:val="24"/>
          <w:highlight w:val="none"/>
          <w:vertAlign w:val="baseline"/>
          <w:lang w:val="en-US" w:eastAsia="zh-CN" w:bidi="ar-SA"/>
        </w:rPr>
        <w:t>满足</w:t>
      </w:r>
      <w:r>
        <w:rPr>
          <w:rFonts w:hint="default" w:ascii="Times New Roman" w:hAnsi="Times New Roman" w:eastAsia="宋体" w:cs="Times New Roman"/>
          <w:b w:val="0"/>
          <w:bCs w:val="0"/>
          <w:kern w:val="0"/>
          <w:sz w:val="24"/>
          <w:szCs w:val="24"/>
          <w:highlight w:val="none"/>
          <w:vertAlign w:val="baseline"/>
          <w:lang w:val="en-US" w:eastAsia="zh-CN" w:bidi="ar-SA"/>
        </w:rPr>
        <w:t>《声环境质量标准》（GB3096-2008）中的 2 类标准</w:t>
      </w:r>
      <w:r>
        <w:rPr>
          <w:rFonts w:hint="eastAsia" w:ascii="Times New Roman" w:hAnsi="Times New Roman" w:eastAsia="宋体" w:cs="Times New Roman"/>
          <w:b w:val="0"/>
          <w:bCs w:val="0"/>
          <w:kern w:val="0"/>
          <w:sz w:val="24"/>
          <w:szCs w:val="24"/>
          <w:highlight w:val="none"/>
          <w:vertAlign w:val="baseline"/>
          <w:lang w:val="en-US" w:eastAsia="zh-CN" w:bidi="ar-SA"/>
        </w:rPr>
        <w:t>。工程所在区域声环境质量良好。</w:t>
      </w:r>
    </w:p>
    <w:p w14:paraId="4DB4A67B">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Times New Roman" w:cs="Times New Roman"/>
          <w:b/>
          <w:bCs/>
          <w:spacing w:val="-6"/>
          <w:sz w:val="24"/>
          <w:szCs w:val="24"/>
          <w:highlight w:val="none"/>
          <w:lang w:val="en-US" w:eastAsia="zh-CN"/>
        </w:rPr>
      </w:pPr>
      <w:r>
        <w:rPr>
          <w:rFonts w:hint="eastAsia" w:ascii="Times New Roman" w:hAnsi="Times New Roman" w:eastAsia="Times New Roman" w:cs="Times New Roman"/>
          <w:b/>
          <w:bCs/>
          <w:spacing w:val="-6"/>
          <w:sz w:val="24"/>
          <w:szCs w:val="24"/>
          <w:highlight w:val="none"/>
          <w:lang w:val="en-US" w:eastAsia="zh-CN"/>
        </w:rPr>
        <w:t>5</w:t>
      </w:r>
      <w:r>
        <w:rPr>
          <w:rFonts w:hint="eastAsia" w:ascii="Times New Roman" w:hAnsi="Times New Roman" w:eastAsia="Times New Roman" w:cs="Times New Roman"/>
          <w:b/>
          <w:bCs/>
          <w:spacing w:val="-6"/>
          <w:sz w:val="24"/>
          <w:szCs w:val="24"/>
          <w:highlight w:val="none"/>
          <w:lang w:eastAsia="zh-CN"/>
        </w:rPr>
        <w:t>、</w:t>
      </w:r>
      <w:r>
        <w:rPr>
          <w:rFonts w:hint="eastAsia" w:ascii="Times New Roman" w:hAnsi="Times New Roman" w:eastAsia="Times New Roman" w:cs="Times New Roman"/>
          <w:b/>
          <w:bCs/>
          <w:spacing w:val="-6"/>
          <w:sz w:val="24"/>
          <w:szCs w:val="24"/>
          <w:highlight w:val="none"/>
          <w:lang w:val="en-US" w:eastAsia="zh-CN"/>
        </w:rPr>
        <w:t>土壤</w:t>
      </w:r>
      <w:r>
        <w:rPr>
          <w:rFonts w:ascii="Times New Roman" w:hAnsi="Times New Roman" w:eastAsia="Times New Roman" w:cs="Times New Roman"/>
          <w:b/>
          <w:bCs/>
          <w:spacing w:val="-6"/>
          <w:sz w:val="24"/>
          <w:szCs w:val="24"/>
          <w:highlight w:val="none"/>
        </w:rPr>
        <w:t>环境质量现状</w:t>
      </w:r>
    </w:p>
    <w:p w14:paraId="71369EB2">
      <w:pPr>
        <w:spacing w:line="360" w:lineRule="auto"/>
        <w:ind w:firstLine="480" w:firstLineChars="200"/>
        <w:rPr>
          <w:rFonts w:ascii="Times New Roman" w:hAnsi="Times New Roman" w:eastAsia="黑体" w:cs="Times New Roman"/>
          <w:color w:val="auto"/>
          <w:sz w:val="28"/>
          <w:szCs w:val="28"/>
          <w:highlight w:val="none"/>
        </w:rPr>
      </w:pPr>
      <w:r>
        <w:rPr>
          <w:rFonts w:hint="eastAsia" w:ascii="Times New Roman" w:hAnsi="Times New Roman" w:eastAsia="宋体" w:cs="Times New Roman"/>
          <w:b w:val="0"/>
          <w:bCs w:val="0"/>
          <w:kern w:val="0"/>
          <w:sz w:val="24"/>
          <w:szCs w:val="24"/>
          <w:highlight w:val="none"/>
          <w:vertAlign w:val="baseline"/>
          <w:lang w:val="en-US" w:eastAsia="zh-CN" w:bidi="ar-SA"/>
        </w:rPr>
        <w:t>根据监测结果可知，</w:t>
      </w:r>
      <w:r>
        <w:rPr>
          <w:rFonts w:hint="default" w:ascii="Times New Roman" w:hAnsi="Times New Roman" w:eastAsia="宋体" w:cs="Times New Roman"/>
          <w:b w:val="0"/>
          <w:bCs w:val="0"/>
          <w:kern w:val="0"/>
          <w:sz w:val="24"/>
          <w:szCs w:val="24"/>
          <w:highlight w:val="none"/>
          <w:vertAlign w:val="baseline"/>
          <w:lang w:val="en-US" w:eastAsia="zh-CN" w:bidi="ar-SA"/>
        </w:rPr>
        <w:t>项目所在地监测点位 T1-T</w:t>
      </w:r>
      <w:r>
        <w:rPr>
          <w:rFonts w:hint="eastAsia" w:ascii="Times New Roman" w:hAnsi="Times New Roman" w:eastAsia="宋体" w:cs="Times New Roman"/>
          <w:b w:val="0"/>
          <w:bCs w:val="0"/>
          <w:kern w:val="0"/>
          <w:sz w:val="24"/>
          <w:szCs w:val="24"/>
          <w:highlight w:val="none"/>
          <w:vertAlign w:val="baseline"/>
          <w:lang w:val="en-US" w:eastAsia="zh-CN" w:bidi="ar-SA"/>
        </w:rPr>
        <w:t>4</w:t>
      </w:r>
      <w:r>
        <w:rPr>
          <w:rFonts w:hint="default" w:ascii="Times New Roman" w:hAnsi="Times New Roman" w:eastAsia="宋体" w:cs="Times New Roman"/>
          <w:b w:val="0"/>
          <w:bCs w:val="0"/>
          <w:kern w:val="0"/>
          <w:sz w:val="24"/>
          <w:szCs w:val="24"/>
          <w:highlight w:val="none"/>
          <w:vertAlign w:val="baseline"/>
          <w:lang w:val="en-US" w:eastAsia="zh-CN" w:bidi="ar-SA"/>
        </w:rPr>
        <w:t xml:space="preserve"> 各监测因子均达到</w:t>
      </w:r>
      <w:r>
        <w:rPr>
          <w:rFonts w:hint="eastAsia" w:ascii="Times New Roman" w:hAnsi="Times New Roman" w:eastAsia="宋体" w:cs="Times New Roman"/>
          <w:b w:val="0"/>
          <w:bCs w:val="0"/>
          <w:kern w:val="0"/>
          <w:sz w:val="24"/>
          <w:szCs w:val="24"/>
          <w:highlight w:val="none"/>
          <w:vertAlign w:val="baseline"/>
          <w:lang w:val="en-US" w:eastAsia="zh-CN" w:bidi="ar-SA"/>
        </w:rPr>
        <w:t>《土壤环境质量建设用地土壤污染风险管控标准（试行）（GB36600-2018）</w:t>
      </w:r>
      <w:r>
        <w:rPr>
          <w:rFonts w:hint="default" w:ascii="Times New Roman" w:hAnsi="Times New Roman" w:eastAsia="宋体" w:cs="Times New Roman"/>
          <w:b w:val="0"/>
          <w:bCs w:val="0"/>
          <w:kern w:val="0"/>
          <w:sz w:val="24"/>
          <w:szCs w:val="24"/>
          <w:highlight w:val="none"/>
          <w:vertAlign w:val="baseline"/>
          <w:lang w:val="en-US" w:eastAsia="zh-CN" w:bidi="ar-SA"/>
        </w:rPr>
        <w:t>第</w:t>
      </w:r>
      <w:r>
        <w:rPr>
          <w:rFonts w:hint="eastAsia" w:ascii="Times New Roman" w:hAnsi="Times New Roman" w:eastAsia="宋体" w:cs="Times New Roman"/>
          <w:b w:val="0"/>
          <w:bCs w:val="0"/>
          <w:kern w:val="0"/>
          <w:sz w:val="24"/>
          <w:szCs w:val="24"/>
          <w:highlight w:val="none"/>
          <w:vertAlign w:val="baseline"/>
          <w:lang w:val="en-US" w:eastAsia="zh-CN" w:bidi="ar-SA"/>
        </w:rPr>
        <w:t>二</w:t>
      </w:r>
      <w:r>
        <w:rPr>
          <w:rFonts w:hint="default" w:ascii="Times New Roman" w:hAnsi="Times New Roman" w:eastAsia="宋体" w:cs="Times New Roman"/>
          <w:b w:val="0"/>
          <w:bCs w:val="0"/>
          <w:kern w:val="0"/>
          <w:sz w:val="24"/>
          <w:szCs w:val="24"/>
          <w:highlight w:val="none"/>
          <w:vertAlign w:val="baseline"/>
          <w:lang w:val="en-US" w:eastAsia="zh-CN" w:bidi="ar-SA"/>
        </w:rPr>
        <w:t>类用地筛选值标准；项目所在地区域农用地监测点位</w:t>
      </w:r>
      <w:r>
        <w:rPr>
          <w:rFonts w:hint="eastAsia" w:ascii="Times New Roman" w:hAnsi="Times New Roman" w:eastAsia="宋体" w:cs="Times New Roman"/>
          <w:b w:val="0"/>
          <w:bCs w:val="0"/>
          <w:kern w:val="0"/>
          <w:sz w:val="24"/>
          <w:szCs w:val="24"/>
          <w:highlight w:val="none"/>
          <w:vertAlign w:val="baseline"/>
          <w:lang w:val="en-US" w:eastAsia="zh-CN" w:bidi="ar-SA"/>
        </w:rPr>
        <w:t>T5、T6</w:t>
      </w:r>
      <w:r>
        <w:rPr>
          <w:rFonts w:hint="default" w:ascii="Times New Roman" w:hAnsi="Times New Roman" w:eastAsia="宋体" w:cs="Times New Roman"/>
          <w:b w:val="0"/>
          <w:bCs w:val="0"/>
          <w:kern w:val="0"/>
          <w:sz w:val="24"/>
          <w:szCs w:val="24"/>
          <w:highlight w:val="none"/>
          <w:vertAlign w:val="baseline"/>
          <w:lang w:val="en-US" w:eastAsia="zh-CN" w:bidi="ar-SA"/>
        </w:rPr>
        <w:t>各监测因子均达到 《土壤环境质量 农用地土壤污染风险管控标准（试行）》（GB15618-2018）风险筛选值中其他的标准限值。</w:t>
      </w:r>
    </w:p>
    <w:p w14:paraId="7E7443D2">
      <w:pPr>
        <w:pStyle w:val="7"/>
        <w:bidi w:val="0"/>
        <w:rPr>
          <w:highlight w:val="none"/>
        </w:rPr>
      </w:pPr>
      <w:bookmarkStart w:id="287" w:name="_Toc19264"/>
      <w:r>
        <w:rPr>
          <w:highlight w:val="none"/>
        </w:rPr>
        <w:t>11.1.</w:t>
      </w:r>
      <w:r>
        <w:rPr>
          <w:rFonts w:hint="eastAsia"/>
          <w:highlight w:val="none"/>
          <w:lang w:val="en-US" w:eastAsia="zh-CN"/>
        </w:rPr>
        <w:t>3</w:t>
      </w:r>
      <w:r>
        <w:rPr>
          <w:highlight w:val="none"/>
        </w:rPr>
        <w:t>环境影响评价结论</w:t>
      </w:r>
      <w:bookmarkEnd w:id="287"/>
    </w:p>
    <w:p w14:paraId="697F9075">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Times New Roman" w:cs="Times New Roman"/>
          <w:b/>
          <w:bCs/>
          <w:spacing w:val="-6"/>
          <w:sz w:val="24"/>
          <w:szCs w:val="24"/>
          <w:highlight w:val="none"/>
          <w:lang w:val="en-US" w:eastAsia="zh-CN"/>
        </w:rPr>
      </w:pPr>
      <w:r>
        <w:rPr>
          <w:rFonts w:hint="eastAsia" w:ascii="Times New Roman" w:hAnsi="Times New Roman" w:eastAsia="Times New Roman" w:cs="Times New Roman"/>
          <w:b/>
          <w:bCs/>
          <w:spacing w:val="-6"/>
          <w:sz w:val="24"/>
          <w:szCs w:val="24"/>
          <w:highlight w:val="none"/>
          <w:lang w:val="en-US" w:eastAsia="zh-CN"/>
        </w:rPr>
        <w:t>1 、环境空气影响预测分析</w:t>
      </w:r>
    </w:p>
    <w:p w14:paraId="49EE3652">
      <w:pPr>
        <w:pStyle w:val="50"/>
        <w:rPr>
          <w:rFonts w:ascii="Times New Roman" w:hAnsi="Times New Roman" w:eastAsia="宋体" w:cs="Times New Roman"/>
          <w:color w:val="auto"/>
          <w:highlight w:val="none"/>
          <w:u w:val="none" w:color="auto"/>
          <w:lang w:eastAsia="zh-CN"/>
        </w:rPr>
      </w:pPr>
      <w:r>
        <w:rPr>
          <w:rFonts w:hint="eastAsia" w:ascii="Times New Roman" w:hAnsi="Times New Roman" w:eastAsia="宋体" w:cs="Times New Roman"/>
          <w:color w:val="auto"/>
          <w:highlight w:val="none"/>
          <w:u w:val="none" w:color="auto"/>
          <w:lang w:eastAsia="zh-CN"/>
        </w:rPr>
        <w:t>本项目</w:t>
      </w:r>
      <w:r>
        <w:rPr>
          <w:rFonts w:hint="eastAsia" w:ascii="Times New Roman" w:hAnsi="Times New Roman" w:cs="Times New Roman"/>
          <w:color w:val="auto"/>
          <w:highlight w:val="none"/>
          <w:u w:val="none" w:color="auto"/>
          <w:lang w:val="en-US" w:eastAsia="zh-CN"/>
        </w:rPr>
        <w:t>经大气预测估算模式预测</w:t>
      </w:r>
      <w:r>
        <w:rPr>
          <w:rFonts w:hint="eastAsia" w:ascii="Times New Roman" w:hAnsi="Times New Roman" w:eastAsia="宋体" w:cs="Times New Roman"/>
          <w:color w:val="auto"/>
          <w:highlight w:val="none"/>
          <w:u w:val="none" w:color="auto"/>
          <w:lang w:eastAsia="zh-CN"/>
        </w:rPr>
        <w:t>评价等级为</w:t>
      </w:r>
      <w:r>
        <w:rPr>
          <w:rFonts w:hint="eastAsia" w:ascii="Times New Roman" w:hAnsi="Times New Roman" w:cs="Times New Roman"/>
          <w:color w:val="auto"/>
          <w:highlight w:val="none"/>
          <w:u w:val="none" w:color="auto"/>
          <w:lang w:val="en-US" w:eastAsia="zh-CN"/>
        </w:rPr>
        <w:t>二</w:t>
      </w:r>
      <w:r>
        <w:rPr>
          <w:rFonts w:hint="eastAsia" w:ascii="Times New Roman" w:hAnsi="Times New Roman" w:eastAsia="宋体" w:cs="Times New Roman"/>
          <w:b w:val="0"/>
          <w:bCs w:val="0"/>
          <w:kern w:val="0"/>
          <w:sz w:val="24"/>
          <w:szCs w:val="24"/>
          <w:highlight w:val="none"/>
          <w:u w:val="none"/>
          <w:vertAlign w:val="baseline"/>
          <w:lang w:val="en-US" w:eastAsia="zh-CN" w:bidi="ar-SA"/>
        </w:rPr>
        <w:t xml:space="preserve">级，本项目最大占标率 Pmax 为 </w:t>
      </w:r>
      <w:r>
        <w:rPr>
          <w:rFonts w:hint="eastAsia" w:ascii="Times New Roman" w:hAnsi="Times New Roman" w:cs="Times New Roman"/>
          <w:b w:val="0"/>
          <w:bCs w:val="0"/>
          <w:kern w:val="0"/>
          <w:sz w:val="24"/>
          <w:szCs w:val="24"/>
          <w:highlight w:val="none"/>
          <w:u w:val="none"/>
          <w:vertAlign w:val="baseline"/>
          <w:lang w:val="en-US" w:eastAsia="zh-CN" w:bidi="ar-SA"/>
        </w:rPr>
        <w:t>1.62</w:t>
      </w:r>
      <w:r>
        <w:rPr>
          <w:rFonts w:hint="eastAsia" w:ascii="Times New Roman" w:hAnsi="Times New Roman" w:eastAsia="宋体" w:cs="Times New Roman"/>
          <w:b w:val="0"/>
          <w:bCs w:val="0"/>
          <w:kern w:val="0"/>
          <w:sz w:val="24"/>
          <w:szCs w:val="24"/>
          <w:highlight w:val="none"/>
          <w:u w:val="none"/>
          <w:vertAlign w:val="baseline"/>
          <w:lang w:val="en-US" w:eastAsia="zh-CN" w:bidi="ar-SA"/>
        </w:rPr>
        <w:t>%＜1</w:t>
      </w:r>
      <w:r>
        <w:rPr>
          <w:rFonts w:hint="eastAsia" w:ascii="Times New Roman" w:hAnsi="Times New Roman" w:cs="Times New Roman"/>
          <w:b w:val="0"/>
          <w:bCs w:val="0"/>
          <w:kern w:val="0"/>
          <w:sz w:val="24"/>
          <w:szCs w:val="24"/>
          <w:highlight w:val="none"/>
          <w:u w:val="none"/>
          <w:vertAlign w:val="baseline"/>
          <w:lang w:val="en-US" w:eastAsia="zh-CN" w:bidi="ar-SA"/>
        </w:rPr>
        <w:t>0</w:t>
      </w:r>
      <w:r>
        <w:rPr>
          <w:rFonts w:hint="eastAsia" w:ascii="Times New Roman" w:hAnsi="Times New Roman" w:eastAsia="宋体" w:cs="Times New Roman"/>
          <w:b w:val="0"/>
          <w:bCs w:val="0"/>
          <w:kern w:val="0"/>
          <w:sz w:val="24"/>
          <w:szCs w:val="24"/>
          <w:highlight w:val="none"/>
          <w:u w:val="none"/>
          <w:vertAlign w:val="baseline"/>
          <w:lang w:val="en-US" w:eastAsia="zh-CN" w:bidi="ar-SA"/>
        </w:rPr>
        <w:t>%。项目运营期废气主要废气污染物为VOCs和颗粒物。经预测项目产生的废气最大落地浓度均能达到评价标准的要求，对周围环境的影响较小。</w:t>
      </w:r>
      <w:r>
        <w:rPr>
          <w:rFonts w:hint="default" w:ascii="Times New Roman" w:hAnsi="Times New Roman" w:eastAsia="宋体" w:cs="Times New Roman"/>
          <w:color w:val="auto"/>
          <w:sz w:val="24"/>
          <w:szCs w:val="24"/>
          <w:highlight w:val="none"/>
          <w:u w:val="none" w:color="auto"/>
        </w:rPr>
        <w:t>由于短期浓度无超标，</w:t>
      </w:r>
      <w:r>
        <w:rPr>
          <w:rFonts w:hint="eastAsia" w:ascii="Times New Roman" w:hAnsi="Times New Roman" w:cs="Times New Roman"/>
          <w:b w:val="0"/>
          <w:bCs w:val="0"/>
          <w:kern w:val="0"/>
          <w:sz w:val="24"/>
          <w:szCs w:val="24"/>
          <w:highlight w:val="none"/>
          <w:u w:val="none"/>
          <w:vertAlign w:val="baseline"/>
          <w:lang w:val="en-US" w:eastAsia="zh-CN" w:bidi="ar-SA"/>
        </w:rPr>
        <w:t>本项目</w:t>
      </w:r>
      <w:r>
        <w:rPr>
          <w:rFonts w:ascii="Times New Roman" w:hAnsi="Times New Roman" w:eastAsia="宋体" w:cs="Times New Roman"/>
          <w:color w:val="auto"/>
          <w:highlight w:val="none"/>
          <w:u w:val="none" w:color="auto"/>
          <w:lang w:eastAsia="zh-CN"/>
        </w:rPr>
        <w:t>无需设置大气环境防护区域。</w:t>
      </w:r>
    </w:p>
    <w:p w14:paraId="07217054">
      <w:pPr>
        <w:spacing w:line="360" w:lineRule="auto"/>
        <w:ind w:firstLine="480" w:firstLineChars="200"/>
        <w:rPr>
          <w:rFonts w:hint="eastAsia"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sz w:val="24"/>
          <w:szCs w:val="24"/>
          <w:highlight w:val="none"/>
          <w:u w:val="none" w:color="auto"/>
        </w:rPr>
        <w:t>因此，本次大气环境影响预测认为项目建设后公司排放主要废气污染源对区域空气环境影响在可接受范围内。</w:t>
      </w:r>
    </w:p>
    <w:p w14:paraId="00DA1EB7">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Times New Roman" w:cs="Times New Roman"/>
          <w:b/>
          <w:bCs/>
          <w:spacing w:val="-6"/>
          <w:sz w:val="24"/>
          <w:szCs w:val="24"/>
          <w:highlight w:val="none"/>
          <w:lang w:val="en-US" w:eastAsia="zh-CN"/>
        </w:rPr>
      </w:pPr>
      <w:r>
        <w:rPr>
          <w:rFonts w:hint="eastAsia" w:ascii="Times New Roman" w:hAnsi="Times New Roman" w:eastAsia="Times New Roman" w:cs="Times New Roman"/>
          <w:b/>
          <w:bCs/>
          <w:spacing w:val="-6"/>
          <w:sz w:val="24"/>
          <w:szCs w:val="24"/>
          <w:highlight w:val="none"/>
          <w:lang w:val="en-US" w:eastAsia="zh-CN"/>
        </w:rPr>
        <w:t>2 、地表水环境影响预测分析结论</w:t>
      </w:r>
    </w:p>
    <w:p w14:paraId="5A85BA9F">
      <w:pPr>
        <w:pStyle w:val="50"/>
        <w:rPr>
          <w:rFonts w:hint="eastAsia" w:ascii="Times New Roman" w:hAnsi="Times New Roman" w:eastAsia="宋体" w:cs="Times New Roman"/>
          <w:b w:val="0"/>
          <w:bCs w:val="0"/>
          <w:kern w:val="0"/>
          <w:sz w:val="24"/>
          <w:szCs w:val="24"/>
          <w:highlight w:val="none"/>
          <w:u w:val="none"/>
          <w:vertAlign w:val="baseline"/>
          <w:lang w:val="en-US" w:eastAsia="zh-CN" w:bidi="ar-SA"/>
        </w:rPr>
      </w:pPr>
      <w:r>
        <w:rPr>
          <w:rFonts w:hint="eastAsia" w:ascii="Times New Roman" w:hAnsi="Times New Roman" w:eastAsia="宋体" w:cs="Times New Roman"/>
          <w:b w:val="0"/>
          <w:bCs w:val="0"/>
          <w:kern w:val="0"/>
          <w:sz w:val="24"/>
          <w:szCs w:val="24"/>
          <w:highlight w:val="none"/>
          <w:u w:val="none"/>
          <w:vertAlign w:val="baseline"/>
          <w:lang w:val="en-US" w:eastAsia="zh-CN" w:bidi="ar-SA"/>
        </w:rPr>
        <w:t>项目地表水环境评价等级为三级 B 。冷却水循环利用不外排，设备搅拌罐清洗水回用于生产不外排，生产用水全部进入产品。地面清洁废水经沉淀池沉淀后同纯水制备浓水一起进入园区污水管网，生活污水依托园区创新创业基地</w:t>
      </w:r>
      <w:r>
        <w:rPr>
          <w:rFonts w:hint="eastAsia" w:ascii="Times New Roman" w:hAnsi="Times New Roman" w:cs="Times New Roman"/>
          <w:b w:val="0"/>
          <w:bCs w:val="0"/>
          <w:kern w:val="0"/>
          <w:sz w:val="24"/>
          <w:szCs w:val="24"/>
          <w:highlight w:val="none"/>
          <w:u w:val="none"/>
          <w:vertAlign w:val="baseline"/>
          <w:lang w:val="en-US" w:eastAsia="zh-CN" w:bidi="ar-SA"/>
        </w:rPr>
        <w:t>的</w:t>
      </w:r>
      <w:r>
        <w:rPr>
          <w:rFonts w:hint="eastAsia" w:ascii="Times New Roman" w:hAnsi="Times New Roman" w:eastAsia="宋体" w:cs="Times New Roman"/>
          <w:b w:val="0"/>
          <w:bCs w:val="0"/>
          <w:kern w:val="0"/>
          <w:sz w:val="24"/>
          <w:szCs w:val="24"/>
          <w:highlight w:val="none"/>
          <w:u w:val="none"/>
          <w:vertAlign w:val="baseline"/>
          <w:lang w:val="en-US" w:eastAsia="zh-CN" w:bidi="ar-SA"/>
        </w:rPr>
        <w:t>隔油池</w:t>
      </w:r>
      <w:r>
        <w:rPr>
          <w:rFonts w:hint="eastAsia" w:ascii="Times New Roman" w:hAnsi="Times New Roman" w:cs="Times New Roman"/>
          <w:b w:val="0"/>
          <w:bCs w:val="0"/>
          <w:kern w:val="0"/>
          <w:sz w:val="24"/>
          <w:szCs w:val="24"/>
          <w:highlight w:val="none"/>
          <w:u w:val="none"/>
          <w:vertAlign w:val="baseline"/>
          <w:lang w:val="en-US" w:eastAsia="zh-CN" w:bidi="ar-SA"/>
        </w:rPr>
        <w:t>及</w:t>
      </w:r>
      <w:r>
        <w:rPr>
          <w:rFonts w:hint="eastAsia" w:ascii="Times New Roman" w:hAnsi="Times New Roman" w:eastAsia="宋体" w:cs="Times New Roman"/>
          <w:b w:val="0"/>
          <w:bCs w:val="0"/>
          <w:kern w:val="0"/>
          <w:sz w:val="24"/>
          <w:szCs w:val="24"/>
          <w:highlight w:val="none"/>
          <w:u w:val="none"/>
          <w:vertAlign w:val="baseline"/>
          <w:lang w:val="en-US" w:eastAsia="zh-CN" w:bidi="ar-SA"/>
        </w:rPr>
        <w:t>化粪池预处理后达到《污水综合排放标准》（GB16297-1996）表 4的三级标准后及污水处理厂进水水质标准，排入园区污水管网，进入岳阳高新技术产业园区污水处理厂处理达标后排入新墙河。经采取上述措施后，废水的处理措施有效可行，依托的污水处理设施可行，项目废水排放对地表水环境影响可以接受。</w:t>
      </w:r>
    </w:p>
    <w:p w14:paraId="52BB0266">
      <w:pPr>
        <w:pStyle w:val="50"/>
        <w:rPr>
          <w:rFonts w:hint="eastAsia" w:ascii="Times New Roman" w:hAnsi="Times New Roman" w:eastAsia="宋体" w:cs="Times New Roman"/>
          <w:b w:val="0"/>
          <w:bCs w:val="0"/>
          <w:kern w:val="0"/>
          <w:sz w:val="24"/>
          <w:szCs w:val="24"/>
          <w:highlight w:val="none"/>
          <w:u w:val="none"/>
          <w:vertAlign w:val="baseline"/>
          <w:lang w:val="en-US" w:eastAsia="zh-CN" w:bidi="ar-SA"/>
        </w:rPr>
      </w:pPr>
      <w:r>
        <w:rPr>
          <w:rFonts w:hint="default" w:ascii="Times New Roman" w:hAnsi="Times New Roman" w:eastAsia="宋体" w:cs="Times New Roman"/>
          <w:b w:val="0"/>
          <w:bCs w:val="0"/>
          <w:kern w:val="0"/>
          <w:sz w:val="24"/>
          <w:szCs w:val="24"/>
          <w:highlight w:val="none"/>
          <w:u w:val="none"/>
          <w:vertAlign w:val="baseline"/>
          <w:lang w:val="en-US" w:eastAsia="zh-CN" w:bidi="ar-SA"/>
        </w:rPr>
        <w:t>园区排水设计为“雨污分流”、“清污分流”系统。雨水经</w:t>
      </w:r>
      <w:r>
        <w:rPr>
          <w:rFonts w:hint="eastAsia" w:ascii="Times New Roman" w:hAnsi="Times New Roman" w:eastAsia="宋体" w:cs="Times New Roman"/>
          <w:b w:val="0"/>
          <w:bCs w:val="0"/>
          <w:kern w:val="0"/>
          <w:sz w:val="24"/>
          <w:szCs w:val="24"/>
          <w:highlight w:val="none"/>
          <w:u w:val="none"/>
          <w:vertAlign w:val="baseline"/>
          <w:lang w:val="en-US" w:eastAsia="zh-CN" w:bidi="ar-SA"/>
        </w:rPr>
        <w:t>园区</w:t>
      </w:r>
      <w:r>
        <w:rPr>
          <w:rFonts w:hint="default" w:ascii="Times New Roman" w:hAnsi="Times New Roman" w:eastAsia="宋体" w:cs="Times New Roman"/>
          <w:b w:val="0"/>
          <w:bCs w:val="0"/>
          <w:kern w:val="0"/>
          <w:sz w:val="24"/>
          <w:szCs w:val="24"/>
          <w:highlight w:val="none"/>
          <w:u w:val="none"/>
          <w:vertAlign w:val="baseline"/>
          <w:lang w:val="en-US" w:eastAsia="zh-CN" w:bidi="ar-SA"/>
        </w:rPr>
        <w:t>雨水管网收集排入</w:t>
      </w:r>
      <w:r>
        <w:rPr>
          <w:rFonts w:hint="eastAsia" w:ascii="Times New Roman" w:hAnsi="Times New Roman" w:eastAsia="宋体" w:cs="Times New Roman"/>
          <w:b w:val="0"/>
          <w:bCs w:val="0"/>
          <w:kern w:val="0"/>
          <w:sz w:val="24"/>
          <w:szCs w:val="24"/>
          <w:highlight w:val="none"/>
          <w:u w:val="none"/>
          <w:vertAlign w:val="baseline"/>
          <w:lang w:val="en-US" w:eastAsia="zh-CN" w:bidi="ar-SA"/>
        </w:rPr>
        <w:t>最终</w:t>
      </w:r>
      <w:r>
        <w:rPr>
          <w:rFonts w:hint="default" w:ascii="Times New Roman" w:hAnsi="Times New Roman" w:eastAsia="宋体" w:cs="Times New Roman"/>
          <w:b w:val="0"/>
          <w:bCs w:val="0"/>
          <w:kern w:val="0"/>
          <w:sz w:val="24"/>
          <w:szCs w:val="24"/>
          <w:highlight w:val="none"/>
          <w:u w:val="none"/>
          <w:vertAlign w:val="baseline"/>
          <w:lang w:val="en-US" w:eastAsia="zh-CN" w:bidi="ar-SA"/>
        </w:rPr>
        <w:t>排入新墙河。</w:t>
      </w:r>
    </w:p>
    <w:p w14:paraId="6290B3E6">
      <w:pPr>
        <w:pStyle w:val="50"/>
        <w:rPr>
          <w:rFonts w:hint="eastAsia" w:ascii="Times New Roman" w:hAnsi="Times New Roman" w:eastAsia="Times New Roman" w:cs="Times New Roman"/>
          <w:b/>
          <w:bCs/>
          <w:spacing w:val="-6"/>
          <w:sz w:val="24"/>
          <w:szCs w:val="24"/>
          <w:highlight w:val="none"/>
          <w:lang w:val="en-US" w:eastAsia="zh-CN"/>
        </w:rPr>
      </w:pPr>
      <w:r>
        <w:rPr>
          <w:rFonts w:hint="default" w:ascii="Times New Roman" w:hAnsi="Times New Roman" w:eastAsia="宋体" w:cs="Times New Roman"/>
          <w:b w:val="0"/>
          <w:bCs w:val="0"/>
          <w:kern w:val="0"/>
          <w:sz w:val="24"/>
          <w:szCs w:val="24"/>
          <w:highlight w:val="none"/>
          <w:u w:val="none"/>
          <w:vertAlign w:val="baseline"/>
          <w:lang w:val="en-US" w:eastAsia="zh-CN" w:bidi="ar-SA"/>
        </w:rPr>
        <w:t>可知本项目营运期对周边地表水水环境影响较小。</w:t>
      </w:r>
    </w:p>
    <w:p w14:paraId="7237ACFA">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Times New Roman" w:cs="Times New Roman"/>
          <w:b/>
          <w:bCs/>
          <w:spacing w:val="-6"/>
          <w:sz w:val="24"/>
          <w:szCs w:val="24"/>
          <w:highlight w:val="none"/>
          <w:lang w:val="en-US" w:eastAsia="zh-CN"/>
        </w:rPr>
      </w:pPr>
      <w:r>
        <w:rPr>
          <w:rFonts w:hint="eastAsia" w:ascii="Times New Roman" w:hAnsi="Times New Roman" w:eastAsia="Times New Roman" w:cs="Times New Roman"/>
          <w:b/>
          <w:bCs/>
          <w:spacing w:val="-6"/>
          <w:sz w:val="24"/>
          <w:szCs w:val="24"/>
          <w:highlight w:val="none"/>
          <w:lang w:val="en-US" w:eastAsia="zh-CN"/>
        </w:rPr>
        <w:t>3 、地下水环境影响预测分析结论</w:t>
      </w:r>
    </w:p>
    <w:p w14:paraId="4ABDE9AD">
      <w:pPr>
        <w:keepNext w:val="0"/>
        <w:keepLines w:val="0"/>
        <w:widowControl/>
        <w:suppressLineNumbers w:val="0"/>
        <w:jc w:val="left"/>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本项目地下水环境影响评价工作等级属于二级</w:t>
      </w:r>
      <w:r>
        <w:rPr>
          <w:rFonts w:hint="eastAsia"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由污染途径及对应措施分析可知，工程对可能产生地下水影响的各项途径均进行了有效预防，在确保各项防渗措施得以落实，并加强维护和厂区环境管理的前提下，可有效控制厂区内的废水污染物下渗现象，避免污染地下水，因此拟建工程基本不会对区域地下水环境产生明显影响。</w:t>
      </w:r>
    </w:p>
    <w:p w14:paraId="033FFF18">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Times New Roman" w:cs="Times New Roman"/>
          <w:b/>
          <w:bCs/>
          <w:spacing w:val="-6"/>
          <w:sz w:val="24"/>
          <w:szCs w:val="24"/>
          <w:highlight w:val="none"/>
          <w:lang w:val="en-US" w:eastAsia="zh-CN"/>
        </w:rPr>
      </w:pPr>
      <w:r>
        <w:rPr>
          <w:rFonts w:hint="eastAsia" w:ascii="Times New Roman" w:hAnsi="Times New Roman" w:eastAsia="Times New Roman" w:cs="Times New Roman"/>
          <w:b/>
          <w:bCs/>
          <w:spacing w:val="-6"/>
          <w:sz w:val="24"/>
          <w:szCs w:val="24"/>
          <w:highlight w:val="none"/>
          <w:lang w:val="en-US" w:eastAsia="zh-CN"/>
        </w:rPr>
        <w:t>4 、声环境影响预测分析结论</w:t>
      </w:r>
    </w:p>
    <w:p w14:paraId="6CBE5F6A">
      <w:pPr>
        <w:keepNext w:val="0"/>
        <w:keepLines w:val="0"/>
        <w:widowControl/>
        <w:suppressLineNumbers w:val="0"/>
        <w:jc w:val="left"/>
        <w:rPr>
          <w:rFonts w:hint="eastAsia" w:ascii="Times New Roman" w:hAnsi="Times New Roman" w:eastAsia="Times New Roman" w:cs="Times New Roman"/>
          <w:b/>
          <w:bCs/>
          <w:spacing w:val="-6"/>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本工程噪声环境影响评价工作等级确定为三级</w:t>
      </w:r>
      <w:r>
        <w:rPr>
          <w:rFonts w:hint="eastAsia"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本项目建成投产后，夜间不生产。</w:t>
      </w:r>
      <w:r>
        <w:rPr>
          <w:rFonts w:ascii="宋体" w:hAnsi="宋体" w:eastAsia="宋体" w:cs="宋体"/>
          <w:spacing w:val="-3"/>
          <w:sz w:val="24"/>
          <w:szCs w:val="24"/>
          <w:highlight w:val="none"/>
        </w:rPr>
        <w:t>经隔声、消声、减振及距离衰减等措施后，</w:t>
      </w:r>
      <w:r>
        <w:rPr>
          <w:rFonts w:hint="default" w:ascii="Times New Roman" w:hAnsi="Times New Roman" w:eastAsia="宋体" w:cs="Times New Roman"/>
          <w:color w:val="000000"/>
          <w:kern w:val="0"/>
          <w:sz w:val="24"/>
          <w:szCs w:val="24"/>
          <w:highlight w:val="none"/>
          <w:lang w:val="en-US" w:eastAsia="zh-CN" w:bidi="ar"/>
        </w:rPr>
        <w:t>营运期东厂界、北厂界、南厂界</w:t>
      </w:r>
      <w:r>
        <w:rPr>
          <w:rFonts w:ascii="宋体" w:hAnsi="宋体" w:eastAsia="宋体" w:cs="宋体"/>
          <w:spacing w:val="-3"/>
          <w:sz w:val="24"/>
          <w:szCs w:val="24"/>
          <w:highlight w:val="none"/>
        </w:rPr>
        <w:t>昼间预测值</w:t>
      </w:r>
      <w:r>
        <w:rPr>
          <w:rFonts w:ascii="宋体" w:hAnsi="宋体" w:eastAsia="宋体" w:cs="宋体"/>
          <w:spacing w:val="-4"/>
          <w:sz w:val="24"/>
          <w:szCs w:val="24"/>
          <w:highlight w:val="none"/>
        </w:rPr>
        <w:t>均满足</w:t>
      </w:r>
      <w:r>
        <w:rPr>
          <w:rFonts w:hint="default" w:ascii="Times New Roman" w:hAnsi="Times New Roman" w:eastAsia="宋体" w:cs="Times New Roman"/>
          <w:color w:val="000000"/>
          <w:kern w:val="0"/>
          <w:sz w:val="24"/>
          <w:szCs w:val="24"/>
          <w:highlight w:val="none"/>
          <w:lang w:val="en-US" w:eastAsia="zh-CN" w:bidi="ar"/>
        </w:rPr>
        <w:t>《工业企业厂界环境噪声排放标准》（GB12348-2008）中的3 类区标准</w:t>
      </w:r>
      <w:r>
        <w:rPr>
          <w:rFonts w:hint="eastAsia" w:ascii="Times New Roman" w:hAnsi="Times New Roman" w:eastAsia="宋体"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西厂界靠近二级公路和武广高铁铁路干线，因此西厂界</w:t>
      </w:r>
      <w:r>
        <w:rPr>
          <w:rFonts w:ascii="宋体" w:hAnsi="宋体" w:eastAsia="宋体" w:cs="宋体"/>
          <w:spacing w:val="-3"/>
          <w:sz w:val="24"/>
          <w:szCs w:val="24"/>
          <w:highlight w:val="none"/>
        </w:rPr>
        <w:t>昼间预测值</w:t>
      </w:r>
      <w:r>
        <w:rPr>
          <w:rFonts w:ascii="宋体" w:hAnsi="宋体" w:eastAsia="宋体" w:cs="宋体"/>
          <w:spacing w:val="-4"/>
          <w:sz w:val="24"/>
          <w:szCs w:val="24"/>
          <w:highlight w:val="none"/>
        </w:rPr>
        <w:t>均满足</w:t>
      </w:r>
      <w:r>
        <w:rPr>
          <w:rFonts w:hint="default" w:ascii="Times New Roman" w:hAnsi="Times New Roman" w:eastAsia="宋体" w:cs="Times New Roman"/>
          <w:color w:val="000000"/>
          <w:kern w:val="0"/>
          <w:sz w:val="24"/>
          <w:szCs w:val="24"/>
          <w:highlight w:val="none"/>
          <w:lang w:val="en-US" w:eastAsia="zh-CN" w:bidi="ar"/>
        </w:rPr>
        <w:t>《工业企业厂界环境噪声排放标准》（GB12348-2008）中的4 类区标准；声环境敏感目标</w:t>
      </w:r>
      <w:r>
        <w:rPr>
          <w:rFonts w:ascii="宋体" w:hAnsi="宋体" w:eastAsia="宋体" w:cs="宋体"/>
          <w:spacing w:val="-3"/>
          <w:sz w:val="24"/>
          <w:szCs w:val="24"/>
          <w:highlight w:val="none"/>
        </w:rPr>
        <w:t>昼间预测值</w:t>
      </w:r>
      <w:r>
        <w:rPr>
          <w:rFonts w:hint="default" w:ascii="Times New Roman" w:hAnsi="Times New Roman" w:eastAsia="宋体" w:cs="Times New Roman"/>
          <w:color w:val="000000"/>
          <w:kern w:val="0"/>
          <w:sz w:val="24"/>
          <w:szCs w:val="24"/>
          <w:highlight w:val="none"/>
          <w:lang w:val="en-US" w:eastAsia="zh-CN" w:bidi="ar"/>
        </w:rPr>
        <w:t>能满足《声环境质量标准》（GB3096-2008）2 类标准。</w:t>
      </w:r>
    </w:p>
    <w:p w14:paraId="35325EC7">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Times New Roman" w:cs="Times New Roman"/>
          <w:b/>
          <w:bCs/>
          <w:spacing w:val="-6"/>
          <w:sz w:val="24"/>
          <w:szCs w:val="24"/>
          <w:highlight w:val="none"/>
          <w:lang w:val="en-US" w:eastAsia="zh-CN"/>
        </w:rPr>
      </w:pPr>
      <w:r>
        <w:rPr>
          <w:rFonts w:hint="eastAsia" w:ascii="Times New Roman" w:hAnsi="Times New Roman" w:eastAsia="Times New Roman" w:cs="Times New Roman"/>
          <w:b/>
          <w:bCs/>
          <w:spacing w:val="-6"/>
          <w:sz w:val="24"/>
          <w:szCs w:val="24"/>
          <w:highlight w:val="none"/>
          <w:lang w:val="en-US" w:eastAsia="zh-CN"/>
        </w:rPr>
        <w:t>5 、固体废弃物影响分析结论</w:t>
      </w:r>
    </w:p>
    <w:p w14:paraId="6BD4F055">
      <w:pPr>
        <w:keepNext w:val="0"/>
        <w:keepLines w:val="0"/>
        <w:widowControl/>
        <w:suppressLineNumbers w:val="0"/>
        <w:jc w:val="left"/>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项目生活垃圾收集箱集中收集后交由环卫部门处置。项目营运期产生的一般工业固体废物主要包括布袋除尘器收集粉尘、地面收集粉尘收集后返回生产线做原料；废RO膜由厂家上门更换并对其进行回收处置；废包装材料拟将其收集后交由厂家回收；实验室检验成品固废不合格的回用于工艺。危险废物包括废活性炭、废导热油、实验室废液，收集后暂存于危险废物暂存间，定期交由有资质单位处理。</w:t>
      </w:r>
    </w:p>
    <w:p w14:paraId="40724FDD">
      <w:pPr>
        <w:keepNext w:val="0"/>
        <w:keepLines w:val="0"/>
        <w:widowControl/>
        <w:suppressLineNumbers w:val="0"/>
        <w:ind w:left="0" w:leftChars="0" w:firstLine="480" w:firstLineChars="200"/>
        <w:jc w:val="left"/>
        <w:rPr>
          <w:rFonts w:ascii="宋体" w:hAnsi="宋体" w:eastAsia="宋体" w:cs="宋体"/>
          <w:spacing w:val="-1"/>
          <w:sz w:val="24"/>
          <w:szCs w:val="24"/>
          <w:highlight w:val="none"/>
        </w:rPr>
      </w:pPr>
      <w:r>
        <w:rPr>
          <w:rFonts w:hint="eastAsia" w:ascii="宋体" w:hAnsi="宋体" w:eastAsia="宋体" w:cs="宋体"/>
          <w:color w:val="000000"/>
          <w:kern w:val="0"/>
          <w:sz w:val="24"/>
          <w:szCs w:val="24"/>
          <w:highlight w:val="none"/>
          <w:lang w:val="en-US" w:eastAsia="zh-CN" w:bidi="ar"/>
        </w:rPr>
        <w:t>本项目固体废物处置符合国家技术政策，处置要求符合国家标准。因此，企业只要对固废加强管理，及时回收或清运，项目产生的固体废弃物基本上不会对周围环境造成不利影响。</w:t>
      </w:r>
    </w:p>
    <w:p w14:paraId="73DFDBFB">
      <w:pPr>
        <w:pageBreakBefore w:val="0"/>
        <w:kinsoku/>
        <w:wordWrap/>
        <w:overflowPunct/>
        <w:topLinePunct w:val="0"/>
        <w:autoSpaceDE/>
        <w:autoSpaceDN/>
        <w:bidi w:val="0"/>
        <w:adjustRightInd/>
        <w:spacing w:afterAutospacing="0" w:line="360" w:lineRule="auto"/>
        <w:ind w:left="0" w:right="0"/>
        <w:textAlignment w:val="auto"/>
        <w:rPr>
          <w:rFonts w:hint="eastAsia" w:ascii="Times New Roman" w:hAnsi="Times New Roman" w:eastAsia="Times New Roman" w:cs="Times New Roman"/>
          <w:b/>
          <w:bCs/>
          <w:spacing w:val="-6"/>
          <w:sz w:val="24"/>
          <w:szCs w:val="24"/>
          <w:highlight w:val="none"/>
          <w:lang w:val="en-US" w:eastAsia="zh-CN"/>
        </w:rPr>
      </w:pPr>
      <w:r>
        <w:rPr>
          <w:rFonts w:hint="eastAsia" w:eastAsia="Times New Roman" w:cs="Times New Roman"/>
          <w:b/>
          <w:bCs/>
          <w:spacing w:val="-6"/>
          <w:sz w:val="24"/>
          <w:szCs w:val="24"/>
          <w:highlight w:val="none"/>
          <w:lang w:val="en-US" w:eastAsia="zh-CN"/>
        </w:rPr>
        <w:t>6</w:t>
      </w:r>
      <w:r>
        <w:rPr>
          <w:rFonts w:hint="eastAsia" w:ascii="Times New Roman" w:hAnsi="Times New Roman" w:eastAsia="Times New Roman" w:cs="Times New Roman"/>
          <w:b/>
          <w:bCs/>
          <w:spacing w:val="-6"/>
          <w:sz w:val="24"/>
          <w:szCs w:val="24"/>
          <w:highlight w:val="none"/>
          <w:lang w:val="en-US" w:eastAsia="zh-CN"/>
        </w:rPr>
        <w:t>、土壤环境影响分析结论</w:t>
      </w:r>
    </w:p>
    <w:p w14:paraId="1895CF2A">
      <w:pPr>
        <w:keepNext w:val="0"/>
        <w:keepLines w:val="0"/>
        <w:widowControl/>
        <w:suppressLineNumbers w:val="0"/>
        <w:ind w:left="0" w:leftChars="0" w:firstLine="480" w:firstLineChars="20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土壤环境影响评价等级为二级。在设定的原材料硅油发生泄漏入渗土壤的最不利情况下</w:t>
      </w:r>
      <w:r>
        <w:rPr>
          <w:rFonts w:hint="eastAsia" w:eastAsia="宋体" w:cs="Times New Roman"/>
          <w:color w:val="000000"/>
          <w:kern w:val="0"/>
          <w:sz w:val="24"/>
          <w:szCs w:val="24"/>
          <w:highlight w:val="none"/>
          <w:lang w:val="en-US" w:eastAsia="zh-CN" w:bidi="ar"/>
        </w:rPr>
        <w:t>，项目油类物质对评价范围内的土壤环境影响很小，叠加项目所在区域的现状值后仍满足《土壤环境质量建设用地土壤污染风险管控标准（试行）》（GB36600-2018)表 2 中第二类用地的筛选值要求。</w:t>
      </w:r>
    </w:p>
    <w:p w14:paraId="2032CD85">
      <w:pPr>
        <w:keepNext w:val="0"/>
        <w:keepLines w:val="0"/>
        <w:widowControl/>
        <w:suppressLineNumbers w:val="0"/>
        <w:ind w:left="0" w:leftChars="0" w:firstLine="480" w:firstLineChars="200"/>
        <w:jc w:val="left"/>
        <w:rPr>
          <w:rFonts w:hint="eastAsia" w:eastAsia="宋体"/>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因此本次评价认为，现状评价区域土壤和预测年份内土壤的环境质量符合GB36600-2018中相关要求，在落实好相关土壤防治措施的前提下，公司现有污染源不会对区域表层土壤造成明显影响，项目土壤环境影响可接受。</w:t>
      </w:r>
    </w:p>
    <w:p w14:paraId="651404EA">
      <w:pPr>
        <w:pStyle w:val="7"/>
        <w:bidi w:val="0"/>
        <w:rPr>
          <w:rFonts w:hint="default"/>
          <w:highlight w:val="none"/>
          <w:lang w:val="en-US" w:eastAsia="zh-CN"/>
        </w:rPr>
      </w:pPr>
      <w:bookmarkStart w:id="288" w:name="_Toc24580"/>
      <w:bookmarkStart w:id="289" w:name="_Toc15441"/>
      <w:bookmarkStart w:id="290" w:name="_Toc14955"/>
      <w:bookmarkStart w:id="291" w:name="_Toc7992"/>
      <w:bookmarkStart w:id="292" w:name="_Toc1890"/>
      <w:bookmarkStart w:id="293" w:name="_Toc20388430"/>
      <w:bookmarkStart w:id="294" w:name="_Toc7131"/>
      <w:r>
        <w:rPr>
          <w:highlight w:val="none"/>
        </w:rPr>
        <w:t>11.1.</w:t>
      </w:r>
      <w:r>
        <w:rPr>
          <w:rFonts w:hint="eastAsia"/>
          <w:highlight w:val="none"/>
          <w:lang w:val="en-US" w:eastAsia="zh-CN"/>
        </w:rPr>
        <w:t>4</w:t>
      </w:r>
      <w:r>
        <w:rPr>
          <w:rFonts w:hint="default"/>
          <w:highlight w:val="none"/>
          <w:lang w:val="en-US" w:eastAsia="zh-CN"/>
        </w:rPr>
        <w:t>污染防治措施结论</w:t>
      </w:r>
      <w:bookmarkEnd w:id="288"/>
      <w:bookmarkEnd w:id="289"/>
      <w:bookmarkEnd w:id="290"/>
      <w:bookmarkEnd w:id="291"/>
      <w:bookmarkEnd w:id="292"/>
      <w:bookmarkEnd w:id="293"/>
      <w:bookmarkEnd w:id="294"/>
    </w:p>
    <w:p w14:paraId="379ACC41">
      <w:pPr>
        <w:keepNext w:val="0"/>
        <w:keepLines w:val="0"/>
        <w:widowControl/>
        <w:suppressLineNumbers w:val="0"/>
        <w:ind w:left="0" w:leftChars="0" w:firstLine="472" w:firstLineChars="200"/>
        <w:jc w:val="left"/>
        <w:rPr>
          <w:rFonts w:hint="default" w:ascii="Times New Roman" w:hAnsi="Times New Roman" w:eastAsia="宋体" w:cs="Times New Roman"/>
          <w:color w:val="000000"/>
          <w:kern w:val="0"/>
          <w:sz w:val="24"/>
          <w:szCs w:val="24"/>
          <w:highlight w:val="none"/>
          <w:lang w:val="en-US" w:eastAsia="zh-CN" w:bidi="ar"/>
        </w:rPr>
      </w:pPr>
      <w:r>
        <w:rPr>
          <w:rFonts w:ascii="宋体" w:hAnsi="宋体" w:eastAsia="宋体" w:cs="宋体"/>
          <w:spacing w:val="-2"/>
          <w:sz w:val="24"/>
          <w:szCs w:val="24"/>
          <w:highlight w:val="none"/>
        </w:rPr>
        <w:t>（</w:t>
      </w:r>
      <w:r>
        <w:rPr>
          <w:rFonts w:hint="eastAsia" w:ascii="Times New Roman" w:hAnsi="Times New Roman" w:eastAsia="宋体" w:cs="Times New Roman"/>
          <w:spacing w:val="-2"/>
          <w:sz w:val="24"/>
          <w:szCs w:val="24"/>
          <w:highlight w:val="none"/>
          <w:lang w:val="en-US" w:eastAsia="zh-CN"/>
        </w:rPr>
        <w:t>1</w:t>
      </w:r>
      <w:r>
        <w:rPr>
          <w:rFonts w:ascii="宋体" w:hAnsi="宋体" w:eastAsia="宋体" w:cs="宋体"/>
          <w:spacing w:val="-2"/>
          <w:sz w:val="24"/>
          <w:szCs w:val="24"/>
          <w:highlight w:val="none"/>
        </w:rPr>
        <w:t>）</w:t>
      </w:r>
      <w:r>
        <w:rPr>
          <w:rFonts w:hint="default" w:ascii="Times New Roman" w:hAnsi="Times New Roman" w:eastAsia="宋体" w:cs="Times New Roman"/>
          <w:color w:val="000000"/>
          <w:kern w:val="0"/>
          <w:sz w:val="24"/>
          <w:szCs w:val="24"/>
          <w:highlight w:val="none"/>
          <w:lang w:val="en-US" w:eastAsia="zh-CN" w:bidi="ar"/>
        </w:rPr>
        <w:t>废气污染防治措施</w:t>
      </w:r>
    </w:p>
    <w:p w14:paraId="5AE96418">
      <w:pPr>
        <w:keepNext w:val="0"/>
        <w:keepLines w:val="0"/>
        <w:widowControl/>
        <w:suppressLineNumbers w:val="0"/>
        <w:ind w:left="0" w:leftChars="0" w:firstLine="480" w:firstLineChars="200"/>
        <w:jc w:val="left"/>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本项目助剂粉剂冷却工序有机废气治理措施采用密闭车间整体抽风收集废气经二级活性炭吸附箱处理后通过15米排气筒</w:t>
      </w:r>
      <w:r>
        <w:rPr>
          <w:rFonts w:hint="default" w:ascii="Times New Roman" w:hAnsi="Times New Roman" w:eastAsia="宋体" w:cs="Times New Roman"/>
          <w:color w:val="000000"/>
          <w:kern w:val="0"/>
          <w:sz w:val="24"/>
          <w:szCs w:val="24"/>
          <w:highlight w:val="none"/>
          <w:lang w:val="en-US" w:eastAsia="zh-CN" w:bidi="ar"/>
        </w:rPr>
        <w:t>（DA001）排放</w:t>
      </w:r>
      <w:r>
        <w:rPr>
          <w:rFonts w:hint="eastAsia" w:ascii="Times New Roman" w:hAnsi="Times New Roman" w:eastAsia="宋体" w:cs="Times New Roman"/>
          <w:color w:val="000000"/>
          <w:kern w:val="0"/>
          <w:sz w:val="24"/>
          <w:szCs w:val="24"/>
          <w:highlight w:val="none"/>
          <w:lang w:val="en-US" w:eastAsia="zh-CN" w:bidi="ar"/>
        </w:rPr>
        <w:t>。</w:t>
      </w:r>
    </w:p>
    <w:p w14:paraId="71EEA4F9">
      <w:pPr>
        <w:keepNext w:val="0"/>
        <w:keepLines w:val="0"/>
        <w:widowControl/>
        <w:suppressLineNumbers w:val="0"/>
        <w:ind w:left="0" w:leftChars="0" w:firstLine="480" w:firstLineChars="200"/>
        <w:jc w:val="left"/>
        <w:rPr>
          <w:rFonts w:hint="eastAsia" w:ascii="Times New Roman" w:hAnsi="Times New Roman" w:eastAsia="宋体" w:cs="Times New Roman"/>
          <w:color w:val="000000"/>
          <w:kern w:val="0"/>
          <w:sz w:val="24"/>
          <w:szCs w:val="24"/>
          <w:highlight w:val="none"/>
          <w:lang w:val="en-US" w:eastAsia="zh-CN" w:bidi="ar"/>
        </w:rPr>
      </w:pPr>
      <w:r>
        <w:rPr>
          <w:rFonts w:hint="eastAsia" w:ascii="Times New Roman" w:hAnsi="Times New Roman" w:eastAsia="宋体" w:cs="Times New Roman"/>
          <w:color w:val="000000"/>
          <w:kern w:val="0"/>
          <w:sz w:val="24"/>
          <w:szCs w:val="24"/>
          <w:highlight w:val="none"/>
          <w:lang w:val="en-US" w:eastAsia="zh-CN" w:bidi="ar"/>
        </w:rPr>
        <w:t>本项目投料及打粉过程产生的粉尘经集气罩收集统一进布袋除尘器处理后无组织排放在车间内，不设置集中风网式外排气筒，粉尘收集效率为90%，布袋除尘器处理效率为99%。布袋除尘器处理后的粉尘经收集后返回车间重新回用于生产，未收集到的少量粉尘逸散于车间内，部分沉降于车间地面，形成固态废物，定期清扫作为辅料进行回收利用。</w:t>
      </w:r>
    </w:p>
    <w:p w14:paraId="515E7CF6">
      <w:pPr>
        <w:keepNext w:val="0"/>
        <w:keepLines w:val="0"/>
        <w:widowControl/>
        <w:suppressLineNumbers w:val="0"/>
        <w:ind w:left="0" w:leftChars="0" w:firstLine="480" w:firstLineChars="200"/>
        <w:jc w:val="left"/>
        <w:rPr>
          <w:rFonts w:hint="eastAsia"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食堂油烟经油烟净化器处理后，满足《饮食业油烟排放标准（试行）》 （GB18483-2001）中的要求后，经专用排烟管道于楼顶排放。</w:t>
      </w:r>
    </w:p>
    <w:p w14:paraId="00F0346B">
      <w:pPr>
        <w:keepNext w:val="0"/>
        <w:keepLines w:val="0"/>
        <w:widowControl/>
        <w:suppressLineNumbers w:val="0"/>
        <w:ind w:left="0" w:leftChars="0" w:firstLine="480" w:firstLineChars="200"/>
        <w:jc w:val="left"/>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根据工程分析可知，外排废气能达到相应排放标准限值要求，可实现达标排放，处理措施可行。</w:t>
      </w:r>
    </w:p>
    <w:p w14:paraId="56386FDD">
      <w:pPr>
        <w:keepNext w:val="0"/>
        <w:keepLines w:val="0"/>
        <w:widowControl/>
        <w:suppressLineNumbers w:val="0"/>
        <w:ind w:left="0" w:leftChars="0" w:firstLine="472" w:firstLineChars="200"/>
        <w:jc w:val="left"/>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lang w:val="en-US" w:eastAsia="zh-CN"/>
        </w:rPr>
        <w:t>2</w:t>
      </w:r>
      <w:r>
        <w:rPr>
          <w:rFonts w:hint="default"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废水污染防治措施</w:t>
      </w:r>
    </w:p>
    <w:p w14:paraId="11D9DEFA">
      <w:pPr>
        <w:keepNext w:val="0"/>
        <w:keepLines w:val="0"/>
        <w:widowControl/>
        <w:suppressLineNumbers w:val="0"/>
        <w:ind w:left="0" w:leftChars="0" w:firstLine="472" w:firstLineChars="200"/>
        <w:jc w:val="left"/>
        <w:rPr>
          <w:rFonts w:hint="default" w:ascii="Times New Roman" w:hAnsi="Times New Roman" w:eastAsia="宋体" w:cs="Times New Roman"/>
          <w:spacing w:val="-2"/>
          <w:sz w:val="24"/>
          <w:szCs w:val="24"/>
          <w:highlight w:val="none"/>
          <w:lang w:val="en-US" w:eastAsia="zh-CN"/>
        </w:rPr>
      </w:pPr>
      <w:r>
        <w:rPr>
          <w:rFonts w:hint="default" w:ascii="Times New Roman" w:hAnsi="Times New Roman" w:eastAsia="宋体" w:cs="Times New Roman"/>
          <w:spacing w:val="-2"/>
          <w:sz w:val="24"/>
          <w:szCs w:val="24"/>
          <w:highlight w:val="none"/>
          <w:lang w:val="en-US" w:eastAsia="zh-CN"/>
        </w:rPr>
        <w:t>地面清洁废水经沉淀池沉淀后同纯水制备浓水一起进入园区污水管网，生活污水经依托园区创新创业基地隔油池</w:t>
      </w:r>
      <w:r>
        <w:rPr>
          <w:rFonts w:hint="eastAsia" w:eastAsia="宋体" w:cs="Times New Roman"/>
          <w:spacing w:val="-2"/>
          <w:sz w:val="24"/>
          <w:szCs w:val="24"/>
          <w:highlight w:val="none"/>
          <w:lang w:val="en-US" w:eastAsia="zh-CN"/>
        </w:rPr>
        <w:t>及</w:t>
      </w:r>
      <w:r>
        <w:rPr>
          <w:rFonts w:hint="default" w:ascii="Times New Roman" w:hAnsi="Times New Roman" w:eastAsia="宋体" w:cs="Times New Roman"/>
          <w:spacing w:val="-2"/>
          <w:sz w:val="24"/>
          <w:szCs w:val="24"/>
          <w:highlight w:val="none"/>
          <w:lang w:val="en-US" w:eastAsia="zh-CN"/>
        </w:rPr>
        <w:t>化粪池预处理后达到《污水综合排放标准》（GB16297-1996）表 4的三级标准后及污水处理厂进水水质标准，排入园区污水管网，进入岳阳高新技术产业园区污水处理厂处理达标后排入新墙河。</w:t>
      </w:r>
      <w:r>
        <w:rPr>
          <w:rFonts w:hint="default" w:ascii="Times New Roman" w:hAnsi="Times New Roman" w:eastAsia="宋体" w:cs="Times New Roman"/>
          <w:spacing w:val="-2"/>
          <w:sz w:val="24"/>
          <w:szCs w:val="24"/>
          <w:highlight w:val="none"/>
        </w:rPr>
        <w:t>对区域水环境影响较小。</w:t>
      </w:r>
    </w:p>
    <w:p w14:paraId="2E5231BC">
      <w:pPr>
        <w:keepNext w:val="0"/>
        <w:keepLines w:val="0"/>
        <w:widowControl/>
        <w:suppressLineNumbers w:val="0"/>
        <w:ind w:left="0" w:leftChars="0" w:firstLine="472" w:firstLineChars="200"/>
        <w:jc w:val="left"/>
        <w:rPr>
          <w:rFonts w:hint="default" w:ascii="Times New Roman" w:hAnsi="Times New Roman" w:eastAsia="宋体" w:cs="Times New Roman"/>
          <w:spacing w:val="-2"/>
          <w:sz w:val="24"/>
          <w:szCs w:val="24"/>
          <w:highlight w:val="none"/>
        </w:rPr>
      </w:pPr>
      <w:r>
        <w:rPr>
          <w:rFonts w:hint="eastAsia" w:ascii="Times New Roman" w:hAnsi="Times New Roman" w:eastAsia="宋体" w:cs="Times New Roman"/>
          <w:spacing w:val="-2"/>
          <w:sz w:val="24"/>
          <w:szCs w:val="24"/>
          <w:highlight w:val="none"/>
          <w:lang w:eastAsia="zh-CN"/>
        </w:rPr>
        <w:t>（</w:t>
      </w:r>
      <w:r>
        <w:rPr>
          <w:rFonts w:hint="eastAsia" w:ascii="Times New Roman" w:hAnsi="Times New Roman" w:eastAsia="宋体" w:cs="Times New Roman"/>
          <w:spacing w:val="-2"/>
          <w:sz w:val="24"/>
          <w:szCs w:val="24"/>
          <w:highlight w:val="none"/>
          <w:lang w:val="en-US" w:eastAsia="zh-CN"/>
        </w:rPr>
        <w:t>3</w:t>
      </w:r>
      <w:r>
        <w:rPr>
          <w:rFonts w:hint="eastAsia" w:ascii="Times New Roman" w:hAnsi="Times New Roman" w:eastAsia="宋体" w:cs="Times New Roman"/>
          <w:spacing w:val="-2"/>
          <w:sz w:val="24"/>
          <w:szCs w:val="24"/>
          <w:highlight w:val="none"/>
          <w:lang w:eastAsia="zh-CN"/>
        </w:rPr>
        <w:t>）</w:t>
      </w:r>
      <w:r>
        <w:rPr>
          <w:rFonts w:hint="default" w:ascii="Times New Roman" w:hAnsi="Times New Roman" w:eastAsia="宋体" w:cs="Times New Roman"/>
          <w:spacing w:val="-2"/>
          <w:sz w:val="24"/>
          <w:szCs w:val="24"/>
          <w:highlight w:val="none"/>
        </w:rPr>
        <w:t>噪声污染防治措施</w:t>
      </w:r>
    </w:p>
    <w:p w14:paraId="3DAB2DF9">
      <w:pPr>
        <w:keepNext w:val="0"/>
        <w:keepLines w:val="0"/>
        <w:widowControl/>
        <w:suppressLineNumbers w:val="0"/>
        <w:ind w:left="0" w:leftChars="0" w:firstLine="472" w:firstLineChars="200"/>
        <w:jc w:val="left"/>
        <w:rPr>
          <w:rFonts w:hint="default" w:ascii="Times New Roman" w:hAnsi="Times New Roman" w:eastAsia="宋体" w:cs="Times New Roman"/>
          <w:spacing w:val="-2"/>
          <w:sz w:val="24"/>
          <w:szCs w:val="24"/>
          <w:highlight w:val="none"/>
        </w:rPr>
      </w:pPr>
      <w:r>
        <w:rPr>
          <w:rFonts w:hint="default" w:ascii="Times New Roman" w:hAnsi="Times New Roman" w:eastAsia="宋体" w:cs="Times New Roman"/>
          <w:spacing w:val="-2"/>
          <w:sz w:val="24"/>
          <w:szCs w:val="24"/>
          <w:highlight w:val="none"/>
        </w:rPr>
        <w:t>项目噪声控制措施主要包括优先选用低噪声设备、采取减震降噪措施、合理 设计和合理布局、加强设备维护等。</w:t>
      </w:r>
    </w:p>
    <w:p w14:paraId="29E69CB9">
      <w:pPr>
        <w:keepNext w:val="0"/>
        <w:keepLines w:val="0"/>
        <w:widowControl/>
        <w:suppressLineNumbers w:val="0"/>
        <w:ind w:left="0" w:leftChars="0" w:firstLine="472" w:firstLineChars="200"/>
        <w:jc w:val="left"/>
        <w:rPr>
          <w:rFonts w:ascii="宋体" w:hAnsi="宋体" w:eastAsia="宋体" w:cs="宋体"/>
          <w:spacing w:val="-2"/>
          <w:sz w:val="24"/>
          <w:szCs w:val="24"/>
          <w:highlight w:val="none"/>
        </w:rPr>
      </w:pPr>
      <w:r>
        <w:rPr>
          <w:rFonts w:ascii="宋体" w:hAnsi="宋体" w:eastAsia="宋体" w:cs="宋体"/>
          <w:spacing w:val="-2"/>
          <w:sz w:val="24"/>
          <w:szCs w:val="24"/>
          <w:highlight w:val="none"/>
        </w:rPr>
        <w:t>通过采取噪声控制措施，经过距离衰减、绿化带吸声、厂界围墙隔声后，项目产生的噪声可在厂界达标，满足环境保护的要求，项目噪声污染防治措施可行。</w:t>
      </w:r>
    </w:p>
    <w:p w14:paraId="2E6EB05F">
      <w:pPr>
        <w:keepNext w:val="0"/>
        <w:keepLines w:val="0"/>
        <w:widowControl/>
        <w:suppressLineNumbers w:val="0"/>
        <w:ind w:left="0" w:leftChars="0" w:firstLine="472" w:firstLineChars="20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2"/>
          <w:sz w:val="24"/>
          <w:szCs w:val="24"/>
          <w:highlight w:val="none"/>
          <w:lang w:val="en-US" w:eastAsia="zh-CN"/>
        </w:rPr>
        <w:t>4</w:t>
      </w:r>
      <w:r>
        <w:rPr>
          <w:rFonts w:hint="default" w:ascii="Times New Roman" w:hAnsi="Times New Roman" w:eastAsia="宋体" w:cs="Times New Roman"/>
          <w:spacing w:val="-2"/>
          <w:sz w:val="24"/>
          <w:szCs w:val="24"/>
          <w:highlight w:val="none"/>
        </w:rPr>
        <w:t>）固体废物污染防治措施</w:t>
      </w:r>
    </w:p>
    <w:p w14:paraId="08901209">
      <w:pPr>
        <w:keepNext/>
        <w:keepLines w:val="0"/>
        <w:pageBreakBefore w:val="0"/>
        <w:widowControl w:val="0"/>
        <w:suppressLineNumbers/>
        <w:kinsoku/>
        <w:wordWrap/>
        <w:overflowPunct/>
        <w:topLinePunct w:val="0"/>
        <w:autoSpaceDE/>
        <w:autoSpaceDN/>
        <w:bidi w:val="0"/>
        <w:adjustRightInd/>
        <w:snapToGrid/>
        <w:spacing w:line="360" w:lineRule="auto"/>
        <w:ind w:left="0" w:right="0" w:firstLine="42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3"/>
          <w:sz w:val="24"/>
          <w:szCs w:val="24"/>
          <w:highlight w:val="none"/>
        </w:rPr>
        <w:t>本项目营运期产生的固体废物主要为</w:t>
      </w:r>
      <w:r>
        <w:rPr>
          <w:rFonts w:hint="default" w:ascii="Times New Roman" w:hAnsi="Times New Roman" w:eastAsia="宋体" w:cs="Times New Roman"/>
          <w:spacing w:val="-3"/>
          <w:sz w:val="24"/>
          <w:szCs w:val="24"/>
          <w:highlight w:val="none"/>
          <w:lang w:val="en-US" w:eastAsia="zh-CN"/>
        </w:rPr>
        <w:t>生活垃圾、</w:t>
      </w:r>
      <w:r>
        <w:rPr>
          <w:rFonts w:hint="default" w:ascii="Times New Roman" w:hAnsi="Times New Roman" w:eastAsia="宋体" w:cs="Times New Roman"/>
          <w:spacing w:val="-3"/>
          <w:sz w:val="24"/>
          <w:szCs w:val="24"/>
          <w:highlight w:val="none"/>
        </w:rPr>
        <w:t>一般固体废物和危险废物。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本项目新建1间一般固废暂存间（29m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），新建1间危险废物暂存间（10m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），位于一般固废间的南侧。</w:t>
      </w:r>
      <w:r>
        <w:rPr>
          <w:rFonts w:hint="default" w:ascii="Times New Roman" w:hAnsi="Times New Roman" w:eastAsia="宋体" w:cs="Times New Roman"/>
          <w:sz w:val="24"/>
          <w:szCs w:val="24"/>
          <w:highlight w:val="none"/>
        </w:rPr>
        <w:t>一般固体废物</w:t>
      </w:r>
      <w:r>
        <w:rPr>
          <w:rFonts w:hint="default" w:ascii="Times New Roman" w:hAnsi="Times New Roman" w:eastAsia="宋体" w:cs="Times New Roman"/>
          <w:sz w:val="24"/>
          <w:szCs w:val="24"/>
          <w:highlight w:val="none"/>
          <w:lang w:val="en-US" w:eastAsia="zh-CN"/>
        </w:rPr>
        <w:t>会进行综合利用或处置</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危险废物一般会及时</w:t>
      </w:r>
      <w:r>
        <w:rPr>
          <w:rFonts w:hint="default" w:ascii="Times New Roman" w:hAnsi="Times New Roman" w:eastAsia="宋体" w:cs="Times New Roman"/>
          <w:sz w:val="24"/>
          <w:szCs w:val="24"/>
          <w:highlight w:val="none"/>
          <w:lang w:val="en-US" w:eastAsia="zh-CN"/>
        </w:rPr>
        <w:t>委托资质单位</w:t>
      </w:r>
      <w:r>
        <w:rPr>
          <w:rFonts w:hint="default" w:ascii="Times New Roman" w:hAnsi="Times New Roman" w:eastAsia="宋体" w:cs="Times New Roman"/>
          <w:sz w:val="24"/>
          <w:szCs w:val="24"/>
          <w:highlight w:val="none"/>
        </w:rPr>
        <w:t>清运转移，最</w:t>
      </w:r>
      <w:r>
        <w:rPr>
          <w:rFonts w:hint="default" w:ascii="Times New Roman" w:hAnsi="Times New Roman" w:eastAsia="宋体" w:cs="Times New Roman"/>
          <w:spacing w:val="-1"/>
          <w:sz w:val="24"/>
          <w:szCs w:val="24"/>
          <w:highlight w:val="none"/>
        </w:rPr>
        <w:t>长贮存时间不超过一年。</w:t>
      </w:r>
      <w:r>
        <w:rPr>
          <w:rFonts w:hint="default" w:ascii="Times New Roman" w:hAnsi="Times New Roman" w:eastAsia="宋体" w:cs="Times New Roman"/>
          <w:color w:val="000000" w:themeColor="text1"/>
          <w:sz w:val="24"/>
          <w:szCs w:val="24"/>
          <w:highlight w:val="none"/>
          <w14:textFill>
            <w14:solidFill>
              <w14:schemeClr w14:val="tx1"/>
            </w14:solidFill>
          </w14:textFill>
        </w:rPr>
        <w:t>生活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垃圾收集箱集中收集后交由环卫部门处置。</w:t>
      </w:r>
    </w:p>
    <w:p w14:paraId="6FC490E1">
      <w:pPr>
        <w:spacing w:line="362" w:lineRule="auto"/>
        <w:ind w:left="28" w:right="77" w:firstLine="474"/>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spacing w:val="-3"/>
          <w:sz w:val="24"/>
          <w:szCs w:val="24"/>
          <w:highlight w:val="none"/>
        </w:rPr>
        <w:t>综上所述，本项目固体废物均可得到妥善处理，各项处理措施合理、可行、有</w:t>
      </w:r>
      <w:r>
        <w:rPr>
          <w:rFonts w:hint="default" w:ascii="Times New Roman" w:hAnsi="Times New Roman" w:eastAsia="宋体" w:cs="Times New Roman"/>
          <w:spacing w:val="11"/>
          <w:sz w:val="24"/>
          <w:szCs w:val="24"/>
          <w:highlight w:val="none"/>
        </w:rPr>
        <w:t xml:space="preserve"> </w:t>
      </w:r>
      <w:r>
        <w:rPr>
          <w:rFonts w:hint="default" w:ascii="Times New Roman" w:hAnsi="Times New Roman" w:eastAsia="宋体" w:cs="Times New Roman"/>
          <w:spacing w:val="-3"/>
          <w:sz w:val="24"/>
          <w:szCs w:val="24"/>
          <w:highlight w:val="none"/>
        </w:rPr>
        <w:t>效，企业必须加强储存与运输的监督管理，按各项要求逐一落实。</w:t>
      </w:r>
    </w:p>
    <w:p w14:paraId="0739A962">
      <w:pPr>
        <w:keepNext w:val="0"/>
        <w:keepLines w:val="0"/>
        <w:pageBreakBefore w:val="0"/>
        <w:widowControl w:val="0"/>
        <w:kinsoku/>
        <w:wordWrap/>
        <w:overflowPunct/>
        <w:topLinePunct w:val="0"/>
        <w:autoSpaceDE/>
        <w:autoSpaceDN/>
        <w:bidi w:val="0"/>
        <w:adjustRightInd/>
        <w:snapToGrid/>
        <w:spacing w:line="360" w:lineRule="auto"/>
        <w:ind w:left="0" w:right="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2"/>
          <w:sz w:val="24"/>
          <w:szCs w:val="24"/>
          <w:highlight w:val="none"/>
          <w:lang w:val="en-US" w:eastAsia="zh-CN"/>
        </w:rPr>
        <w:t>5</w:t>
      </w:r>
      <w:r>
        <w:rPr>
          <w:rFonts w:hint="default" w:ascii="Times New Roman" w:hAnsi="Times New Roman" w:eastAsia="宋体" w:cs="Times New Roman"/>
          <w:spacing w:val="-2"/>
          <w:sz w:val="24"/>
          <w:szCs w:val="24"/>
          <w:highlight w:val="none"/>
        </w:rPr>
        <w:t>）</w:t>
      </w:r>
      <w:r>
        <w:rPr>
          <w:rFonts w:hint="default" w:ascii="Times New Roman" w:hAnsi="Times New Roman" w:eastAsia="宋体" w:cs="Times New Roman"/>
          <w:spacing w:val="-2"/>
          <w:sz w:val="24"/>
          <w:szCs w:val="24"/>
          <w:highlight w:val="none"/>
          <w:lang w:val="en-US" w:eastAsia="zh-CN"/>
        </w:rPr>
        <w:t>土壤和</w:t>
      </w:r>
      <w:r>
        <w:rPr>
          <w:rFonts w:hint="default" w:ascii="Times New Roman" w:hAnsi="Times New Roman" w:eastAsia="宋体" w:cs="Times New Roman"/>
          <w:spacing w:val="-2"/>
          <w:sz w:val="24"/>
          <w:szCs w:val="24"/>
          <w:highlight w:val="none"/>
        </w:rPr>
        <w:t>地下水污染防治措施</w:t>
      </w:r>
    </w:p>
    <w:p w14:paraId="6C531BD9">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rPr>
          <w:rFonts w:hint="default" w:ascii="Times New Roman" w:hAnsi="Times New Roman" w:eastAsia="宋体" w:cs="Times New Roman"/>
          <w:spacing w:val="1"/>
          <w:kern w:val="0"/>
          <w:sz w:val="24"/>
          <w:szCs w:val="20"/>
          <w:highlight w:val="none"/>
          <w:lang w:val="en-US" w:eastAsia="zh-CN" w:bidi="ar-SA"/>
        </w:rPr>
      </w:pPr>
      <w:r>
        <w:rPr>
          <w:rFonts w:hint="default" w:ascii="Times New Roman" w:hAnsi="Times New Roman" w:eastAsia="宋体" w:cs="Times New Roman"/>
          <w:spacing w:val="1"/>
          <w:kern w:val="0"/>
          <w:sz w:val="24"/>
          <w:szCs w:val="20"/>
          <w:highlight w:val="none"/>
          <w:lang w:val="en-US" w:eastAsia="zh-CN" w:bidi="ar-SA"/>
        </w:rPr>
        <w:t>为了防止本项目的建设对</w:t>
      </w:r>
      <w:r>
        <w:rPr>
          <w:rFonts w:hint="eastAsia" w:eastAsia="宋体" w:cs="Times New Roman"/>
          <w:spacing w:val="1"/>
          <w:kern w:val="0"/>
          <w:sz w:val="24"/>
          <w:szCs w:val="20"/>
          <w:highlight w:val="none"/>
          <w:lang w:val="en-US" w:eastAsia="zh-CN" w:bidi="ar-SA"/>
        </w:rPr>
        <w:t>土壤和</w:t>
      </w:r>
      <w:r>
        <w:rPr>
          <w:rFonts w:hint="default" w:ascii="Times New Roman" w:hAnsi="Times New Roman" w:eastAsia="宋体" w:cs="Times New Roman"/>
          <w:spacing w:val="1"/>
          <w:kern w:val="0"/>
          <w:sz w:val="24"/>
          <w:szCs w:val="20"/>
          <w:highlight w:val="none"/>
          <w:lang w:val="en-US" w:eastAsia="zh-CN" w:bidi="ar-SA"/>
        </w:rPr>
        <w:t>地下水造成污染，按照“源头控制、分区防控、污染监控、应急响应”的原则</w:t>
      </w:r>
      <w:r>
        <w:rPr>
          <w:rFonts w:hint="eastAsia" w:eastAsia="宋体" w:cs="Times New Roman"/>
          <w:spacing w:val="1"/>
          <w:kern w:val="0"/>
          <w:sz w:val="24"/>
          <w:szCs w:val="20"/>
          <w:highlight w:val="none"/>
          <w:lang w:val="en-US" w:eastAsia="zh-CN" w:bidi="ar-SA"/>
        </w:rPr>
        <w:t>，</w:t>
      </w:r>
      <w:r>
        <w:rPr>
          <w:rFonts w:hint="default" w:ascii="Times New Roman" w:hAnsi="Times New Roman" w:eastAsia="宋体" w:cs="Times New Roman"/>
          <w:spacing w:val="1"/>
          <w:kern w:val="0"/>
          <w:sz w:val="24"/>
          <w:szCs w:val="20"/>
          <w:highlight w:val="none"/>
          <w:lang w:val="en-US" w:eastAsia="zh-CN" w:bidi="ar-SA"/>
        </w:rPr>
        <w:t>从原料和产品储存、装卸、运输、生产过程、污染处理装置等全过程控制各种原辅材料、中间材料、产品泄漏（含跑、冒、滴、漏），同时对有害物质可能泄漏到地面的区域采取防渗措施，阻止其渗入</w:t>
      </w:r>
      <w:r>
        <w:rPr>
          <w:rFonts w:hint="eastAsia" w:eastAsia="宋体" w:cs="Times New Roman"/>
          <w:spacing w:val="1"/>
          <w:kern w:val="0"/>
          <w:sz w:val="24"/>
          <w:szCs w:val="20"/>
          <w:highlight w:val="none"/>
          <w:lang w:val="en-US" w:eastAsia="zh-CN" w:bidi="ar-SA"/>
        </w:rPr>
        <w:t>土壤和</w:t>
      </w:r>
      <w:r>
        <w:rPr>
          <w:rFonts w:hint="default" w:ascii="Times New Roman" w:hAnsi="Times New Roman" w:eastAsia="宋体" w:cs="Times New Roman"/>
          <w:spacing w:val="1"/>
          <w:kern w:val="0"/>
          <w:sz w:val="24"/>
          <w:szCs w:val="20"/>
          <w:highlight w:val="none"/>
          <w:lang w:val="en-US" w:eastAsia="zh-CN" w:bidi="ar-SA"/>
        </w:rPr>
        <w:t>地下水中，即从源头到末端全方位采取控制措施</w:t>
      </w:r>
      <w:r>
        <w:rPr>
          <w:rFonts w:hint="eastAsia" w:ascii="Times New Roman" w:hAnsi="Times New Roman" w:eastAsia="宋体" w:cs="Times New Roman"/>
          <w:spacing w:val="1"/>
          <w:kern w:val="0"/>
          <w:sz w:val="24"/>
          <w:szCs w:val="20"/>
          <w:highlight w:val="none"/>
          <w:lang w:val="en-US" w:eastAsia="zh-CN" w:bidi="ar-SA"/>
        </w:rPr>
        <w:t>。</w:t>
      </w:r>
    </w:p>
    <w:p w14:paraId="01EE8120">
      <w:pPr>
        <w:keepNext w:val="0"/>
        <w:keepLines w:val="0"/>
        <w:pageBreakBefore w:val="0"/>
        <w:widowControl w:val="0"/>
        <w:kinsoku/>
        <w:wordWrap/>
        <w:overflowPunct/>
        <w:topLinePunct w:val="0"/>
        <w:autoSpaceDE/>
        <w:autoSpaceDN/>
        <w:bidi w:val="0"/>
        <w:adjustRightInd/>
        <w:snapToGrid/>
        <w:spacing w:line="360" w:lineRule="auto"/>
        <w:ind w:left="0" w:right="0" w:firstLine="483"/>
        <w:jc w:val="both"/>
        <w:textAlignment w:val="auto"/>
        <w:rPr>
          <w:rFonts w:ascii="宋体" w:hAnsi="宋体" w:eastAsia="宋体" w:cs="宋体"/>
          <w:sz w:val="24"/>
          <w:szCs w:val="24"/>
          <w:highlight w:val="none"/>
        </w:rPr>
      </w:pPr>
      <w:r>
        <w:rPr>
          <w:rFonts w:hint="default" w:ascii="Times New Roman" w:hAnsi="Times New Roman" w:eastAsia="宋体" w:cs="Times New Roman"/>
          <w:spacing w:val="-3"/>
          <w:sz w:val="24"/>
          <w:szCs w:val="24"/>
          <w:highlight w:val="none"/>
        </w:rPr>
        <w:t>将厂区不同的区域划分为重点防渗区、一般</w:t>
      </w:r>
      <w:r>
        <w:rPr>
          <w:rFonts w:hint="default" w:ascii="Times New Roman" w:hAnsi="Times New Roman" w:eastAsia="宋体" w:cs="Times New Roman"/>
          <w:spacing w:val="-4"/>
          <w:sz w:val="24"/>
          <w:szCs w:val="24"/>
          <w:highlight w:val="none"/>
        </w:rPr>
        <w:t>防渗区和简</w:t>
      </w:r>
      <w:r>
        <w:rPr>
          <w:rFonts w:hint="default" w:ascii="Times New Roman" w:hAnsi="Times New Roman" w:eastAsia="宋体" w:cs="Times New Roman"/>
          <w:spacing w:val="-3"/>
          <w:sz w:val="24"/>
          <w:szCs w:val="24"/>
          <w:highlight w:val="none"/>
        </w:rPr>
        <w:t>单防渗区。</w:t>
      </w:r>
      <w:r>
        <w:rPr>
          <w:rFonts w:ascii="宋体" w:hAnsi="宋体" w:eastAsia="宋体" w:cs="宋体"/>
          <w:spacing w:val="-1"/>
          <w:sz w:val="24"/>
          <w:szCs w:val="24"/>
          <w:highlight w:val="none"/>
        </w:rPr>
        <w:t>按要求进行防渗处理。</w:t>
      </w:r>
    </w:p>
    <w:p w14:paraId="143BEEF0">
      <w:pPr>
        <w:keepNext w:val="0"/>
        <w:keepLines w:val="0"/>
        <w:pageBreakBefore w:val="0"/>
        <w:widowControl w:val="0"/>
        <w:kinsoku/>
        <w:wordWrap/>
        <w:overflowPunct/>
        <w:topLinePunct w:val="0"/>
        <w:autoSpaceDE/>
        <w:autoSpaceDN/>
        <w:bidi w:val="0"/>
        <w:adjustRightInd/>
        <w:snapToGrid/>
        <w:spacing w:line="360" w:lineRule="auto"/>
        <w:ind w:left="0" w:right="0" w:firstLine="480"/>
        <w:jc w:val="both"/>
        <w:textAlignment w:val="auto"/>
        <w:rPr>
          <w:rFonts w:hint="default"/>
          <w:highlight w:val="none"/>
          <w:lang w:val="en-US" w:eastAsia="zh-CN"/>
        </w:rPr>
      </w:pPr>
      <w:r>
        <w:rPr>
          <w:rFonts w:ascii="宋体" w:hAnsi="宋体" w:eastAsia="宋体" w:cs="宋体"/>
          <w:spacing w:val="-3"/>
          <w:sz w:val="24"/>
          <w:szCs w:val="24"/>
          <w:highlight w:val="none"/>
        </w:rPr>
        <w:t>通过采取地下水污染防治措施，能有效防止项目</w:t>
      </w:r>
      <w:r>
        <w:rPr>
          <w:rFonts w:hint="eastAsia" w:ascii="宋体" w:hAnsi="宋体" w:eastAsia="宋体" w:cs="宋体"/>
          <w:spacing w:val="-3"/>
          <w:sz w:val="24"/>
          <w:szCs w:val="24"/>
          <w:highlight w:val="none"/>
          <w:lang w:val="en-US" w:eastAsia="zh-CN"/>
        </w:rPr>
        <w:t>建设</w:t>
      </w:r>
      <w:r>
        <w:rPr>
          <w:rFonts w:ascii="宋体" w:hAnsi="宋体" w:eastAsia="宋体" w:cs="宋体"/>
          <w:spacing w:val="-3"/>
          <w:sz w:val="24"/>
          <w:szCs w:val="24"/>
          <w:highlight w:val="none"/>
        </w:rPr>
        <w:t>污染</w:t>
      </w:r>
      <w:r>
        <w:rPr>
          <w:rFonts w:hint="default" w:ascii="Times New Roman" w:hAnsi="Times New Roman" w:eastAsia="宋体" w:cs="Times New Roman"/>
          <w:spacing w:val="-2"/>
          <w:sz w:val="24"/>
          <w:szCs w:val="24"/>
          <w:highlight w:val="none"/>
          <w:lang w:val="en-US" w:eastAsia="zh-CN"/>
        </w:rPr>
        <w:t>土壤和</w:t>
      </w:r>
      <w:r>
        <w:rPr>
          <w:rFonts w:ascii="宋体" w:hAnsi="宋体" w:eastAsia="宋体" w:cs="宋体"/>
          <w:spacing w:val="-3"/>
          <w:sz w:val="24"/>
          <w:szCs w:val="24"/>
          <w:highlight w:val="none"/>
        </w:rPr>
        <w:t>地</w:t>
      </w:r>
      <w:r>
        <w:rPr>
          <w:rFonts w:ascii="宋体" w:hAnsi="宋体" w:eastAsia="宋体" w:cs="宋体"/>
          <w:spacing w:val="-4"/>
          <w:sz w:val="24"/>
          <w:szCs w:val="24"/>
          <w:highlight w:val="none"/>
        </w:rPr>
        <w:t>下水。项目</w:t>
      </w:r>
      <w:r>
        <w:rPr>
          <w:rFonts w:hint="default" w:ascii="Times New Roman" w:hAnsi="Times New Roman" w:eastAsia="宋体" w:cs="Times New Roman"/>
          <w:spacing w:val="-2"/>
          <w:sz w:val="24"/>
          <w:szCs w:val="24"/>
          <w:highlight w:val="none"/>
          <w:lang w:val="en-US" w:eastAsia="zh-CN"/>
        </w:rPr>
        <w:t>土壤和</w:t>
      </w:r>
      <w:r>
        <w:rPr>
          <w:rFonts w:ascii="宋体" w:hAnsi="宋体" w:eastAsia="宋体" w:cs="宋体"/>
          <w:spacing w:val="-1"/>
          <w:sz w:val="24"/>
          <w:szCs w:val="24"/>
          <w:highlight w:val="none"/>
        </w:rPr>
        <w:t>地下水污染防治措施可行。</w:t>
      </w:r>
    </w:p>
    <w:p w14:paraId="6514A797">
      <w:pPr>
        <w:pStyle w:val="56"/>
        <w:pageBreakBefore w:val="0"/>
        <w:kinsoku/>
        <w:wordWrap/>
        <w:overflowPunct/>
        <w:topLinePunct w:val="0"/>
        <w:autoSpaceDE/>
        <w:autoSpaceDN/>
        <w:bidi w:val="0"/>
        <w:adjustRightInd/>
        <w:spacing w:afterAutospacing="0" w:line="360" w:lineRule="auto"/>
        <w:ind w:left="0" w:right="0"/>
        <w:textAlignment w:val="auto"/>
        <w:rPr>
          <w:rFonts w:hint="default" w:ascii="Times New Roman" w:hAnsi="Times New Roman" w:eastAsia="宋体" w:cs="Times New Roman"/>
          <w:color w:val="auto"/>
          <w:highlight w:val="none"/>
          <w:u w:val="none" w:color="auto"/>
          <w:lang w:val="en-US" w:eastAsia="zh-CN"/>
        </w:rPr>
      </w:pPr>
      <w:bookmarkStart w:id="295" w:name="_Toc20388431"/>
      <w:bookmarkStart w:id="296" w:name="_Toc11085"/>
      <w:bookmarkStart w:id="297" w:name="_Toc14828"/>
      <w:bookmarkStart w:id="298" w:name="_Toc2818"/>
      <w:bookmarkStart w:id="299" w:name="_Toc26208"/>
      <w:bookmarkStart w:id="300" w:name="_Toc4711"/>
      <w:bookmarkStart w:id="301" w:name="_Toc2204"/>
      <w:r>
        <w:rPr>
          <w:rFonts w:hint="eastAsia" w:ascii="Times New Roman" w:hAnsi="Times New Roman" w:eastAsia="黑体" w:cs="Times New Roman"/>
          <w:color w:val="auto"/>
          <w:sz w:val="28"/>
          <w:szCs w:val="28"/>
          <w:highlight w:val="none"/>
        </w:rPr>
        <w:t>11.1.</w:t>
      </w:r>
      <w:r>
        <w:rPr>
          <w:rFonts w:hint="eastAsia" w:eastAsia="黑体" w:cs="Times New Roman"/>
          <w:color w:val="auto"/>
          <w:sz w:val="28"/>
          <w:szCs w:val="28"/>
          <w:highlight w:val="none"/>
          <w:lang w:val="en-US" w:eastAsia="zh-CN"/>
        </w:rPr>
        <w:t>5</w:t>
      </w:r>
      <w:r>
        <w:rPr>
          <w:rFonts w:hint="default" w:ascii="Times New Roman" w:hAnsi="Times New Roman" w:eastAsia="宋体" w:cs="Times New Roman"/>
          <w:color w:val="auto"/>
          <w:highlight w:val="none"/>
          <w:u w:val="none" w:color="auto"/>
          <w:lang w:val="en-US" w:eastAsia="zh-CN"/>
        </w:rPr>
        <w:t>环境风险评价结论</w:t>
      </w:r>
      <w:bookmarkEnd w:id="295"/>
      <w:bookmarkEnd w:id="296"/>
      <w:bookmarkEnd w:id="297"/>
      <w:bookmarkEnd w:id="298"/>
      <w:bookmarkEnd w:id="299"/>
      <w:bookmarkEnd w:id="300"/>
      <w:bookmarkEnd w:id="301"/>
    </w:p>
    <w:p w14:paraId="4285AFDE">
      <w:pPr>
        <w:spacing w:line="360" w:lineRule="auto"/>
        <w:ind w:firstLine="464" w:firstLineChars="200"/>
        <w:rPr>
          <w:rFonts w:hint="default" w:ascii="Times New Roman" w:hAnsi="Times New Roman" w:eastAsia="宋体" w:cs="Times New Roman"/>
          <w:bCs/>
          <w:color w:val="auto"/>
          <w:sz w:val="24"/>
          <w:szCs w:val="24"/>
          <w:highlight w:val="none"/>
          <w:u w:val="none" w:color="auto"/>
        </w:rPr>
      </w:pPr>
      <w:r>
        <w:rPr>
          <w:rFonts w:ascii="宋体" w:hAnsi="宋体" w:eastAsia="宋体" w:cs="宋体"/>
          <w:spacing w:val="-4"/>
          <w:sz w:val="24"/>
          <w:szCs w:val="24"/>
          <w:highlight w:val="none"/>
        </w:rPr>
        <w:t xml:space="preserve">根据风险物质识别，本项目风险物质 </w:t>
      </w:r>
      <w:r>
        <w:rPr>
          <w:rFonts w:ascii="Times New Roman" w:hAnsi="Times New Roman" w:eastAsia="Times New Roman" w:cs="Times New Roman"/>
          <w:spacing w:val="-4"/>
          <w:sz w:val="24"/>
          <w:szCs w:val="24"/>
          <w:highlight w:val="none"/>
        </w:rPr>
        <w:t>Q</w:t>
      </w:r>
      <w:r>
        <w:rPr>
          <w:rFonts w:ascii="宋体" w:hAnsi="宋体" w:eastAsia="宋体" w:cs="宋体"/>
          <w:spacing w:val="-4"/>
          <w:sz w:val="24"/>
          <w:szCs w:val="24"/>
          <w:highlight w:val="none"/>
        </w:rPr>
        <w:t>＜</w:t>
      </w:r>
      <w:r>
        <w:rPr>
          <w:rFonts w:ascii="Times New Roman" w:hAnsi="Times New Roman" w:eastAsia="Times New Roman" w:cs="Times New Roman"/>
          <w:spacing w:val="-4"/>
          <w:sz w:val="24"/>
          <w:szCs w:val="24"/>
          <w:highlight w:val="none"/>
        </w:rPr>
        <w:t>1</w:t>
      </w:r>
      <w:r>
        <w:rPr>
          <w:rFonts w:ascii="Times New Roman" w:hAnsi="Times New Roman" w:eastAsia="Times New Roman" w:cs="Times New Roman"/>
          <w:spacing w:val="22"/>
          <w:sz w:val="24"/>
          <w:szCs w:val="24"/>
          <w:highlight w:val="none"/>
        </w:rPr>
        <w:t xml:space="preserve"> </w:t>
      </w:r>
      <w:r>
        <w:rPr>
          <w:rFonts w:ascii="宋体" w:hAnsi="宋体" w:eastAsia="宋体" w:cs="宋体"/>
          <w:spacing w:val="-4"/>
          <w:sz w:val="24"/>
          <w:szCs w:val="24"/>
          <w:highlight w:val="none"/>
        </w:rPr>
        <w:t>，该项目环境风险潜势为</w:t>
      </w:r>
      <w:r>
        <w:rPr>
          <w:rFonts w:ascii="宋体" w:hAnsi="宋体" w:eastAsia="宋体" w:cs="宋体"/>
          <w:spacing w:val="-54"/>
          <w:sz w:val="24"/>
          <w:szCs w:val="24"/>
          <w:highlight w:val="none"/>
        </w:rPr>
        <w:t xml:space="preserve"> </w:t>
      </w:r>
      <w:r>
        <w:rPr>
          <w:rFonts w:ascii="Times New Roman" w:hAnsi="Times New Roman" w:eastAsia="Times New Roman" w:cs="Times New Roman"/>
          <w:spacing w:val="-4"/>
          <w:sz w:val="24"/>
          <w:szCs w:val="24"/>
          <w:highlight w:val="none"/>
        </w:rPr>
        <w:t>I</w:t>
      </w:r>
      <w:r>
        <w:rPr>
          <w:rFonts w:ascii="Times New Roman" w:hAnsi="Times New Roman" w:eastAsia="Times New Roman" w:cs="Times New Roman"/>
          <w:spacing w:val="-32"/>
          <w:sz w:val="24"/>
          <w:szCs w:val="24"/>
          <w:highlight w:val="none"/>
        </w:rPr>
        <w:t xml:space="preserve"> </w:t>
      </w:r>
      <w:r>
        <w:rPr>
          <w:rFonts w:ascii="宋体" w:hAnsi="宋体" w:eastAsia="宋体" w:cs="宋体"/>
          <w:spacing w:val="-4"/>
          <w:sz w:val="24"/>
          <w:szCs w:val="24"/>
          <w:highlight w:val="none"/>
        </w:rPr>
        <w:t>，对</w:t>
      </w:r>
      <w:r>
        <w:rPr>
          <w:rFonts w:ascii="宋体" w:hAnsi="宋体" w:eastAsia="宋体" w:cs="宋体"/>
          <w:spacing w:val="-3"/>
          <w:sz w:val="24"/>
          <w:szCs w:val="24"/>
          <w:highlight w:val="none"/>
        </w:rPr>
        <w:t>环境风险做简单分析。</w:t>
      </w:r>
      <w:r>
        <w:rPr>
          <w:rFonts w:hint="default" w:ascii="Times New Roman" w:hAnsi="Times New Roman" w:eastAsia="宋体" w:cs="Times New Roman"/>
          <w:bCs/>
          <w:color w:val="auto"/>
          <w:sz w:val="24"/>
          <w:szCs w:val="24"/>
          <w:highlight w:val="none"/>
          <w:u w:val="none" w:color="auto"/>
        </w:rPr>
        <w:t>本项目的风险类型主要为泄漏、火灾</w:t>
      </w:r>
      <w:r>
        <w:rPr>
          <w:rFonts w:hint="default" w:ascii="Times New Roman" w:hAnsi="Times New Roman" w:eastAsia="宋体" w:cs="Times New Roman"/>
          <w:bCs/>
          <w:color w:val="auto"/>
          <w:sz w:val="24"/>
          <w:szCs w:val="24"/>
          <w:highlight w:val="none"/>
          <w:u w:val="none" w:color="auto"/>
          <w:lang w:val="en-US" w:eastAsia="zh-CN"/>
        </w:rPr>
        <w:t>/爆炸</w:t>
      </w:r>
      <w:r>
        <w:rPr>
          <w:rFonts w:hint="eastAsia" w:ascii="Times New Roman" w:hAnsi="Times New Roman" w:eastAsia="宋体" w:cs="Times New Roman"/>
          <w:bCs/>
          <w:color w:val="auto"/>
          <w:sz w:val="24"/>
          <w:szCs w:val="24"/>
          <w:highlight w:val="none"/>
          <w:u w:val="none" w:color="auto"/>
          <w:lang w:val="en-US" w:eastAsia="zh-CN"/>
        </w:rPr>
        <w:t>、废气治理设备故障</w:t>
      </w:r>
      <w:r>
        <w:rPr>
          <w:rFonts w:hint="default" w:ascii="Times New Roman" w:hAnsi="Times New Roman" w:eastAsia="宋体" w:cs="Times New Roman"/>
          <w:bCs/>
          <w:color w:val="auto"/>
          <w:sz w:val="24"/>
          <w:szCs w:val="24"/>
          <w:highlight w:val="none"/>
          <w:u w:val="none" w:color="auto"/>
        </w:rPr>
        <w:t>等。为了防范事故和减少危害，建设项目从厂区总平面布置、生产操作和原料储运安全防范等方面编制了详细的风险防范措施</w:t>
      </w:r>
      <w:r>
        <w:rPr>
          <w:rFonts w:hint="eastAsia" w:ascii="Times New Roman" w:hAnsi="Times New Roman" w:eastAsia="宋体" w:cs="Times New Roman"/>
          <w:bCs/>
          <w:color w:val="auto"/>
          <w:sz w:val="24"/>
          <w:szCs w:val="24"/>
          <w:highlight w:val="none"/>
          <w:u w:val="none" w:color="auto"/>
          <w:lang w:eastAsia="zh-CN"/>
        </w:rPr>
        <w:t>，</w:t>
      </w:r>
      <w:r>
        <w:rPr>
          <w:rFonts w:hint="default" w:ascii="Times New Roman" w:hAnsi="Times New Roman" w:eastAsia="宋体" w:cs="Times New Roman"/>
          <w:bCs/>
          <w:color w:val="auto"/>
          <w:sz w:val="24"/>
          <w:szCs w:val="24"/>
          <w:highlight w:val="none"/>
          <w:u w:val="none" w:color="auto"/>
        </w:rPr>
        <w:t>以控制事故和减少对环境造成的危害。</w:t>
      </w:r>
    </w:p>
    <w:p w14:paraId="4C1A439D">
      <w:pPr>
        <w:spacing w:line="360" w:lineRule="auto"/>
        <w:ind w:firstLine="480" w:firstLineChars="200"/>
        <w:rPr>
          <w:rFonts w:ascii="宋体" w:hAnsi="宋体" w:eastAsia="宋体" w:cs="宋体"/>
          <w:b/>
          <w:bCs/>
          <w:spacing w:val="-5"/>
          <w:sz w:val="28"/>
          <w:szCs w:val="28"/>
          <w:highlight w:val="none"/>
        </w:rPr>
      </w:pPr>
      <w:r>
        <w:rPr>
          <w:rFonts w:hint="default" w:ascii="Times New Roman" w:hAnsi="Times New Roman" w:eastAsia="宋体" w:cs="Times New Roman"/>
          <w:bCs/>
          <w:color w:val="auto"/>
          <w:sz w:val="24"/>
          <w:szCs w:val="24"/>
          <w:highlight w:val="none"/>
          <w:u w:val="none" w:color="auto"/>
        </w:rPr>
        <w:t>项目在采取严格安全防范措施、落实相关风险防范措施后，其风险水平总体上是可以接受的。项目在各环境风险防范措施落实到位的情况下，相应风险防范措施具有有效性，将可大大降低项目的环境风险，最大程度减少对环境可能造成的危害。</w:t>
      </w:r>
    </w:p>
    <w:p w14:paraId="5E615121">
      <w:pPr>
        <w:pStyle w:val="7"/>
        <w:bidi w:val="0"/>
        <w:rPr>
          <w:rFonts w:hint="default"/>
          <w:highlight w:val="none"/>
          <w:lang w:val="en-US" w:eastAsia="zh-CN"/>
        </w:rPr>
      </w:pPr>
      <w:bookmarkStart w:id="302" w:name="_Toc27019"/>
      <w:r>
        <w:rPr>
          <w:rFonts w:hint="eastAsia"/>
          <w:highlight w:val="none"/>
          <w:lang w:val="en-US" w:eastAsia="zh-CN"/>
        </w:rPr>
        <w:t>11.1.6总量控制</w:t>
      </w:r>
      <w:r>
        <w:rPr>
          <w:rFonts w:hint="default"/>
          <w:highlight w:val="none"/>
          <w:lang w:val="en-US" w:eastAsia="zh-CN"/>
        </w:rPr>
        <w:t>结论</w:t>
      </w:r>
      <w:bookmarkEnd w:id="302"/>
    </w:p>
    <w:p w14:paraId="415F81F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highlight w:val="none"/>
          <w:lang w:val="en-US" w:eastAsia="zh-CN"/>
        </w:rPr>
      </w:pPr>
      <w:r>
        <w:rPr>
          <w:rFonts w:hint="eastAsia" w:ascii="Times New Roman" w:hAnsi="Times New Roman" w:eastAsia="宋体" w:cs="Times New Roman"/>
          <w:sz w:val="24"/>
          <w:szCs w:val="24"/>
          <w:highlight w:val="none"/>
          <w:lang w:val="en-US" w:eastAsia="zh-CN"/>
        </w:rPr>
        <w:t>本项目外排废水</w:t>
      </w:r>
      <w:r>
        <w:rPr>
          <w:rFonts w:hint="default" w:ascii="Times New Roman" w:hAnsi="Times New Roman" w:eastAsia="宋体" w:cs="Times New Roman"/>
          <w:sz w:val="24"/>
          <w:szCs w:val="24"/>
          <w:highlight w:val="none"/>
        </w:rPr>
        <w:t>经</w:t>
      </w:r>
      <w:r>
        <w:rPr>
          <w:rFonts w:hint="eastAsia" w:ascii="Times New Roman" w:hAnsi="Times New Roman" w:eastAsia="宋体" w:cs="Times New Roman"/>
          <w:sz w:val="24"/>
          <w:szCs w:val="24"/>
          <w:highlight w:val="none"/>
          <w:lang w:val="en-US" w:eastAsia="zh-CN"/>
        </w:rPr>
        <w:t>岳阳高新技术产业园</w:t>
      </w:r>
      <w:r>
        <w:rPr>
          <w:rFonts w:hint="default" w:ascii="Times New Roman" w:hAnsi="Times New Roman" w:eastAsia="宋体" w:cs="Times New Roman"/>
          <w:sz w:val="24"/>
          <w:szCs w:val="24"/>
          <w:highlight w:val="none"/>
        </w:rPr>
        <w:t>污水处理厂处理后排入环境的污染物总量</w:t>
      </w:r>
      <w:r>
        <w:rPr>
          <w:rFonts w:hint="default" w:ascii="Times New Roman" w:hAnsi="Times New Roman" w:eastAsia="宋体" w:cs="Times New Roman"/>
          <w:color w:val="000000"/>
          <w:kern w:val="0"/>
          <w:sz w:val="24"/>
          <w:szCs w:val="24"/>
          <w:highlight w:val="none"/>
          <w:lang w:val="en-US" w:eastAsia="zh-CN" w:bidi="ar"/>
        </w:rPr>
        <w:t>CODr为0.039t/a，NH</w:t>
      </w:r>
      <w:r>
        <w:rPr>
          <w:rFonts w:hint="default" w:ascii="Times New Roman" w:hAnsi="Times New Roman" w:eastAsia="宋体" w:cs="Times New Roman"/>
          <w:color w:val="000000"/>
          <w:kern w:val="0"/>
          <w:sz w:val="24"/>
          <w:szCs w:val="24"/>
          <w:highlight w:val="none"/>
          <w:vertAlign w:val="sub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-N为0.0039t/a。</w:t>
      </w:r>
      <w:r>
        <w:rPr>
          <w:rFonts w:hint="default" w:ascii="Times New Roman" w:hAnsi="Times New Roman" w:eastAsia="宋体" w:cs="Times New Roman"/>
          <w:spacing w:val="-1"/>
          <w:sz w:val="24"/>
          <w:szCs w:val="24"/>
          <w:highlight w:val="none"/>
          <w:lang w:val="en-US" w:eastAsia="zh-CN"/>
        </w:rPr>
        <w:t>助剂</w:t>
      </w:r>
      <w:r>
        <w:rPr>
          <w:rFonts w:hint="eastAsia" w:ascii="Times New Roman" w:hAnsi="Times New Roman" w:eastAsia="宋体" w:cs="Times New Roman"/>
          <w:spacing w:val="-1"/>
          <w:sz w:val="24"/>
          <w:szCs w:val="24"/>
          <w:highlight w:val="none"/>
          <w:lang w:val="en-US" w:eastAsia="zh-CN"/>
        </w:rPr>
        <w:t>粉剂</w:t>
      </w:r>
      <w:r>
        <w:rPr>
          <w:rFonts w:hint="default" w:ascii="Times New Roman" w:hAnsi="Times New Roman" w:eastAsia="宋体" w:cs="Times New Roman"/>
          <w:spacing w:val="-1"/>
          <w:sz w:val="24"/>
          <w:szCs w:val="24"/>
          <w:highlight w:val="none"/>
          <w:lang w:val="en-US" w:eastAsia="zh-CN"/>
        </w:rPr>
        <w:t>冷却废气</w:t>
      </w:r>
      <w:r>
        <w:rPr>
          <w:rFonts w:hint="default" w:ascii="Times New Roman" w:hAnsi="Times New Roman" w:eastAsia="宋体" w:cs="Times New Roman"/>
          <w:spacing w:val="-1"/>
          <w:sz w:val="24"/>
          <w:szCs w:val="24"/>
          <w:highlight w:val="none"/>
        </w:rPr>
        <w:t>中含有 VOCs</w:t>
      </w:r>
      <w:r>
        <w:rPr>
          <w:rFonts w:hint="eastAsia" w:ascii="Times New Roman" w:hAnsi="Times New Roman" w:eastAsia="宋体" w:cs="Times New Roman"/>
          <w:spacing w:val="-1"/>
          <w:sz w:val="24"/>
          <w:szCs w:val="24"/>
          <w:highlight w:val="none"/>
          <w:lang w:eastAsia="zh-CN"/>
        </w:rPr>
        <w:t>，</w:t>
      </w:r>
      <w:r>
        <w:rPr>
          <w:rFonts w:hint="default" w:ascii="Times New Roman" w:hAnsi="Times New Roman" w:eastAsia="宋体" w:cs="Times New Roman"/>
          <w:spacing w:val="-1"/>
          <w:sz w:val="24"/>
          <w:szCs w:val="24"/>
          <w:highlight w:val="none"/>
        </w:rPr>
        <w:t xml:space="preserve"> VOCs</w:t>
      </w:r>
      <w:r>
        <w:rPr>
          <w:rFonts w:hint="eastAsia" w:ascii="Times New Roman" w:hAnsi="Times New Roman" w:eastAsia="宋体" w:cs="Times New Roman"/>
          <w:spacing w:val="-1"/>
          <w:sz w:val="24"/>
          <w:szCs w:val="24"/>
          <w:highlight w:val="none"/>
          <w:lang w:val="en-US" w:eastAsia="zh-CN"/>
        </w:rPr>
        <w:t>排放量为</w:t>
      </w:r>
      <w:r>
        <w:rPr>
          <w:rFonts w:hint="default" w:ascii="Times New Roman" w:hAnsi="Times New Roman" w:eastAsia="宋体" w:cs="Times New Roman"/>
          <w:spacing w:val="-1"/>
          <w:sz w:val="24"/>
          <w:szCs w:val="24"/>
          <w:highlight w:val="none"/>
        </w:rPr>
        <w:t>0.</w:t>
      </w:r>
      <w:r>
        <w:rPr>
          <w:rFonts w:hint="eastAsia" w:eastAsia="宋体" w:cs="Times New Roman"/>
          <w:spacing w:val="-1"/>
          <w:sz w:val="24"/>
          <w:szCs w:val="24"/>
          <w:highlight w:val="none"/>
          <w:lang w:val="en-US" w:eastAsia="zh-CN"/>
        </w:rPr>
        <w:t>3364</w:t>
      </w:r>
      <w:r>
        <w:rPr>
          <w:rFonts w:hint="default" w:ascii="Times New Roman" w:hAnsi="Times New Roman" w:eastAsia="宋体" w:cs="Times New Roman"/>
          <w:spacing w:val="-1"/>
          <w:sz w:val="24"/>
          <w:szCs w:val="24"/>
          <w:highlight w:val="none"/>
          <w:lang w:val="en-US" w:eastAsia="zh-CN"/>
        </w:rPr>
        <w:t>t</w:t>
      </w:r>
      <w:r>
        <w:rPr>
          <w:rFonts w:hint="default" w:ascii="Times New Roman" w:hAnsi="Times New Roman" w:eastAsia="宋体" w:cs="Times New Roman"/>
          <w:spacing w:val="-1"/>
          <w:sz w:val="24"/>
          <w:szCs w:val="24"/>
          <w:highlight w:val="none"/>
        </w:rPr>
        <w:t>/a。</w:t>
      </w:r>
    </w:p>
    <w:p w14:paraId="67832C58">
      <w:pPr>
        <w:pStyle w:val="7"/>
        <w:bidi w:val="0"/>
        <w:rPr>
          <w:rFonts w:hint="default"/>
          <w:highlight w:val="none"/>
          <w:lang w:val="en-US" w:eastAsia="zh-CN"/>
        </w:rPr>
      </w:pPr>
      <w:bookmarkStart w:id="303" w:name="_Toc22530"/>
      <w:r>
        <w:rPr>
          <w:rFonts w:hint="eastAsia"/>
          <w:highlight w:val="none"/>
          <w:lang w:val="en-US" w:eastAsia="zh-CN"/>
        </w:rPr>
        <w:t>11.1.7</w:t>
      </w:r>
      <w:r>
        <w:rPr>
          <w:rFonts w:hint="default"/>
          <w:highlight w:val="none"/>
          <w:lang w:val="en-US" w:eastAsia="zh-CN"/>
        </w:rPr>
        <w:t>环境经济损益分析结论</w:t>
      </w:r>
      <w:bookmarkEnd w:id="303"/>
    </w:p>
    <w:p w14:paraId="5567583F">
      <w:pPr>
        <w:pageBreakBefore w:val="0"/>
        <w:widowControl w:val="0"/>
        <w:kinsoku/>
        <w:wordWrap/>
        <w:overflowPunct/>
        <w:topLinePunct w:val="0"/>
        <w:autoSpaceDE/>
        <w:autoSpaceDN/>
        <w:bidi w:val="0"/>
        <w:adjustRightInd/>
        <w:snapToGrid/>
        <w:spacing w:line="360" w:lineRule="auto"/>
        <w:ind w:left="0" w:right="0" w:firstLine="468" w:firstLineChars="200"/>
        <w:jc w:val="both"/>
        <w:textAlignment w:val="auto"/>
        <w:rPr>
          <w:rFonts w:hint="default"/>
          <w:highlight w:val="none"/>
          <w:lang w:val="en-US" w:eastAsia="zh-CN"/>
        </w:rPr>
      </w:pPr>
      <w:r>
        <w:rPr>
          <w:rFonts w:ascii="宋体" w:hAnsi="宋体" w:eastAsia="宋体" w:cs="宋体"/>
          <w:spacing w:val="-3"/>
          <w:sz w:val="24"/>
          <w:szCs w:val="24"/>
          <w:highlight w:val="none"/>
        </w:rPr>
        <w:t>根据分析，本项目的污染治理设备在正常运行的状况下可做到污</w:t>
      </w:r>
      <w:r>
        <w:rPr>
          <w:rFonts w:ascii="宋体" w:hAnsi="宋体" w:eastAsia="宋体" w:cs="宋体"/>
          <w:spacing w:val="-4"/>
          <w:sz w:val="24"/>
          <w:szCs w:val="24"/>
          <w:highlight w:val="none"/>
        </w:rPr>
        <w:t>染物达标排</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放，这对当地环境和人民群众是一种负责任的态度，在对当地经济建设作出贡献</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的同时也保护了当地的环境质量，只要企业切实落实本报告提出的各项污染防治</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措施，使各类污染物均做到达标排放，则该项目的建设和营运对周围环境的影响</w:t>
      </w:r>
      <w:r>
        <w:rPr>
          <w:rFonts w:ascii="宋体" w:hAnsi="宋体" w:eastAsia="宋体" w:cs="宋体"/>
          <w:spacing w:val="1"/>
          <w:sz w:val="24"/>
          <w:szCs w:val="24"/>
          <w:highlight w:val="none"/>
        </w:rPr>
        <w:t xml:space="preserve"> </w:t>
      </w:r>
      <w:r>
        <w:rPr>
          <w:rFonts w:ascii="宋体" w:hAnsi="宋体" w:eastAsia="宋体" w:cs="宋体"/>
          <w:sz w:val="24"/>
          <w:szCs w:val="24"/>
          <w:highlight w:val="none"/>
        </w:rPr>
        <w:t>是可以承受的，能够做到社会效益、环境效益</w:t>
      </w:r>
      <w:r>
        <w:rPr>
          <w:rFonts w:ascii="宋体" w:hAnsi="宋体" w:eastAsia="宋体" w:cs="宋体"/>
          <w:spacing w:val="-1"/>
          <w:sz w:val="24"/>
          <w:szCs w:val="24"/>
          <w:highlight w:val="none"/>
        </w:rPr>
        <w:t>和经济效益三者的统一。</w:t>
      </w:r>
    </w:p>
    <w:p w14:paraId="4EE3F31B">
      <w:pPr>
        <w:pStyle w:val="7"/>
        <w:bidi w:val="0"/>
        <w:rPr>
          <w:rFonts w:hint="default"/>
          <w:highlight w:val="none"/>
          <w:lang w:val="en-US" w:eastAsia="zh-CN"/>
        </w:rPr>
      </w:pPr>
      <w:bookmarkStart w:id="304" w:name="_Toc24196"/>
      <w:bookmarkStart w:id="305" w:name="_Toc23420"/>
      <w:bookmarkStart w:id="306" w:name="_Toc20388434"/>
      <w:bookmarkStart w:id="307" w:name="_Toc12692"/>
      <w:bookmarkStart w:id="308" w:name="_Toc7310"/>
      <w:bookmarkStart w:id="309" w:name="_Toc31307"/>
      <w:bookmarkStart w:id="310" w:name="_Toc2797"/>
      <w:r>
        <w:rPr>
          <w:rFonts w:hint="eastAsia"/>
          <w:highlight w:val="none"/>
          <w:lang w:val="en-US" w:eastAsia="zh-CN"/>
        </w:rPr>
        <w:t>11.1.8</w:t>
      </w:r>
      <w:r>
        <w:rPr>
          <w:rFonts w:hint="default"/>
          <w:highlight w:val="none"/>
          <w:lang w:val="en-US" w:eastAsia="zh-CN"/>
        </w:rPr>
        <w:t>环境管理与监测计划结论</w:t>
      </w:r>
      <w:bookmarkEnd w:id="304"/>
      <w:bookmarkEnd w:id="305"/>
      <w:bookmarkEnd w:id="306"/>
      <w:bookmarkEnd w:id="307"/>
      <w:bookmarkEnd w:id="308"/>
      <w:bookmarkEnd w:id="309"/>
      <w:bookmarkEnd w:id="310"/>
    </w:p>
    <w:p w14:paraId="7C30EFC8">
      <w:pPr>
        <w:spacing w:line="360" w:lineRule="auto"/>
        <w:ind w:firstLine="480" w:firstLineChars="200"/>
        <w:rPr>
          <w:rFonts w:ascii="宋体" w:hAnsi="宋体" w:eastAsia="宋体" w:cs="宋体"/>
          <w:b/>
          <w:bCs/>
          <w:spacing w:val="-5"/>
          <w:sz w:val="28"/>
          <w:szCs w:val="28"/>
          <w:highlight w:val="none"/>
        </w:rPr>
      </w:pPr>
      <w:r>
        <w:rPr>
          <w:rFonts w:hint="default" w:ascii="Times New Roman" w:hAnsi="Times New Roman" w:eastAsia="宋体" w:cs="Times New Roman"/>
          <w:color w:val="auto"/>
          <w:sz w:val="24"/>
          <w:szCs w:val="24"/>
          <w:highlight w:val="none"/>
          <w:u w:val="none" w:color="auto"/>
          <w:lang w:eastAsia="zh-CN"/>
        </w:rPr>
        <w:t>为落实各项污染防治措施，加强环境保护工作的管理，建设单位应根据项目的实际情况，制订各种类型的环保规章制度，并按照有关部门的批复以及环评报告书中所提出的各项环保措施，认真落实环保设施的设计，施工任务，并积极落实有关环保经费，制定日常监测计划以保证环境保护设施实现“三同时”，做好日</w:t>
      </w:r>
      <w:r>
        <w:rPr>
          <w:rFonts w:hint="default" w:ascii="Times New Roman" w:hAnsi="Times New Roman" w:eastAsia="宋体" w:cs="Times New Roman"/>
          <w:color w:val="auto"/>
          <w:sz w:val="24"/>
          <w:szCs w:val="24"/>
          <w:highlight w:val="none"/>
          <w:u w:val="none" w:color="auto"/>
          <w:lang w:val="en-US" w:eastAsia="zh-CN"/>
        </w:rPr>
        <w:t>常环境管理</w:t>
      </w:r>
      <w:r>
        <w:rPr>
          <w:rFonts w:hint="eastAsia" w:ascii="Times New Roman" w:hAnsi="Times New Roman" w:eastAsia="宋体" w:cs="Times New Roman"/>
          <w:color w:val="auto"/>
          <w:sz w:val="24"/>
          <w:szCs w:val="24"/>
          <w:highlight w:val="none"/>
          <w:u w:val="none" w:color="auto"/>
          <w:lang w:val="en-US" w:eastAsia="zh-CN"/>
        </w:rPr>
        <w:t>，</w:t>
      </w:r>
      <w:r>
        <w:rPr>
          <w:rFonts w:ascii="宋体" w:hAnsi="宋体" w:eastAsia="宋体" w:cs="宋体"/>
          <w:spacing w:val="-1"/>
          <w:sz w:val="24"/>
          <w:szCs w:val="24"/>
          <w:highlight w:val="none"/>
        </w:rPr>
        <w:t>对项目排放的废气、</w:t>
      </w:r>
      <w:r>
        <w:rPr>
          <w:rFonts w:hint="eastAsia" w:ascii="宋体" w:hAnsi="宋体" w:eastAsia="宋体" w:cs="宋体"/>
          <w:spacing w:val="-1"/>
          <w:sz w:val="24"/>
          <w:szCs w:val="24"/>
          <w:highlight w:val="none"/>
          <w:lang w:val="en-US" w:eastAsia="zh-CN"/>
        </w:rPr>
        <w:t>废水、</w:t>
      </w:r>
      <w:r>
        <w:rPr>
          <w:rFonts w:ascii="宋体" w:hAnsi="宋体" w:eastAsia="宋体" w:cs="宋体"/>
          <w:spacing w:val="-1"/>
          <w:sz w:val="24"/>
          <w:szCs w:val="24"/>
          <w:highlight w:val="none"/>
        </w:rPr>
        <w:t>厂界噪声</w:t>
      </w:r>
      <w:r>
        <w:rPr>
          <w:rFonts w:hint="eastAsia" w:ascii="宋体" w:hAnsi="宋体" w:eastAsia="宋体" w:cs="宋体"/>
          <w:spacing w:val="-1"/>
          <w:sz w:val="24"/>
          <w:szCs w:val="24"/>
          <w:highlight w:val="none"/>
          <w:lang w:val="en-US" w:eastAsia="zh-CN"/>
        </w:rPr>
        <w:t>等</w:t>
      </w:r>
      <w:r>
        <w:rPr>
          <w:rFonts w:ascii="宋体" w:hAnsi="宋体" w:eastAsia="宋体" w:cs="宋体"/>
          <w:spacing w:val="-2"/>
          <w:sz w:val="24"/>
          <w:szCs w:val="24"/>
          <w:highlight w:val="none"/>
        </w:rPr>
        <w:t>进行自行监测。</w:t>
      </w:r>
    </w:p>
    <w:p w14:paraId="070AC844">
      <w:pPr>
        <w:pStyle w:val="7"/>
        <w:bidi w:val="0"/>
        <w:rPr>
          <w:rFonts w:hint="eastAsia"/>
          <w:highlight w:val="none"/>
        </w:rPr>
      </w:pPr>
      <w:bookmarkStart w:id="311" w:name="_Toc17693"/>
      <w:r>
        <w:rPr>
          <w:rFonts w:hint="eastAsia"/>
          <w:highlight w:val="none"/>
        </w:rPr>
        <w:t>11.1.</w:t>
      </w:r>
      <w:r>
        <w:rPr>
          <w:rFonts w:hint="eastAsia"/>
          <w:highlight w:val="none"/>
          <w:lang w:val="en-US" w:eastAsia="zh-CN"/>
        </w:rPr>
        <w:t>9</w:t>
      </w:r>
      <w:r>
        <w:rPr>
          <w:rFonts w:hint="eastAsia"/>
          <w:highlight w:val="none"/>
        </w:rPr>
        <w:t>公众参与</w:t>
      </w:r>
      <w:bookmarkEnd w:id="311"/>
    </w:p>
    <w:p w14:paraId="5D5F4D76">
      <w:pPr>
        <w:pStyle w:val="8"/>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jc w:val="both"/>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建设单位已经按照《环境影响评价公共参与办法》（生态环境部部令第四号） 开展公众参与工作，通过采取网上公示、报纸公示</w:t>
      </w:r>
      <w:r>
        <w:rPr>
          <w:rFonts w:hint="eastAsia" w:ascii="Times New Roman" w:hAnsi="Times New Roman" w:cs="Times New Roman"/>
          <w:color w:val="auto"/>
          <w:kern w:val="2"/>
          <w:sz w:val="24"/>
          <w:szCs w:val="24"/>
          <w:highlight w:val="none"/>
          <w:u w:val="none" w:color="auto"/>
          <w:lang w:val="en-US" w:eastAsia="zh-CN" w:bidi="ar-SA"/>
        </w:rPr>
        <w:t>、</w:t>
      </w:r>
      <w:r>
        <w:rPr>
          <w:spacing w:val="-3"/>
          <w:highlight w:val="none"/>
        </w:rPr>
        <w:t>现场公示</w:t>
      </w:r>
      <w:r>
        <w:rPr>
          <w:rFonts w:hint="eastAsia" w:ascii="Times New Roman" w:hAnsi="Times New Roman" w:eastAsia="宋体" w:cs="Times New Roman"/>
          <w:color w:val="auto"/>
          <w:kern w:val="2"/>
          <w:sz w:val="24"/>
          <w:szCs w:val="24"/>
          <w:highlight w:val="none"/>
          <w:u w:val="none" w:color="auto"/>
          <w:lang w:val="en-US" w:eastAsia="zh-CN" w:bidi="ar-SA"/>
        </w:rPr>
        <w:t>的形式，对受项目影响范围内的公众开展了公众参与调查工作，</w:t>
      </w:r>
      <w:r>
        <w:rPr>
          <w:rFonts w:ascii="Times New Roman" w:cs="Times New Roman"/>
          <w:color w:val="auto"/>
          <w:kern w:val="0"/>
          <w:highlight w:val="none"/>
        </w:rPr>
        <w:t>第一次公示和第二次公示公示期间，</w:t>
      </w:r>
      <w:r>
        <w:rPr>
          <w:rFonts w:hint="eastAsia" w:ascii="Times New Roman" w:hAnsi="Times New Roman" w:eastAsia="宋体" w:cs="Times New Roman"/>
          <w:color w:val="auto"/>
          <w:kern w:val="2"/>
          <w:sz w:val="24"/>
          <w:szCs w:val="24"/>
          <w:highlight w:val="none"/>
          <w:u w:val="none" w:color="auto"/>
          <w:lang w:val="en-US" w:eastAsia="zh-CN" w:bidi="ar-SA"/>
        </w:rPr>
        <w:t>未收到公众反对意见。</w:t>
      </w:r>
    </w:p>
    <w:p w14:paraId="69E4FE1E">
      <w:pPr>
        <w:pStyle w:val="7"/>
        <w:pageBreakBefore w:val="0"/>
        <w:kinsoku/>
        <w:wordWrap/>
        <w:overflowPunct/>
        <w:topLinePunct w:val="0"/>
        <w:autoSpaceDE/>
        <w:autoSpaceDN/>
        <w:bidi w:val="0"/>
        <w:adjustRightInd/>
        <w:spacing w:line="360" w:lineRule="auto"/>
        <w:textAlignment w:val="auto"/>
        <w:rPr>
          <w:highlight w:val="none"/>
        </w:rPr>
      </w:pPr>
      <w:bookmarkStart w:id="312" w:name="_Toc18941"/>
      <w:r>
        <w:rPr>
          <w:highlight w:val="none"/>
        </w:rPr>
        <w:t>11.1.</w:t>
      </w:r>
      <w:r>
        <w:rPr>
          <w:rFonts w:hint="eastAsia"/>
          <w:highlight w:val="none"/>
          <w:lang w:val="en-US" w:eastAsia="zh-CN"/>
        </w:rPr>
        <w:t>10</w:t>
      </w:r>
      <w:r>
        <w:rPr>
          <w:highlight w:val="none"/>
        </w:rPr>
        <w:t>综合评价结论</w:t>
      </w:r>
      <w:bookmarkEnd w:id="312"/>
    </w:p>
    <w:p w14:paraId="52B4EDBF">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本项目的建设符合本项目符合国家产业政策；工业用地符合岳阳县荣家湾镇高新技术产业园区调区扩区规划和工业布局。厂区平面布置合理，厂址可行；污染防治措施有效可行，废气污染物可实现达标排放，对区域环境空气和敏感保护目标的影响可以接受，噪声厂界达标，项目废水可达标排放，固体废物全部得到综合利用或合理处置，各类污染物的排放对周围环境影响不大。在采取合理可行的防渗措施后，工程对土壤环境质量和地下水水质的影响较小；在采取相应的环境风险防范和应急管理措施后，拟建项目环境风险影响可控。因此，本评价认为，在拟建项目建设过程中有效落实各项环境保护措施及其它措施，并充分考虑环评提出的建议后，从环境保护角度分析，拟建项目建设具有可行性。</w:t>
      </w:r>
    </w:p>
    <w:p w14:paraId="0364835D">
      <w:pPr>
        <w:pStyle w:val="6"/>
        <w:bidi w:val="0"/>
        <w:rPr>
          <w:rFonts w:ascii="宋体" w:hAnsi="宋体" w:eastAsia="宋体" w:cs="宋体"/>
          <w:b/>
          <w:bCs/>
          <w:spacing w:val="-5"/>
          <w:sz w:val="28"/>
          <w:szCs w:val="28"/>
          <w:highlight w:val="none"/>
        </w:rPr>
      </w:pPr>
      <w:bookmarkStart w:id="313" w:name="_Toc23617"/>
      <w:bookmarkStart w:id="314" w:name="_Toc488833110"/>
      <w:r>
        <w:rPr>
          <w:highlight w:val="none"/>
        </w:rPr>
        <w:t>11.2建议及要求</w:t>
      </w:r>
      <w:bookmarkEnd w:id="313"/>
      <w:bookmarkEnd w:id="314"/>
    </w:p>
    <w:p w14:paraId="050B3A72">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（1）项目建设过程中，注重施工期的环境保护，加强施工管理，做到文明 施工与装卸，尽量减少与防止施工扬尘。</w:t>
      </w:r>
    </w:p>
    <w:p w14:paraId="241725AC">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（2）项目建成后注重废气处理设施的维护与保养，使其保持最佳的工作状 态和处理效率，防止非正常排放事故的发生。制定好工程不稳定生产状况时和主 要污染治理设施故障时的应急 方案与措施，以便一旦发生时及时有效地控制污 染物产出与排放，确保将对环境的不利影响控制到最低程度。</w:t>
      </w:r>
    </w:p>
    <w:p w14:paraId="7726566F">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（3）应重视和加强环境风险管理和防范，切实做好安全生产。</w:t>
      </w:r>
    </w:p>
    <w:p w14:paraId="7FCE5418">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（4）严格执行“三同时”制度，项目建成后须经环保竣工验收合格后方可投 入运营。</w:t>
      </w:r>
    </w:p>
    <w:p w14:paraId="4226FEE3">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（5）企业应及时办理排污许可证。</w:t>
      </w:r>
    </w:p>
    <w:p w14:paraId="650F4ACF">
      <w:pPr>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auto"/>
          <w:kern w:val="2"/>
          <w:sz w:val="24"/>
          <w:szCs w:val="24"/>
          <w:highlight w:val="none"/>
          <w:u w:val="none" w:color="auto"/>
          <w:lang w:val="en-US" w:eastAsia="zh-CN" w:bidi="ar-SA"/>
        </w:rPr>
      </w:pPr>
    </w:p>
    <w:p w14:paraId="580E001F">
      <w:pPr>
        <w:bidi w:val="0"/>
        <w:rPr>
          <w:rFonts w:hint="eastAsia" w:ascii="Times New Roman" w:hAnsi="Times New Roman" w:eastAsia="仿宋" w:cs="Times New Roman"/>
          <w:kern w:val="2"/>
          <w:sz w:val="28"/>
          <w:szCs w:val="36"/>
          <w:highlight w:val="none"/>
          <w:lang w:val="en-US" w:eastAsia="zh-CN" w:bidi="ar-SA"/>
        </w:rPr>
      </w:pPr>
    </w:p>
    <w:p w14:paraId="22121791">
      <w:pPr>
        <w:bidi w:val="0"/>
        <w:rPr>
          <w:rFonts w:hint="eastAsia"/>
          <w:highlight w:val="none"/>
          <w:lang w:val="en-US" w:eastAsia="zh-CN"/>
        </w:rPr>
      </w:pPr>
    </w:p>
    <w:p w14:paraId="0E530E2A">
      <w:pPr>
        <w:bidi w:val="0"/>
        <w:rPr>
          <w:rFonts w:hint="eastAsia"/>
          <w:highlight w:val="none"/>
          <w:lang w:val="en-US" w:eastAsia="zh-CN"/>
        </w:rPr>
      </w:pPr>
    </w:p>
    <w:p w14:paraId="297308A5">
      <w:pPr>
        <w:bidi w:val="0"/>
        <w:rPr>
          <w:rFonts w:hint="eastAsia"/>
          <w:highlight w:val="none"/>
          <w:lang w:val="en-US" w:eastAsia="zh-CN"/>
        </w:rPr>
      </w:pPr>
    </w:p>
    <w:p w14:paraId="3BCBA506">
      <w:pPr>
        <w:bidi w:val="0"/>
        <w:rPr>
          <w:rFonts w:hint="eastAsia"/>
          <w:highlight w:val="none"/>
          <w:lang w:val="en-US" w:eastAsia="zh-CN"/>
        </w:rPr>
      </w:pPr>
    </w:p>
    <w:p w14:paraId="4E3F4EF0">
      <w:pPr>
        <w:bidi w:val="0"/>
        <w:ind w:left="0" w:leftChars="0" w:firstLine="0" w:firstLineChars="0"/>
        <w:rPr>
          <w:rFonts w:hint="eastAsia"/>
          <w:highlight w:val="none"/>
          <w:lang w:val="en-US" w:eastAsia="zh-CN"/>
        </w:rPr>
      </w:pPr>
    </w:p>
    <w:sectPr>
      <w:pgSz w:w="11905" w:h="16838"/>
      <w:pgMar w:top="1440" w:right="1803" w:bottom="1440" w:left="1803" w:header="0" w:footer="154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KaTeX_Math">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D691C">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2949E">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3AAAB">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171A">
    <w:pPr>
      <w:pStyle w:val="1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ED9538">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4DED9538">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C329D">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F5D60">
                          <w:pPr>
                            <w:pStyle w:val="16"/>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0DF5D60">
                    <w:pPr>
                      <w:pStyle w:val="16"/>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EC285">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57C9B">
                          <w:pPr>
                            <w:pStyle w:val="1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E657C9B">
                    <w:pPr>
                      <w:pStyle w:val="1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AE4F1">
    <w:pPr>
      <w:pStyle w:val="16"/>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194FC">
                          <w:pPr>
                            <w:pStyle w:val="16"/>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D194FC">
                    <w:pPr>
                      <w:pStyle w:val="16"/>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EEFA5A"/>
    <w:multiLevelType w:val="singleLevel"/>
    <w:tmpl w:val="87EEFA5A"/>
    <w:lvl w:ilvl="0" w:tentative="0">
      <w:start w:val="2"/>
      <w:numFmt w:val="decimal"/>
      <w:suff w:val="nothing"/>
      <w:lvlText w:val="（%1）"/>
      <w:lvlJc w:val="left"/>
    </w:lvl>
  </w:abstractNum>
  <w:abstractNum w:abstractNumId="1">
    <w:nsid w:val="91ABA7A7"/>
    <w:multiLevelType w:val="singleLevel"/>
    <w:tmpl w:val="91ABA7A7"/>
    <w:lvl w:ilvl="0" w:tentative="0">
      <w:start w:val="1"/>
      <w:numFmt w:val="decimal"/>
      <w:suff w:val="nothing"/>
      <w:lvlText w:val="（%1）"/>
      <w:lvlJc w:val="left"/>
    </w:lvl>
  </w:abstractNum>
  <w:abstractNum w:abstractNumId="2">
    <w:nsid w:val="B39C6220"/>
    <w:multiLevelType w:val="singleLevel"/>
    <w:tmpl w:val="B39C6220"/>
    <w:lvl w:ilvl="0" w:tentative="0">
      <w:start w:val="1"/>
      <w:numFmt w:val="decimal"/>
      <w:suff w:val="nothing"/>
      <w:lvlText w:val="（%1）"/>
      <w:lvlJc w:val="left"/>
    </w:lvl>
  </w:abstractNum>
  <w:abstractNum w:abstractNumId="3">
    <w:nsid w:val="C85A081F"/>
    <w:multiLevelType w:val="singleLevel"/>
    <w:tmpl w:val="C85A081F"/>
    <w:lvl w:ilvl="0" w:tentative="0">
      <w:start w:val="8"/>
      <w:numFmt w:val="decimal"/>
      <w:suff w:val="space"/>
      <w:lvlText w:val="%1、"/>
      <w:lvlJc w:val="left"/>
    </w:lvl>
  </w:abstractNum>
  <w:abstractNum w:abstractNumId="4">
    <w:nsid w:val="D361F183"/>
    <w:multiLevelType w:val="singleLevel"/>
    <w:tmpl w:val="D361F183"/>
    <w:lvl w:ilvl="0" w:tentative="0">
      <w:start w:val="2"/>
      <w:numFmt w:val="decimal"/>
      <w:suff w:val="nothing"/>
      <w:lvlText w:val="%1、"/>
      <w:lvlJc w:val="left"/>
    </w:lvl>
  </w:abstractNum>
  <w:abstractNum w:abstractNumId="5">
    <w:nsid w:val="EC29431C"/>
    <w:multiLevelType w:val="singleLevel"/>
    <w:tmpl w:val="EC29431C"/>
    <w:lvl w:ilvl="0" w:tentative="0">
      <w:start w:val="2"/>
      <w:numFmt w:val="decimal"/>
      <w:suff w:val="nothing"/>
      <w:lvlText w:val="%1、"/>
      <w:lvlJc w:val="left"/>
    </w:lvl>
  </w:abstractNum>
  <w:abstractNum w:abstractNumId="6">
    <w:nsid w:val="EEB53D60"/>
    <w:multiLevelType w:val="singleLevel"/>
    <w:tmpl w:val="EEB53D60"/>
    <w:lvl w:ilvl="0" w:tentative="0">
      <w:start w:val="6"/>
      <w:numFmt w:val="decimal"/>
      <w:suff w:val="nothing"/>
      <w:lvlText w:val="（%1）"/>
      <w:lvlJc w:val="left"/>
    </w:lvl>
  </w:abstractNum>
  <w:abstractNum w:abstractNumId="7">
    <w:nsid w:val="F0E5FA19"/>
    <w:multiLevelType w:val="singleLevel"/>
    <w:tmpl w:val="F0E5FA19"/>
    <w:lvl w:ilvl="0" w:tentative="0">
      <w:start w:val="1"/>
      <w:numFmt w:val="decimal"/>
      <w:suff w:val="nothing"/>
      <w:lvlText w:val="（%1）"/>
      <w:lvlJc w:val="left"/>
    </w:lvl>
  </w:abstractNum>
  <w:abstractNum w:abstractNumId="8">
    <w:nsid w:val="093AF642"/>
    <w:multiLevelType w:val="singleLevel"/>
    <w:tmpl w:val="093AF642"/>
    <w:lvl w:ilvl="0" w:tentative="0">
      <w:start w:val="3"/>
      <w:numFmt w:val="decimal"/>
      <w:suff w:val="nothing"/>
      <w:lvlText w:val="（%1）"/>
      <w:lvlJc w:val="left"/>
      <w:pPr>
        <w:ind w:left="80"/>
      </w:pPr>
    </w:lvl>
  </w:abstractNum>
  <w:abstractNum w:abstractNumId="9">
    <w:nsid w:val="630EDDB7"/>
    <w:multiLevelType w:val="singleLevel"/>
    <w:tmpl w:val="630EDDB7"/>
    <w:lvl w:ilvl="0" w:tentative="0">
      <w:start w:val="1"/>
      <w:numFmt w:val="decimal"/>
      <w:suff w:val="nothing"/>
      <w:lvlText w:val="（%1）"/>
      <w:lvlJc w:val="left"/>
    </w:lvl>
  </w:abstractNum>
  <w:abstractNum w:abstractNumId="10">
    <w:nsid w:val="72916D19"/>
    <w:multiLevelType w:val="singleLevel"/>
    <w:tmpl w:val="72916D19"/>
    <w:lvl w:ilvl="0" w:tentative="0">
      <w:start w:val="1"/>
      <w:numFmt w:val="decimal"/>
      <w:suff w:val="nothing"/>
      <w:lvlText w:val="（%1）"/>
      <w:lvlJc w:val="left"/>
    </w:lvl>
  </w:abstractNum>
  <w:abstractNum w:abstractNumId="11">
    <w:nsid w:val="7CA9DAF4"/>
    <w:multiLevelType w:val="singleLevel"/>
    <w:tmpl w:val="7CA9DAF4"/>
    <w:lvl w:ilvl="0" w:tentative="0">
      <w:start w:val="1"/>
      <w:numFmt w:val="decimal"/>
      <w:suff w:val="nothing"/>
      <w:lvlText w:val="%1、"/>
      <w:lvlJc w:val="left"/>
    </w:lvl>
  </w:abstractNum>
  <w:num w:numId="1">
    <w:abstractNumId w:val="0"/>
  </w:num>
  <w:num w:numId="2">
    <w:abstractNumId w:val="1"/>
  </w:num>
  <w:num w:numId="3">
    <w:abstractNumId w:val="3"/>
  </w:num>
  <w:num w:numId="4">
    <w:abstractNumId w:val="6"/>
  </w:num>
  <w:num w:numId="5">
    <w:abstractNumId w:val="9"/>
  </w:num>
  <w:num w:numId="6">
    <w:abstractNumId w:val="10"/>
  </w:num>
  <w:num w:numId="7">
    <w:abstractNumId w:val="2"/>
  </w:num>
  <w:num w:numId="8">
    <w:abstractNumId w:val="8"/>
  </w:num>
  <w:num w:numId="9">
    <w:abstractNumId w:val="7"/>
  </w:num>
  <w:num w:numId="10">
    <w:abstractNumId w:val="11"/>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0"/>
  <w:bordersDoNotSurroundFooter w:val="0"/>
  <w:documentProtection w:enforcement="0"/>
  <w:defaultTabStop w:val="420"/>
  <w:drawingGridHorizontalSpacing w:val="28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0OTIxYmRlM2M3OWM0MmJkMGQ0Zjc3ODA4OTcxNjMifQ=="/>
  </w:docVars>
  <w:rsids>
    <w:rsidRoot w:val="00000000"/>
    <w:rsid w:val="001A2968"/>
    <w:rsid w:val="002630BB"/>
    <w:rsid w:val="002649D8"/>
    <w:rsid w:val="002761FD"/>
    <w:rsid w:val="002E1808"/>
    <w:rsid w:val="003332A4"/>
    <w:rsid w:val="00356594"/>
    <w:rsid w:val="003752C8"/>
    <w:rsid w:val="00450166"/>
    <w:rsid w:val="00501EE6"/>
    <w:rsid w:val="005574FC"/>
    <w:rsid w:val="005A0FB6"/>
    <w:rsid w:val="005A2D64"/>
    <w:rsid w:val="00655102"/>
    <w:rsid w:val="006D2A98"/>
    <w:rsid w:val="006E6810"/>
    <w:rsid w:val="00763D5F"/>
    <w:rsid w:val="00777AD0"/>
    <w:rsid w:val="007D3941"/>
    <w:rsid w:val="008322BB"/>
    <w:rsid w:val="00960C8B"/>
    <w:rsid w:val="00B02961"/>
    <w:rsid w:val="00BE32F3"/>
    <w:rsid w:val="00CB1EB4"/>
    <w:rsid w:val="00E40880"/>
    <w:rsid w:val="00F20367"/>
    <w:rsid w:val="010351AA"/>
    <w:rsid w:val="011353AB"/>
    <w:rsid w:val="01182082"/>
    <w:rsid w:val="01192C1F"/>
    <w:rsid w:val="01203FAE"/>
    <w:rsid w:val="012062F3"/>
    <w:rsid w:val="012651AE"/>
    <w:rsid w:val="012F4B09"/>
    <w:rsid w:val="013435B5"/>
    <w:rsid w:val="01352CD2"/>
    <w:rsid w:val="0136557F"/>
    <w:rsid w:val="013E64FC"/>
    <w:rsid w:val="01444DD9"/>
    <w:rsid w:val="014557C2"/>
    <w:rsid w:val="01710365"/>
    <w:rsid w:val="01756BFE"/>
    <w:rsid w:val="018D0933"/>
    <w:rsid w:val="01964ADD"/>
    <w:rsid w:val="01A87AFF"/>
    <w:rsid w:val="01A96179"/>
    <w:rsid w:val="01BC5980"/>
    <w:rsid w:val="01C506B1"/>
    <w:rsid w:val="01C546A6"/>
    <w:rsid w:val="01D34B7C"/>
    <w:rsid w:val="01D60B10"/>
    <w:rsid w:val="01D636E1"/>
    <w:rsid w:val="01F75CD6"/>
    <w:rsid w:val="01F80A87"/>
    <w:rsid w:val="01FD2FCC"/>
    <w:rsid w:val="01FF0067"/>
    <w:rsid w:val="020E3F03"/>
    <w:rsid w:val="02186A33"/>
    <w:rsid w:val="021D673F"/>
    <w:rsid w:val="02315D47"/>
    <w:rsid w:val="023A4BFB"/>
    <w:rsid w:val="02491AB4"/>
    <w:rsid w:val="02532161"/>
    <w:rsid w:val="02691984"/>
    <w:rsid w:val="026F71B4"/>
    <w:rsid w:val="027427F8"/>
    <w:rsid w:val="027F4D04"/>
    <w:rsid w:val="028265A2"/>
    <w:rsid w:val="02895B83"/>
    <w:rsid w:val="028A48D7"/>
    <w:rsid w:val="0295277A"/>
    <w:rsid w:val="02A1198C"/>
    <w:rsid w:val="02A67A28"/>
    <w:rsid w:val="02AE5FA6"/>
    <w:rsid w:val="02BF47B2"/>
    <w:rsid w:val="02CE57FC"/>
    <w:rsid w:val="02D74B40"/>
    <w:rsid w:val="02DA66D9"/>
    <w:rsid w:val="02F2197A"/>
    <w:rsid w:val="03035935"/>
    <w:rsid w:val="03074C27"/>
    <w:rsid w:val="03103BAE"/>
    <w:rsid w:val="031A4A2D"/>
    <w:rsid w:val="0321400D"/>
    <w:rsid w:val="032D4760"/>
    <w:rsid w:val="032F672A"/>
    <w:rsid w:val="03362040"/>
    <w:rsid w:val="03404493"/>
    <w:rsid w:val="03443858"/>
    <w:rsid w:val="03461130"/>
    <w:rsid w:val="03525F75"/>
    <w:rsid w:val="03546191"/>
    <w:rsid w:val="03661E11"/>
    <w:rsid w:val="03722600"/>
    <w:rsid w:val="03764359"/>
    <w:rsid w:val="037B54CB"/>
    <w:rsid w:val="038F541B"/>
    <w:rsid w:val="0399352E"/>
    <w:rsid w:val="039B175F"/>
    <w:rsid w:val="03AA5DB1"/>
    <w:rsid w:val="03B66E40"/>
    <w:rsid w:val="03BB7FBE"/>
    <w:rsid w:val="03BD074E"/>
    <w:rsid w:val="03BE360A"/>
    <w:rsid w:val="03D41080"/>
    <w:rsid w:val="03D42D07"/>
    <w:rsid w:val="03E00BE2"/>
    <w:rsid w:val="03E84A27"/>
    <w:rsid w:val="03FB03BA"/>
    <w:rsid w:val="03FB485E"/>
    <w:rsid w:val="03FD2384"/>
    <w:rsid w:val="04073203"/>
    <w:rsid w:val="040C7417"/>
    <w:rsid w:val="041574DD"/>
    <w:rsid w:val="04267B2D"/>
    <w:rsid w:val="043128C5"/>
    <w:rsid w:val="044064F5"/>
    <w:rsid w:val="04441AB0"/>
    <w:rsid w:val="04447FB3"/>
    <w:rsid w:val="04531FA4"/>
    <w:rsid w:val="045B52FD"/>
    <w:rsid w:val="04726BDD"/>
    <w:rsid w:val="0475494B"/>
    <w:rsid w:val="047F6997"/>
    <w:rsid w:val="048734B6"/>
    <w:rsid w:val="048D0A87"/>
    <w:rsid w:val="04904FA7"/>
    <w:rsid w:val="04911291"/>
    <w:rsid w:val="049115E6"/>
    <w:rsid w:val="049556D8"/>
    <w:rsid w:val="049A5E25"/>
    <w:rsid w:val="049B69AA"/>
    <w:rsid w:val="049E6000"/>
    <w:rsid w:val="04A56E5D"/>
    <w:rsid w:val="04AE6573"/>
    <w:rsid w:val="04B70785"/>
    <w:rsid w:val="04B844FD"/>
    <w:rsid w:val="04CE5F64"/>
    <w:rsid w:val="04D01847"/>
    <w:rsid w:val="04D701B4"/>
    <w:rsid w:val="04DA0918"/>
    <w:rsid w:val="04F03C97"/>
    <w:rsid w:val="04F30983"/>
    <w:rsid w:val="04F96FF0"/>
    <w:rsid w:val="05034A30"/>
    <w:rsid w:val="051B0A72"/>
    <w:rsid w:val="05216546"/>
    <w:rsid w:val="052971A9"/>
    <w:rsid w:val="052F03AE"/>
    <w:rsid w:val="05393890"/>
    <w:rsid w:val="053F2336"/>
    <w:rsid w:val="05421CBE"/>
    <w:rsid w:val="05452DFC"/>
    <w:rsid w:val="0555746F"/>
    <w:rsid w:val="0558248B"/>
    <w:rsid w:val="0559183C"/>
    <w:rsid w:val="055A55AC"/>
    <w:rsid w:val="055C757F"/>
    <w:rsid w:val="0560562F"/>
    <w:rsid w:val="05614B95"/>
    <w:rsid w:val="05695BD3"/>
    <w:rsid w:val="057448C8"/>
    <w:rsid w:val="05881A43"/>
    <w:rsid w:val="05907041"/>
    <w:rsid w:val="059A406C"/>
    <w:rsid w:val="05A905EC"/>
    <w:rsid w:val="05B13057"/>
    <w:rsid w:val="05C00253"/>
    <w:rsid w:val="05C61235"/>
    <w:rsid w:val="05F81055"/>
    <w:rsid w:val="06096508"/>
    <w:rsid w:val="060A7BA0"/>
    <w:rsid w:val="060D2627"/>
    <w:rsid w:val="06257970"/>
    <w:rsid w:val="06277B8D"/>
    <w:rsid w:val="06357858"/>
    <w:rsid w:val="063E3E31"/>
    <w:rsid w:val="06436049"/>
    <w:rsid w:val="064916A0"/>
    <w:rsid w:val="0650592B"/>
    <w:rsid w:val="06557A38"/>
    <w:rsid w:val="066D371E"/>
    <w:rsid w:val="0677184D"/>
    <w:rsid w:val="067B1C86"/>
    <w:rsid w:val="067B57E2"/>
    <w:rsid w:val="068648B3"/>
    <w:rsid w:val="069629CC"/>
    <w:rsid w:val="069A3EBB"/>
    <w:rsid w:val="069C6D34"/>
    <w:rsid w:val="06AC42F3"/>
    <w:rsid w:val="06BD5DFB"/>
    <w:rsid w:val="06CE0B28"/>
    <w:rsid w:val="06D32584"/>
    <w:rsid w:val="06D870D9"/>
    <w:rsid w:val="06E96BF0"/>
    <w:rsid w:val="06F164EF"/>
    <w:rsid w:val="06F757B1"/>
    <w:rsid w:val="07041C7C"/>
    <w:rsid w:val="071E6B17"/>
    <w:rsid w:val="072200F8"/>
    <w:rsid w:val="073E518E"/>
    <w:rsid w:val="07593D76"/>
    <w:rsid w:val="075A7AEE"/>
    <w:rsid w:val="075B317E"/>
    <w:rsid w:val="075E138C"/>
    <w:rsid w:val="07636ABD"/>
    <w:rsid w:val="07682F29"/>
    <w:rsid w:val="076B5857"/>
    <w:rsid w:val="078443B5"/>
    <w:rsid w:val="078B7CA7"/>
    <w:rsid w:val="07905B50"/>
    <w:rsid w:val="07944DAE"/>
    <w:rsid w:val="0797664C"/>
    <w:rsid w:val="07996868"/>
    <w:rsid w:val="079E44B7"/>
    <w:rsid w:val="079E68F5"/>
    <w:rsid w:val="07A11279"/>
    <w:rsid w:val="07A30513"/>
    <w:rsid w:val="07A559FD"/>
    <w:rsid w:val="07AE458E"/>
    <w:rsid w:val="07B0770E"/>
    <w:rsid w:val="07B11801"/>
    <w:rsid w:val="07BD70D6"/>
    <w:rsid w:val="07C1191B"/>
    <w:rsid w:val="07C37770"/>
    <w:rsid w:val="07CD4764"/>
    <w:rsid w:val="07DE24CD"/>
    <w:rsid w:val="07E61381"/>
    <w:rsid w:val="07EC2E3C"/>
    <w:rsid w:val="07FB7C55"/>
    <w:rsid w:val="07FF2A68"/>
    <w:rsid w:val="08003DC4"/>
    <w:rsid w:val="0808292A"/>
    <w:rsid w:val="080C2145"/>
    <w:rsid w:val="0834033F"/>
    <w:rsid w:val="083F37A8"/>
    <w:rsid w:val="08420CAE"/>
    <w:rsid w:val="08464602"/>
    <w:rsid w:val="084D31AF"/>
    <w:rsid w:val="085207C5"/>
    <w:rsid w:val="08580825"/>
    <w:rsid w:val="085B3B1D"/>
    <w:rsid w:val="08712A08"/>
    <w:rsid w:val="087C32FA"/>
    <w:rsid w:val="087D7F38"/>
    <w:rsid w:val="088210AA"/>
    <w:rsid w:val="08892439"/>
    <w:rsid w:val="08943E95"/>
    <w:rsid w:val="08B11F30"/>
    <w:rsid w:val="08B27D8D"/>
    <w:rsid w:val="08CC67C9"/>
    <w:rsid w:val="08D17094"/>
    <w:rsid w:val="08DF64FD"/>
    <w:rsid w:val="08E75EC9"/>
    <w:rsid w:val="08E9737B"/>
    <w:rsid w:val="08EF7874"/>
    <w:rsid w:val="08F55D20"/>
    <w:rsid w:val="08FA50E4"/>
    <w:rsid w:val="08FD4BD5"/>
    <w:rsid w:val="09146371"/>
    <w:rsid w:val="091E5277"/>
    <w:rsid w:val="091E72AA"/>
    <w:rsid w:val="09271C52"/>
    <w:rsid w:val="0928090E"/>
    <w:rsid w:val="09353BD7"/>
    <w:rsid w:val="094445B2"/>
    <w:rsid w:val="09572537"/>
    <w:rsid w:val="095A1456"/>
    <w:rsid w:val="09632605"/>
    <w:rsid w:val="09667F6D"/>
    <w:rsid w:val="097430E9"/>
    <w:rsid w:val="097B135A"/>
    <w:rsid w:val="098350DA"/>
    <w:rsid w:val="09862E1C"/>
    <w:rsid w:val="098A4461"/>
    <w:rsid w:val="0995305F"/>
    <w:rsid w:val="09B01C47"/>
    <w:rsid w:val="09C120A6"/>
    <w:rsid w:val="09CC69DF"/>
    <w:rsid w:val="09D0027E"/>
    <w:rsid w:val="09D21BBD"/>
    <w:rsid w:val="09D5345C"/>
    <w:rsid w:val="09D74D3A"/>
    <w:rsid w:val="09E20982"/>
    <w:rsid w:val="09E562C4"/>
    <w:rsid w:val="09EA26EA"/>
    <w:rsid w:val="09F24FF5"/>
    <w:rsid w:val="09F4422A"/>
    <w:rsid w:val="09F7183B"/>
    <w:rsid w:val="0A003F9C"/>
    <w:rsid w:val="0A014251"/>
    <w:rsid w:val="0A0D1961"/>
    <w:rsid w:val="0A193C90"/>
    <w:rsid w:val="0A195230"/>
    <w:rsid w:val="0A1C2E55"/>
    <w:rsid w:val="0A252635"/>
    <w:rsid w:val="0A2914EB"/>
    <w:rsid w:val="0A454A85"/>
    <w:rsid w:val="0A4C5E14"/>
    <w:rsid w:val="0A4E164C"/>
    <w:rsid w:val="0A544CC8"/>
    <w:rsid w:val="0A5F252F"/>
    <w:rsid w:val="0A634F0B"/>
    <w:rsid w:val="0A64315D"/>
    <w:rsid w:val="0A6A0048"/>
    <w:rsid w:val="0A6C0264"/>
    <w:rsid w:val="0A786C09"/>
    <w:rsid w:val="0A81244D"/>
    <w:rsid w:val="0A825391"/>
    <w:rsid w:val="0A844F33"/>
    <w:rsid w:val="0A8F3F52"/>
    <w:rsid w:val="0A8F5D00"/>
    <w:rsid w:val="0A911A78"/>
    <w:rsid w:val="0A960E3D"/>
    <w:rsid w:val="0A981059"/>
    <w:rsid w:val="0A982E07"/>
    <w:rsid w:val="0A9B46A5"/>
    <w:rsid w:val="0AA01CBB"/>
    <w:rsid w:val="0AB44FBC"/>
    <w:rsid w:val="0AB80DB3"/>
    <w:rsid w:val="0AC407A4"/>
    <w:rsid w:val="0AC4554D"/>
    <w:rsid w:val="0AC557E6"/>
    <w:rsid w:val="0AD35BED"/>
    <w:rsid w:val="0AE0655C"/>
    <w:rsid w:val="0AE41BA8"/>
    <w:rsid w:val="0AE75B3C"/>
    <w:rsid w:val="0AFC7668"/>
    <w:rsid w:val="0B024724"/>
    <w:rsid w:val="0B136931"/>
    <w:rsid w:val="0B13771B"/>
    <w:rsid w:val="0B1A51FF"/>
    <w:rsid w:val="0B27418B"/>
    <w:rsid w:val="0B316DB7"/>
    <w:rsid w:val="0B3D575C"/>
    <w:rsid w:val="0B3D5B8A"/>
    <w:rsid w:val="0B3E2E4A"/>
    <w:rsid w:val="0B3F3282"/>
    <w:rsid w:val="0B40677D"/>
    <w:rsid w:val="0B57681E"/>
    <w:rsid w:val="0B5E5D63"/>
    <w:rsid w:val="0B611CB1"/>
    <w:rsid w:val="0B6C32B6"/>
    <w:rsid w:val="0B745622"/>
    <w:rsid w:val="0B9F256E"/>
    <w:rsid w:val="0BA23811"/>
    <w:rsid w:val="0BA8707A"/>
    <w:rsid w:val="0BA92DF2"/>
    <w:rsid w:val="0BAA7ED4"/>
    <w:rsid w:val="0BB04180"/>
    <w:rsid w:val="0BCE1A20"/>
    <w:rsid w:val="0BD22349"/>
    <w:rsid w:val="0BE63529"/>
    <w:rsid w:val="0BEB2351"/>
    <w:rsid w:val="0BEE2EFF"/>
    <w:rsid w:val="0BF95B27"/>
    <w:rsid w:val="0BFA364D"/>
    <w:rsid w:val="0BFD1732"/>
    <w:rsid w:val="0C0D3381"/>
    <w:rsid w:val="0C0F70F9"/>
    <w:rsid w:val="0C201306"/>
    <w:rsid w:val="0C264442"/>
    <w:rsid w:val="0C3725CC"/>
    <w:rsid w:val="0C37664F"/>
    <w:rsid w:val="0C403756"/>
    <w:rsid w:val="0C41302A"/>
    <w:rsid w:val="0C4A1F32"/>
    <w:rsid w:val="0C4C6087"/>
    <w:rsid w:val="0C5C65AB"/>
    <w:rsid w:val="0C69318C"/>
    <w:rsid w:val="0C6D2071"/>
    <w:rsid w:val="0C833643"/>
    <w:rsid w:val="0C8353F1"/>
    <w:rsid w:val="0C882A07"/>
    <w:rsid w:val="0C886EAB"/>
    <w:rsid w:val="0CA40A4B"/>
    <w:rsid w:val="0CA43CE5"/>
    <w:rsid w:val="0CB2155A"/>
    <w:rsid w:val="0CB554E8"/>
    <w:rsid w:val="0CB65BC5"/>
    <w:rsid w:val="0CBF52DA"/>
    <w:rsid w:val="0CD26E06"/>
    <w:rsid w:val="0CD779CD"/>
    <w:rsid w:val="0CE71E24"/>
    <w:rsid w:val="0CEA7310"/>
    <w:rsid w:val="0CEE4F60"/>
    <w:rsid w:val="0CF12B59"/>
    <w:rsid w:val="0CF75453"/>
    <w:rsid w:val="0D2546FA"/>
    <w:rsid w:val="0D2941EA"/>
    <w:rsid w:val="0D2C3CDA"/>
    <w:rsid w:val="0D2D2D0E"/>
    <w:rsid w:val="0D4C1C87"/>
    <w:rsid w:val="0D510495"/>
    <w:rsid w:val="0D585658"/>
    <w:rsid w:val="0D5F2CC7"/>
    <w:rsid w:val="0D643474"/>
    <w:rsid w:val="0D663866"/>
    <w:rsid w:val="0D6C2329"/>
    <w:rsid w:val="0D725B91"/>
    <w:rsid w:val="0D780C75"/>
    <w:rsid w:val="0D817135"/>
    <w:rsid w:val="0D8A23D1"/>
    <w:rsid w:val="0D9553DC"/>
    <w:rsid w:val="0D993821"/>
    <w:rsid w:val="0DA408D3"/>
    <w:rsid w:val="0DA47D15"/>
    <w:rsid w:val="0DA76D42"/>
    <w:rsid w:val="0DAE2A6D"/>
    <w:rsid w:val="0DB42637"/>
    <w:rsid w:val="0DB80F1D"/>
    <w:rsid w:val="0DC12675"/>
    <w:rsid w:val="0DC21132"/>
    <w:rsid w:val="0DC664D3"/>
    <w:rsid w:val="0DCE33A9"/>
    <w:rsid w:val="0DD32BE5"/>
    <w:rsid w:val="0DD71E98"/>
    <w:rsid w:val="0DEC4895"/>
    <w:rsid w:val="0DF30354"/>
    <w:rsid w:val="0DF447F8"/>
    <w:rsid w:val="0DFE11D3"/>
    <w:rsid w:val="0E08794E"/>
    <w:rsid w:val="0E17514B"/>
    <w:rsid w:val="0E3C619F"/>
    <w:rsid w:val="0E3E3CC5"/>
    <w:rsid w:val="0E422384"/>
    <w:rsid w:val="0E4D215A"/>
    <w:rsid w:val="0E4E4068"/>
    <w:rsid w:val="0E6A30C2"/>
    <w:rsid w:val="0E725814"/>
    <w:rsid w:val="0E7553D2"/>
    <w:rsid w:val="0E80608C"/>
    <w:rsid w:val="0E822135"/>
    <w:rsid w:val="0E872AC3"/>
    <w:rsid w:val="0E912047"/>
    <w:rsid w:val="0E925985"/>
    <w:rsid w:val="0E981627"/>
    <w:rsid w:val="0E9B4C74"/>
    <w:rsid w:val="0EA34265"/>
    <w:rsid w:val="0EA57A1B"/>
    <w:rsid w:val="0EA77ABC"/>
    <w:rsid w:val="0EB61F0C"/>
    <w:rsid w:val="0EB72584"/>
    <w:rsid w:val="0EB9159E"/>
    <w:rsid w:val="0EB977F0"/>
    <w:rsid w:val="0EBD516E"/>
    <w:rsid w:val="0EC71F0D"/>
    <w:rsid w:val="0EC8358F"/>
    <w:rsid w:val="0EDD72BB"/>
    <w:rsid w:val="0EEE7499"/>
    <w:rsid w:val="0EF04B15"/>
    <w:rsid w:val="0F00541F"/>
    <w:rsid w:val="0F1669F0"/>
    <w:rsid w:val="0F182768"/>
    <w:rsid w:val="0F2729AB"/>
    <w:rsid w:val="0F274759"/>
    <w:rsid w:val="0F4075C9"/>
    <w:rsid w:val="0F4A14D0"/>
    <w:rsid w:val="0F4C5F6E"/>
    <w:rsid w:val="0F5028F6"/>
    <w:rsid w:val="0F503FAC"/>
    <w:rsid w:val="0F5C32FF"/>
    <w:rsid w:val="0F5D017B"/>
    <w:rsid w:val="0F7200CA"/>
    <w:rsid w:val="0F781BF8"/>
    <w:rsid w:val="0F7D299E"/>
    <w:rsid w:val="0F7F6343"/>
    <w:rsid w:val="0F841BAC"/>
    <w:rsid w:val="0F8B2F3A"/>
    <w:rsid w:val="0F965C50"/>
    <w:rsid w:val="0F9D6A92"/>
    <w:rsid w:val="0FA062BA"/>
    <w:rsid w:val="0FA4260E"/>
    <w:rsid w:val="0FAB0EE6"/>
    <w:rsid w:val="0FB51D65"/>
    <w:rsid w:val="0FB71F81"/>
    <w:rsid w:val="0FB81855"/>
    <w:rsid w:val="0FB92492"/>
    <w:rsid w:val="0FBB5C24"/>
    <w:rsid w:val="0FBC0BBC"/>
    <w:rsid w:val="0FBD6E6C"/>
    <w:rsid w:val="0FBE4EFF"/>
    <w:rsid w:val="0FC226D4"/>
    <w:rsid w:val="0FC24482"/>
    <w:rsid w:val="0FD43E0E"/>
    <w:rsid w:val="0FDA3DE2"/>
    <w:rsid w:val="0FDD7B92"/>
    <w:rsid w:val="0FDF3286"/>
    <w:rsid w:val="0FF7237E"/>
    <w:rsid w:val="0FFD0FD3"/>
    <w:rsid w:val="0FFF466D"/>
    <w:rsid w:val="10066A65"/>
    <w:rsid w:val="10086339"/>
    <w:rsid w:val="100D1BA1"/>
    <w:rsid w:val="10172A20"/>
    <w:rsid w:val="101A606C"/>
    <w:rsid w:val="101C5154"/>
    <w:rsid w:val="101E3DAE"/>
    <w:rsid w:val="10274C2E"/>
    <w:rsid w:val="102B0279"/>
    <w:rsid w:val="104B5FD9"/>
    <w:rsid w:val="10501A8E"/>
    <w:rsid w:val="10615A49"/>
    <w:rsid w:val="106F43CC"/>
    <w:rsid w:val="108256F2"/>
    <w:rsid w:val="109C4CD3"/>
    <w:rsid w:val="109F5042"/>
    <w:rsid w:val="10A02A15"/>
    <w:rsid w:val="10A32505"/>
    <w:rsid w:val="10A83815"/>
    <w:rsid w:val="10B66513"/>
    <w:rsid w:val="10B67BFB"/>
    <w:rsid w:val="10B76A4A"/>
    <w:rsid w:val="10CF32FA"/>
    <w:rsid w:val="10D0497D"/>
    <w:rsid w:val="10D0673C"/>
    <w:rsid w:val="10D34B99"/>
    <w:rsid w:val="10DA2500"/>
    <w:rsid w:val="10E01DFF"/>
    <w:rsid w:val="10E072B6"/>
    <w:rsid w:val="10E870D8"/>
    <w:rsid w:val="10EC7A09"/>
    <w:rsid w:val="10F60887"/>
    <w:rsid w:val="10F70CB9"/>
    <w:rsid w:val="110805BA"/>
    <w:rsid w:val="110C00AB"/>
    <w:rsid w:val="111A3B04"/>
    <w:rsid w:val="111D7BC2"/>
    <w:rsid w:val="11252F1A"/>
    <w:rsid w:val="112F78F5"/>
    <w:rsid w:val="114C3107"/>
    <w:rsid w:val="114C5CFC"/>
    <w:rsid w:val="114E2471"/>
    <w:rsid w:val="114F1D45"/>
    <w:rsid w:val="115B4B8E"/>
    <w:rsid w:val="116364D9"/>
    <w:rsid w:val="118440E5"/>
    <w:rsid w:val="11862732"/>
    <w:rsid w:val="11877731"/>
    <w:rsid w:val="118934A9"/>
    <w:rsid w:val="1193257A"/>
    <w:rsid w:val="11AA3420"/>
    <w:rsid w:val="11BB562D"/>
    <w:rsid w:val="11BC387F"/>
    <w:rsid w:val="11C07F30"/>
    <w:rsid w:val="11C40985"/>
    <w:rsid w:val="11C51FA8"/>
    <w:rsid w:val="11C75D80"/>
    <w:rsid w:val="11DC7A7D"/>
    <w:rsid w:val="11E93F48"/>
    <w:rsid w:val="11EB7CC0"/>
    <w:rsid w:val="12130774"/>
    <w:rsid w:val="121511E1"/>
    <w:rsid w:val="12174F59"/>
    <w:rsid w:val="12176D07"/>
    <w:rsid w:val="121865DB"/>
    <w:rsid w:val="121F2D58"/>
    <w:rsid w:val="1222745A"/>
    <w:rsid w:val="122F22A3"/>
    <w:rsid w:val="12323B41"/>
    <w:rsid w:val="123A32D3"/>
    <w:rsid w:val="12434DD7"/>
    <w:rsid w:val="12503FC7"/>
    <w:rsid w:val="12635AA8"/>
    <w:rsid w:val="128B3251"/>
    <w:rsid w:val="12971BF6"/>
    <w:rsid w:val="1299596E"/>
    <w:rsid w:val="129B16E6"/>
    <w:rsid w:val="12A762DD"/>
    <w:rsid w:val="12A96EF4"/>
    <w:rsid w:val="12BA0597"/>
    <w:rsid w:val="12BD5CCF"/>
    <w:rsid w:val="12D47F8E"/>
    <w:rsid w:val="12DD1CFF"/>
    <w:rsid w:val="12DE7825"/>
    <w:rsid w:val="12E3308D"/>
    <w:rsid w:val="12ED4716"/>
    <w:rsid w:val="12F010AB"/>
    <w:rsid w:val="12FB2185"/>
    <w:rsid w:val="13051255"/>
    <w:rsid w:val="13067956"/>
    <w:rsid w:val="1319260B"/>
    <w:rsid w:val="132C0590"/>
    <w:rsid w:val="13347445"/>
    <w:rsid w:val="13367661"/>
    <w:rsid w:val="133815F1"/>
    <w:rsid w:val="133F0D07"/>
    <w:rsid w:val="13414365"/>
    <w:rsid w:val="1347361C"/>
    <w:rsid w:val="134D0507"/>
    <w:rsid w:val="13511DA5"/>
    <w:rsid w:val="13530E99"/>
    <w:rsid w:val="13667B97"/>
    <w:rsid w:val="136F4921"/>
    <w:rsid w:val="13714381"/>
    <w:rsid w:val="13734F52"/>
    <w:rsid w:val="139525D9"/>
    <w:rsid w:val="13AC582C"/>
    <w:rsid w:val="13B10A95"/>
    <w:rsid w:val="13B9011A"/>
    <w:rsid w:val="13D97F0D"/>
    <w:rsid w:val="13F42133"/>
    <w:rsid w:val="13FD017F"/>
    <w:rsid w:val="14103A0E"/>
    <w:rsid w:val="14142AEA"/>
    <w:rsid w:val="14171240"/>
    <w:rsid w:val="141D3CD2"/>
    <w:rsid w:val="141E2B33"/>
    <w:rsid w:val="141F4641"/>
    <w:rsid w:val="14294AD0"/>
    <w:rsid w:val="142A5DE6"/>
    <w:rsid w:val="142E4840"/>
    <w:rsid w:val="143C0CA7"/>
    <w:rsid w:val="143C4803"/>
    <w:rsid w:val="143F2545"/>
    <w:rsid w:val="145F2091"/>
    <w:rsid w:val="146A5814"/>
    <w:rsid w:val="14733F9D"/>
    <w:rsid w:val="14740441"/>
    <w:rsid w:val="14795A57"/>
    <w:rsid w:val="148E0DD7"/>
    <w:rsid w:val="149208C7"/>
    <w:rsid w:val="14972381"/>
    <w:rsid w:val="149A59CD"/>
    <w:rsid w:val="14C01A4D"/>
    <w:rsid w:val="14C842E9"/>
    <w:rsid w:val="14CC1612"/>
    <w:rsid w:val="14CC686F"/>
    <w:rsid w:val="14D1061F"/>
    <w:rsid w:val="14E31122"/>
    <w:rsid w:val="14E76D84"/>
    <w:rsid w:val="14EC3755"/>
    <w:rsid w:val="14FC21E4"/>
    <w:rsid w:val="14FC3F92"/>
    <w:rsid w:val="15023BD7"/>
    <w:rsid w:val="150C6AE5"/>
    <w:rsid w:val="15115C90"/>
    <w:rsid w:val="151173C3"/>
    <w:rsid w:val="151632A6"/>
    <w:rsid w:val="15176A2F"/>
    <w:rsid w:val="15190FE8"/>
    <w:rsid w:val="151E215B"/>
    <w:rsid w:val="15210B5F"/>
    <w:rsid w:val="153C5D1E"/>
    <w:rsid w:val="15412E24"/>
    <w:rsid w:val="154222ED"/>
    <w:rsid w:val="15452C72"/>
    <w:rsid w:val="1548367B"/>
    <w:rsid w:val="155D3714"/>
    <w:rsid w:val="156161B3"/>
    <w:rsid w:val="1563540F"/>
    <w:rsid w:val="1581638B"/>
    <w:rsid w:val="158E5A54"/>
    <w:rsid w:val="1594726E"/>
    <w:rsid w:val="159F69CE"/>
    <w:rsid w:val="15A308B2"/>
    <w:rsid w:val="15A563D8"/>
    <w:rsid w:val="15AA0D7D"/>
    <w:rsid w:val="15B735E5"/>
    <w:rsid w:val="15BD4174"/>
    <w:rsid w:val="15C04F7B"/>
    <w:rsid w:val="15C251DC"/>
    <w:rsid w:val="15C42D02"/>
    <w:rsid w:val="15E30196"/>
    <w:rsid w:val="15EC04AB"/>
    <w:rsid w:val="15EE4223"/>
    <w:rsid w:val="15F13B8A"/>
    <w:rsid w:val="160E0421"/>
    <w:rsid w:val="160E21CF"/>
    <w:rsid w:val="16117F11"/>
    <w:rsid w:val="1627221C"/>
    <w:rsid w:val="1627475A"/>
    <w:rsid w:val="162B4B9C"/>
    <w:rsid w:val="163D2AB4"/>
    <w:rsid w:val="164B18D5"/>
    <w:rsid w:val="164D0F49"/>
    <w:rsid w:val="164E6A70"/>
    <w:rsid w:val="165247B2"/>
    <w:rsid w:val="165D6CB3"/>
    <w:rsid w:val="165F4D94"/>
    <w:rsid w:val="1663076D"/>
    <w:rsid w:val="16663DB9"/>
    <w:rsid w:val="166C6385"/>
    <w:rsid w:val="167D5269"/>
    <w:rsid w:val="168801D3"/>
    <w:rsid w:val="169A3A63"/>
    <w:rsid w:val="16A55E47"/>
    <w:rsid w:val="16AF7F2F"/>
    <w:rsid w:val="16B54D41"/>
    <w:rsid w:val="16BE02A6"/>
    <w:rsid w:val="16DA0921"/>
    <w:rsid w:val="16E01DBD"/>
    <w:rsid w:val="16E64EFA"/>
    <w:rsid w:val="16EE4731"/>
    <w:rsid w:val="16EF2001"/>
    <w:rsid w:val="16F21AF1"/>
    <w:rsid w:val="16F2389F"/>
    <w:rsid w:val="16F73DB7"/>
    <w:rsid w:val="17013AE2"/>
    <w:rsid w:val="1711641B"/>
    <w:rsid w:val="171262B0"/>
    <w:rsid w:val="172B0B5F"/>
    <w:rsid w:val="1739327C"/>
    <w:rsid w:val="173C4B1A"/>
    <w:rsid w:val="173F7AD9"/>
    <w:rsid w:val="174F484D"/>
    <w:rsid w:val="175559F5"/>
    <w:rsid w:val="175B7696"/>
    <w:rsid w:val="17606A5A"/>
    <w:rsid w:val="1767428D"/>
    <w:rsid w:val="176C6707"/>
    <w:rsid w:val="176E015E"/>
    <w:rsid w:val="177249E0"/>
    <w:rsid w:val="1772678E"/>
    <w:rsid w:val="177D585E"/>
    <w:rsid w:val="17816E9B"/>
    <w:rsid w:val="178F10EE"/>
    <w:rsid w:val="178F7340"/>
    <w:rsid w:val="1792732B"/>
    <w:rsid w:val="17954579"/>
    <w:rsid w:val="17A27073"/>
    <w:rsid w:val="17A4103D"/>
    <w:rsid w:val="17A41D79"/>
    <w:rsid w:val="17B279C5"/>
    <w:rsid w:val="17BB6387"/>
    <w:rsid w:val="17BD20FF"/>
    <w:rsid w:val="17D102BC"/>
    <w:rsid w:val="17D336B6"/>
    <w:rsid w:val="17E36917"/>
    <w:rsid w:val="17EE4834"/>
    <w:rsid w:val="17F13B56"/>
    <w:rsid w:val="18124620"/>
    <w:rsid w:val="18181DEA"/>
    <w:rsid w:val="18296AB2"/>
    <w:rsid w:val="182E4DAB"/>
    <w:rsid w:val="18356E46"/>
    <w:rsid w:val="18363C5F"/>
    <w:rsid w:val="185760AF"/>
    <w:rsid w:val="185D28BB"/>
    <w:rsid w:val="186802BC"/>
    <w:rsid w:val="186B1B5B"/>
    <w:rsid w:val="186C5514"/>
    <w:rsid w:val="186D63A9"/>
    <w:rsid w:val="18763F46"/>
    <w:rsid w:val="1892089D"/>
    <w:rsid w:val="18957940"/>
    <w:rsid w:val="18A468F0"/>
    <w:rsid w:val="18B2778A"/>
    <w:rsid w:val="18B60426"/>
    <w:rsid w:val="18B84FDD"/>
    <w:rsid w:val="18C64FE3"/>
    <w:rsid w:val="18DB4085"/>
    <w:rsid w:val="18E13BCB"/>
    <w:rsid w:val="18E6464F"/>
    <w:rsid w:val="18EF241F"/>
    <w:rsid w:val="18FC0A05"/>
    <w:rsid w:val="18FF04F5"/>
    <w:rsid w:val="19067FF8"/>
    <w:rsid w:val="191C0440"/>
    <w:rsid w:val="191F5A0F"/>
    <w:rsid w:val="193957B5"/>
    <w:rsid w:val="193D7004"/>
    <w:rsid w:val="193F130B"/>
    <w:rsid w:val="194859F8"/>
    <w:rsid w:val="194B373A"/>
    <w:rsid w:val="1952404B"/>
    <w:rsid w:val="19622F5E"/>
    <w:rsid w:val="19766A09"/>
    <w:rsid w:val="19803021"/>
    <w:rsid w:val="199926F8"/>
    <w:rsid w:val="19994C12"/>
    <w:rsid w:val="19A277FE"/>
    <w:rsid w:val="19A40F43"/>
    <w:rsid w:val="19B327BD"/>
    <w:rsid w:val="19B579D5"/>
    <w:rsid w:val="19BA0C94"/>
    <w:rsid w:val="19C16FB0"/>
    <w:rsid w:val="19C3375B"/>
    <w:rsid w:val="19C828C6"/>
    <w:rsid w:val="19CC03D7"/>
    <w:rsid w:val="19D454DE"/>
    <w:rsid w:val="19DD25E4"/>
    <w:rsid w:val="19E13F84"/>
    <w:rsid w:val="19E25E4D"/>
    <w:rsid w:val="19EB665F"/>
    <w:rsid w:val="19ED659F"/>
    <w:rsid w:val="19F85670"/>
    <w:rsid w:val="19F8741E"/>
    <w:rsid w:val="19FB727A"/>
    <w:rsid w:val="1A004525"/>
    <w:rsid w:val="1A0933D9"/>
    <w:rsid w:val="1A14446F"/>
    <w:rsid w:val="1A1678A4"/>
    <w:rsid w:val="1A2A3350"/>
    <w:rsid w:val="1A2F18F5"/>
    <w:rsid w:val="1A392A58"/>
    <w:rsid w:val="1A3E5F99"/>
    <w:rsid w:val="1A3F504D"/>
    <w:rsid w:val="1A4B569B"/>
    <w:rsid w:val="1A55661F"/>
    <w:rsid w:val="1A5D7931"/>
    <w:rsid w:val="1A646862"/>
    <w:rsid w:val="1A8056D4"/>
    <w:rsid w:val="1A8352CB"/>
    <w:rsid w:val="1A9829AF"/>
    <w:rsid w:val="1A995C67"/>
    <w:rsid w:val="1AB07CF9"/>
    <w:rsid w:val="1AC41E95"/>
    <w:rsid w:val="1ACB068F"/>
    <w:rsid w:val="1AD035AB"/>
    <w:rsid w:val="1AD33756"/>
    <w:rsid w:val="1AD54D57"/>
    <w:rsid w:val="1ADC0D70"/>
    <w:rsid w:val="1ADD15B6"/>
    <w:rsid w:val="1AEB4ED1"/>
    <w:rsid w:val="1AF55916"/>
    <w:rsid w:val="1AF82FC6"/>
    <w:rsid w:val="1AFE48C4"/>
    <w:rsid w:val="1B0167A6"/>
    <w:rsid w:val="1B061915"/>
    <w:rsid w:val="1B0A2335"/>
    <w:rsid w:val="1B0C10C9"/>
    <w:rsid w:val="1B0F0EC3"/>
    <w:rsid w:val="1B120509"/>
    <w:rsid w:val="1B133F78"/>
    <w:rsid w:val="1B245FF1"/>
    <w:rsid w:val="1B2E5A9E"/>
    <w:rsid w:val="1B3F2E2B"/>
    <w:rsid w:val="1B4B2131"/>
    <w:rsid w:val="1B5A7C65"/>
    <w:rsid w:val="1B5C578B"/>
    <w:rsid w:val="1B707488"/>
    <w:rsid w:val="1B892BBB"/>
    <w:rsid w:val="1B935D8D"/>
    <w:rsid w:val="1BA02B4F"/>
    <w:rsid w:val="1BA27B83"/>
    <w:rsid w:val="1BA535D6"/>
    <w:rsid w:val="1BA55326"/>
    <w:rsid w:val="1BAB226E"/>
    <w:rsid w:val="1BB9563B"/>
    <w:rsid w:val="1BBA4937"/>
    <w:rsid w:val="1BBE4697"/>
    <w:rsid w:val="1BBE6686"/>
    <w:rsid w:val="1BC51582"/>
    <w:rsid w:val="1BD01CD5"/>
    <w:rsid w:val="1BDB3640"/>
    <w:rsid w:val="1BE87977"/>
    <w:rsid w:val="1BE956E3"/>
    <w:rsid w:val="1BED0AD9"/>
    <w:rsid w:val="1C006A5E"/>
    <w:rsid w:val="1C0302FC"/>
    <w:rsid w:val="1C092910"/>
    <w:rsid w:val="1C0F2607"/>
    <w:rsid w:val="1C220858"/>
    <w:rsid w:val="1C2564C4"/>
    <w:rsid w:val="1C256F6E"/>
    <w:rsid w:val="1C281B11"/>
    <w:rsid w:val="1C3D380E"/>
    <w:rsid w:val="1C4C7258"/>
    <w:rsid w:val="1C4D73AF"/>
    <w:rsid w:val="1C4E0131"/>
    <w:rsid w:val="1C4E25D8"/>
    <w:rsid w:val="1C533032"/>
    <w:rsid w:val="1C580648"/>
    <w:rsid w:val="1C5E7653"/>
    <w:rsid w:val="1C5F3784"/>
    <w:rsid w:val="1C694603"/>
    <w:rsid w:val="1C6C40F3"/>
    <w:rsid w:val="1C6F4800"/>
    <w:rsid w:val="1C7B5F83"/>
    <w:rsid w:val="1C88053B"/>
    <w:rsid w:val="1C8C6544"/>
    <w:rsid w:val="1C8F393E"/>
    <w:rsid w:val="1C9479CF"/>
    <w:rsid w:val="1C9C6759"/>
    <w:rsid w:val="1CA4388D"/>
    <w:rsid w:val="1CB25FAA"/>
    <w:rsid w:val="1CBB2CF8"/>
    <w:rsid w:val="1CBD06B2"/>
    <w:rsid w:val="1CBF7CF3"/>
    <w:rsid w:val="1CC6131B"/>
    <w:rsid w:val="1CC66FE6"/>
    <w:rsid w:val="1CD203FA"/>
    <w:rsid w:val="1CDF16C6"/>
    <w:rsid w:val="1CE67A02"/>
    <w:rsid w:val="1CF34EF5"/>
    <w:rsid w:val="1D097B94"/>
    <w:rsid w:val="1D0B1216"/>
    <w:rsid w:val="1D104A7F"/>
    <w:rsid w:val="1D167BBB"/>
    <w:rsid w:val="1D19735C"/>
    <w:rsid w:val="1D217272"/>
    <w:rsid w:val="1D3D339A"/>
    <w:rsid w:val="1D434E54"/>
    <w:rsid w:val="1D4E57B1"/>
    <w:rsid w:val="1D5030CD"/>
    <w:rsid w:val="1D686669"/>
    <w:rsid w:val="1D835251"/>
    <w:rsid w:val="1D862F93"/>
    <w:rsid w:val="1D9137E4"/>
    <w:rsid w:val="1D927B8A"/>
    <w:rsid w:val="1D95454D"/>
    <w:rsid w:val="1D9C4C7C"/>
    <w:rsid w:val="1DAC5E21"/>
    <w:rsid w:val="1DBE03F0"/>
    <w:rsid w:val="1DCE21EF"/>
    <w:rsid w:val="1DCE662F"/>
    <w:rsid w:val="1DD51824"/>
    <w:rsid w:val="1DD737EE"/>
    <w:rsid w:val="1DE2466D"/>
    <w:rsid w:val="1DE75D86"/>
    <w:rsid w:val="1DF025C3"/>
    <w:rsid w:val="1DFB74DD"/>
    <w:rsid w:val="1DFE0D7B"/>
    <w:rsid w:val="1DFE521F"/>
    <w:rsid w:val="1E014B69"/>
    <w:rsid w:val="1E043A82"/>
    <w:rsid w:val="1E124827"/>
    <w:rsid w:val="1E165EC2"/>
    <w:rsid w:val="1E1E31CB"/>
    <w:rsid w:val="1E28404A"/>
    <w:rsid w:val="1E294391"/>
    <w:rsid w:val="1E2B4D65"/>
    <w:rsid w:val="1E3228A3"/>
    <w:rsid w:val="1E326C77"/>
    <w:rsid w:val="1E3457C1"/>
    <w:rsid w:val="1E454BFC"/>
    <w:rsid w:val="1E470974"/>
    <w:rsid w:val="1E5B152D"/>
    <w:rsid w:val="1E636E30"/>
    <w:rsid w:val="1E641526"/>
    <w:rsid w:val="1E6C03DB"/>
    <w:rsid w:val="1E7352C5"/>
    <w:rsid w:val="1E786D7F"/>
    <w:rsid w:val="1E803E86"/>
    <w:rsid w:val="1E824E6F"/>
    <w:rsid w:val="1E834D71"/>
    <w:rsid w:val="1EA23DD0"/>
    <w:rsid w:val="1EA2746D"/>
    <w:rsid w:val="1EBE7825"/>
    <w:rsid w:val="1EC91389"/>
    <w:rsid w:val="1ECE5937"/>
    <w:rsid w:val="1ED41ADC"/>
    <w:rsid w:val="1EDB6F1F"/>
    <w:rsid w:val="1EDF6DFF"/>
    <w:rsid w:val="1EE44E58"/>
    <w:rsid w:val="1EE461C3"/>
    <w:rsid w:val="1EF374D0"/>
    <w:rsid w:val="1F060651"/>
    <w:rsid w:val="1F106FB8"/>
    <w:rsid w:val="1F1336B1"/>
    <w:rsid w:val="1F185C26"/>
    <w:rsid w:val="1F1F369F"/>
    <w:rsid w:val="1F2154DA"/>
    <w:rsid w:val="1F264A2D"/>
    <w:rsid w:val="1F2B3DF2"/>
    <w:rsid w:val="1F31715C"/>
    <w:rsid w:val="1F350CF1"/>
    <w:rsid w:val="1F3A481C"/>
    <w:rsid w:val="1F3E48DE"/>
    <w:rsid w:val="1F491124"/>
    <w:rsid w:val="1F52137F"/>
    <w:rsid w:val="1F5A46D7"/>
    <w:rsid w:val="1F5A6485"/>
    <w:rsid w:val="1F686DF4"/>
    <w:rsid w:val="1F6D440A"/>
    <w:rsid w:val="1F711303"/>
    <w:rsid w:val="1F827BF7"/>
    <w:rsid w:val="1F892BB1"/>
    <w:rsid w:val="1F8C2DDE"/>
    <w:rsid w:val="1F901EA7"/>
    <w:rsid w:val="1FA37E2C"/>
    <w:rsid w:val="1FB545F4"/>
    <w:rsid w:val="1FB94DC1"/>
    <w:rsid w:val="1FCE3C54"/>
    <w:rsid w:val="1FDA0C07"/>
    <w:rsid w:val="1FDA1374"/>
    <w:rsid w:val="1FF64400"/>
    <w:rsid w:val="1FFF643B"/>
    <w:rsid w:val="200308CB"/>
    <w:rsid w:val="200C3C23"/>
    <w:rsid w:val="20146634"/>
    <w:rsid w:val="2020322B"/>
    <w:rsid w:val="20307BB6"/>
    <w:rsid w:val="203919F0"/>
    <w:rsid w:val="203C5A02"/>
    <w:rsid w:val="204748C7"/>
    <w:rsid w:val="204852E2"/>
    <w:rsid w:val="204C4020"/>
    <w:rsid w:val="205422BB"/>
    <w:rsid w:val="205729C5"/>
    <w:rsid w:val="20613CD6"/>
    <w:rsid w:val="206155F1"/>
    <w:rsid w:val="206F7D0E"/>
    <w:rsid w:val="207033FB"/>
    <w:rsid w:val="2073300B"/>
    <w:rsid w:val="20735A50"/>
    <w:rsid w:val="209D0D1F"/>
    <w:rsid w:val="20A205DE"/>
    <w:rsid w:val="20AF4B4D"/>
    <w:rsid w:val="20B120D5"/>
    <w:rsid w:val="20B41BC5"/>
    <w:rsid w:val="20BD4F1E"/>
    <w:rsid w:val="20C56D36"/>
    <w:rsid w:val="20C718F8"/>
    <w:rsid w:val="20E478EC"/>
    <w:rsid w:val="20EB5A13"/>
    <w:rsid w:val="20F070A1"/>
    <w:rsid w:val="20F756A2"/>
    <w:rsid w:val="20FA3A7C"/>
    <w:rsid w:val="21022930"/>
    <w:rsid w:val="21091F11"/>
    <w:rsid w:val="210A7A37"/>
    <w:rsid w:val="21134232"/>
    <w:rsid w:val="211663DC"/>
    <w:rsid w:val="21182154"/>
    <w:rsid w:val="211B39F2"/>
    <w:rsid w:val="211F7986"/>
    <w:rsid w:val="21237239"/>
    <w:rsid w:val="2136082C"/>
    <w:rsid w:val="213A47C0"/>
    <w:rsid w:val="21450107"/>
    <w:rsid w:val="21463165"/>
    <w:rsid w:val="214747E7"/>
    <w:rsid w:val="21584C46"/>
    <w:rsid w:val="21667363"/>
    <w:rsid w:val="21676C37"/>
    <w:rsid w:val="216C6E3A"/>
    <w:rsid w:val="216D4A04"/>
    <w:rsid w:val="216E446A"/>
    <w:rsid w:val="21714BED"/>
    <w:rsid w:val="217F45E5"/>
    <w:rsid w:val="2181419D"/>
    <w:rsid w:val="218965AC"/>
    <w:rsid w:val="218E547E"/>
    <w:rsid w:val="219A6447"/>
    <w:rsid w:val="21B5306A"/>
    <w:rsid w:val="21C35BB2"/>
    <w:rsid w:val="21D342CD"/>
    <w:rsid w:val="21DC0CB1"/>
    <w:rsid w:val="21EB06F8"/>
    <w:rsid w:val="21EE7F72"/>
    <w:rsid w:val="21F13F6B"/>
    <w:rsid w:val="21F62C07"/>
    <w:rsid w:val="21F67DC0"/>
    <w:rsid w:val="220D313B"/>
    <w:rsid w:val="220F79FB"/>
    <w:rsid w:val="22105FB5"/>
    <w:rsid w:val="22154F39"/>
    <w:rsid w:val="221923E7"/>
    <w:rsid w:val="2229076A"/>
    <w:rsid w:val="222C0F84"/>
    <w:rsid w:val="222C54E8"/>
    <w:rsid w:val="2234120F"/>
    <w:rsid w:val="22364F87"/>
    <w:rsid w:val="22433200"/>
    <w:rsid w:val="224A458F"/>
    <w:rsid w:val="2250723A"/>
    <w:rsid w:val="225D63E0"/>
    <w:rsid w:val="22625D7D"/>
    <w:rsid w:val="22693DEC"/>
    <w:rsid w:val="226F5E0B"/>
    <w:rsid w:val="22745AB0"/>
    <w:rsid w:val="22873A35"/>
    <w:rsid w:val="2288155B"/>
    <w:rsid w:val="228F1437"/>
    <w:rsid w:val="22A31EF1"/>
    <w:rsid w:val="22C205C9"/>
    <w:rsid w:val="22C841CC"/>
    <w:rsid w:val="22CE51C0"/>
    <w:rsid w:val="22D60519"/>
    <w:rsid w:val="22D80CBB"/>
    <w:rsid w:val="22DC6787"/>
    <w:rsid w:val="22E03145"/>
    <w:rsid w:val="22EC7098"/>
    <w:rsid w:val="22F015E9"/>
    <w:rsid w:val="22FC7F13"/>
    <w:rsid w:val="23151041"/>
    <w:rsid w:val="232C3C08"/>
    <w:rsid w:val="232E7D9F"/>
    <w:rsid w:val="233B037C"/>
    <w:rsid w:val="23482EEF"/>
    <w:rsid w:val="23503E27"/>
    <w:rsid w:val="235A3082"/>
    <w:rsid w:val="235D7AFF"/>
    <w:rsid w:val="23751ADF"/>
    <w:rsid w:val="23A70F27"/>
    <w:rsid w:val="23AA303F"/>
    <w:rsid w:val="23AE7556"/>
    <w:rsid w:val="23B5012E"/>
    <w:rsid w:val="23CC73C7"/>
    <w:rsid w:val="23D36806"/>
    <w:rsid w:val="23D5432C"/>
    <w:rsid w:val="23DF33FD"/>
    <w:rsid w:val="23E427C1"/>
    <w:rsid w:val="23E728C6"/>
    <w:rsid w:val="23EB7FF4"/>
    <w:rsid w:val="24042E63"/>
    <w:rsid w:val="240510B5"/>
    <w:rsid w:val="240F6E74"/>
    <w:rsid w:val="241237D2"/>
    <w:rsid w:val="24151E4A"/>
    <w:rsid w:val="241661CD"/>
    <w:rsid w:val="24174945"/>
    <w:rsid w:val="2419690F"/>
    <w:rsid w:val="241D1F09"/>
    <w:rsid w:val="242022A8"/>
    <w:rsid w:val="24217571"/>
    <w:rsid w:val="243C1086"/>
    <w:rsid w:val="24443260"/>
    <w:rsid w:val="24461EBC"/>
    <w:rsid w:val="245E51E0"/>
    <w:rsid w:val="245E67A0"/>
    <w:rsid w:val="24701A57"/>
    <w:rsid w:val="24773635"/>
    <w:rsid w:val="24842422"/>
    <w:rsid w:val="24861ACA"/>
    <w:rsid w:val="248C728E"/>
    <w:rsid w:val="249C599D"/>
    <w:rsid w:val="249D5C5D"/>
    <w:rsid w:val="249E3D54"/>
    <w:rsid w:val="24B403E6"/>
    <w:rsid w:val="24EE1B49"/>
    <w:rsid w:val="24EF7670"/>
    <w:rsid w:val="24FB4266"/>
    <w:rsid w:val="251610A0"/>
    <w:rsid w:val="251A0B90"/>
    <w:rsid w:val="251B1717"/>
    <w:rsid w:val="252A4D09"/>
    <w:rsid w:val="252E63EA"/>
    <w:rsid w:val="25423C43"/>
    <w:rsid w:val="25436F04"/>
    <w:rsid w:val="25441769"/>
    <w:rsid w:val="254E639D"/>
    <w:rsid w:val="25553977"/>
    <w:rsid w:val="25565941"/>
    <w:rsid w:val="256718FC"/>
    <w:rsid w:val="25695674"/>
    <w:rsid w:val="257B7155"/>
    <w:rsid w:val="25850643"/>
    <w:rsid w:val="25861231"/>
    <w:rsid w:val="259D0E7A"/>
    <w:rsid w:val="25A20B86"/>
    <w:rsid w:val="25AB3597"/>
    <w:rsid w:val="25AD2AD1"/>
    <w:rsid w:val="25B56073"/>
    <w:rsid w:val="25B866B3"/>
    <w:rsid w:val="25C81B96"/>
    <w:rsid w:val="25C97EC1"/>
    <w:rsid w:val="25D414C5"/>
    <w:rsid w:val="25DA3E7C"/>
    <w:rsid w:val="25DD396C"/>
    <w:rsid w:val="25E46D6D"/>
    <w:rsid w:val="25E93D6A"/>
    <w:rsid w:val="25EB6089"/>
    <w:rsid w:val="25EE5B79"/>
    <w:rsid w:val="25F27417"/>
    <w:rsid w:val="25F72C80"/>
    <w:rsid w:val="25FC2044"/>
    <w:rsid w:val="25FD7B6A"/>
    <w:rsid w:val="2604634A"/>
    <w:rsid w:val="2604714B"/>
    <w:rsid w:val="260D4251"/>
    <w:rsid w:val="26123616"/>
    <w:rsid w:val="261B57CE"/>
    <w:rsid w:val="262E5F76"/>
    <w:rsid w:val="262E68BC"/>
    <w:rsid w:val="26355556"/>
    <w:rsid w:val="26437C73"/>
    <w:rsid w:val="2652435A"/>
    <w:rsid w:val="265754CC"/>
    <w:rsid w:val="265A6622"/>
    <w:rsid w:val="2661150C"/>
    <w:rsid w:val="266377A8"/>
    <w:rsid w:val="267C13D7"/>
    <w:rsid w:val="267C4F33"/>
    <w:rsid w:val="26804A23"/>
    <w:rsid w:val="2684130D"/>
    <w:rsid w:val="2685028B"/>
    <w:rsid w:val="26867B60"/>
    <w:rsid w:val="268D0EEE"/>
    <w:rsid w:val="269404CF"/>
    <w:rsid w:val="26947E31"/>
    <w:rsid w:val="26995AE5"/>
    <w:rsid w:val="269C7383"/>
    <w:rsid w:val="26A36964"/>
    <w:rsid w:val="26A4406E"/>
    <w:rsid w:val="26B446CD"/>
    <w:rsid w:val="26B91CE3"/>
    <w:rsid w:val="26B96187"/>
    <w:rsid w:val="26C16DEA"/>
    <w:rsid w:val="26C40D3A"/>
    <w:rsid w:val="26C617FD"/>
    <w:rsid w:val="26C8635B"/>
    <w:rsid w:val="26DB60FD"/>
    <w:rsid w:val="26F64CE5"/>
    <w:rsid w:val="26F70A5D"/>
    <w:rsid w:val="27062CC4"/>
    <w:rsid w:val="27084A19"/>
    <w:rsid w:val="271D6716"/>
    <w:rsid w:val="271E5FEA"/>
    <w:rsid w:val="27280C17"/>
    <w:rsid w:val="272D0B3A"/>
    <w:rsid w:val="272D2876"/>
    <w:rsid w:val="2741133B"/>
    <w:rsid w:val="27435A51"/>
    <w:rsid w:val="274975FF"/>
    <w:rsid w:val="27533EE6"/>
    <w:rsid w:val="276460F3"/>
    <w:rsid w:val="277161B0"/>
    <w:rsid w:val="27741A6F"/>
    <w:rsid w:val="277F2F2D"/>
    <w:rsid w:val="27894998"/>
    <w:rsid w:val="278A4384"/>
    <w:rsid w:val="278C3D85"/>
    <w:rsid w:val="27912C60"/>
    <w:rsid w:val="279544FE"/>
    <w:rsid w:val="27954F3B"/>
    <w:rsid w:val="27A24E6D"/>
    <w:rsid w:val="27A91D58"/>
    <w:rsid w:val="27BB1E94"/>
    <w:rsid w:val="27C43035"/>
    <w:rsid w:val="27C748D4"/>
    <w:rsid w:val="27CB6172"/>
    <w:rsid w:val="27D8263D"/>
    <w:rsid w:val="27E64D5A"/>
    <w:rsid w:val="27E83399"/>
    <w:rsid w:val="27E965F8"/>
    <w:rsid w:val="27EB05C2"/>
    <w:rsid w:val="28034E23"/>
    <w:rsid w:val="28071805"/>
    <w:rsid w:val="28072F22"/>
    <w:rsid w:val="281713B7"/>
    <w:rsid w:val="28201707"/>
    <w:rsid w:val="28210CC5"/>
    <w:rsid w:val="283F446A"/>
    <w:rsid w:val="284035F2"/>
    <w:rsid w:val="28436AA3"/>
    <w:rsid w:val="28444A11"/>
    <w:rsid w:val="284A6F21"/>
    <w:rsid w:val="284D03D7"/>
    <w:rsid w:val="28500425"/>
    <w:rsid w:val="28593831"/>
    <w:rsid w:val="28630607"/>
    <w:rsid w:val="28725129"/>
    <w:rsid w:val="28796405"/>
    <w:rsid w:val="287B7B98"/>
    <w:rsid w:val="288C3CEC"/>
    <w:rsid w:val="288E323D"/>
    <w:rsid w:val="288F719F"/>
    <w:rsid w:val="28981F1C"/>
    <w:rsid w:val="28A902E6"/>
    <w:rsid w:val="28B65D52"/>
    <w:rsid w:val="28B83DD5"/>
    <w:rsid w:val="28C145AA"/>
    <w:rsid w:val="28C3509B"/>
    <w:rsid w:val="28CD7CC8"/>
    <w:rsid w:val="28E45D66"/>
    <w:rsid w:val="28EA087A"/>
    <w:rsid w:val="28F31788"/>
    <w:rsid w:val="28F65471"/>
    <w:rsid w:val="28FA296E"/>
    <w:rsid w:val="28FB3648"/>
    <w:rsid w:val="29070074"/>
    <w:rsid w:val="291B2094"/>
    <w:rsid w:val="291F7550"/>
    <w:rsid w:val="292304C4"/>
    <w:rsid w:val="29385A89"/>
    <w:rsid w:val="29441146"/>
    <w:rsid w:val="295C5B0D"/>
    <w:rsid w:val="29626662"/>
    <w:rsid w:val="297168A5"/>
    <w:rsid w:val="29717BAF"/>
    <w:rsid w:val="2973086F"/>
    <w:rsid w:val="2976035F"/>
    <w:rsid w:val="298309EF"/>
    <w:rsid w:val="29954C89"/>
    <w:rsid w:val="29A40E8F"/>
    <w:rsid w:val="29B53C08"/>
    <w:rsid w:val="29B6557F"/>
    <w:rsid w:val="29B80315"/>
    <w:rsid w:val="29C37F84"/>
    <w:rsid w:val="29D56180"/>
    <w:rsid w:val="29D72A20"/>
    <w:rsid w:val="29D865B9"/>
    <w:rsid w:val="29E400FF"/>
    <w:rsid w:val="29F12CB0"/>
    <w:rsid w:val="29F15C38"/>
    <w:rsid w:val="29F437F5"/>
    <w:rsid w:val="29F97C59"/>
    <w:rsid w:val="29FA0F90"/>
    <w:rsid w:val="2A0D0CC4"/>
    <w:rsid w:val="2A1350EC"/>
    <w:rsid w:val="2A1E3744"/>
    <w:rsid w:val="2A2A3EA1"/>
    <w:rsid w:val="2A2B739C"/>
    <w:rsid w:val="2A2E45FD"/>
    <w:rsid w:val="2A307B9D"/>
    <w:rsid w:val="2A3224D8"/>
    <w:rsid w:val="2A460026"/>
    <w:rsid w:val="2A460EEA"/>
    <w:rsid w:val="2A550D5F"/>
    <w:rsid w:val="2A620A8F"/>
    <w:rsid w:val="2A6F376C"/>
    <w:rsid w:val="2A810D6A"/>
    <w:rsid w:val="2A854B80"/>
    <w:rsid w:val="2A9E69CE"/>
    <w:rsid w:val="2AA2565D"/>
    <w:rsid w:val="2AA70257"/>
    <w:rsid w:val="2AAB24D1"/>
    <w:rsid w:val="2AC06FC7"/>
    <w:rsid w:val="2ACB51F6"/>
    <w:rsid w:val="2AD57308"/>
    <w:rsid w:val="2ADB43B1"/>
    <w:rsid w:val="2AF61758"/>
    <w:rsid w:val="2B053749"/>
    <w:rsid w:val="2B163BA8"/>
    <w:rsid w:val="2B1971F4"/>
    <w:rsid w:val="2B1C6CE5"/>
    <w:rsid w:val="2B2160A9"/>
    <w:rsid w:val="2B801021"/>
    <w:rsid w:val="2B9822E3"/>
    <w:rsid w:val="2B985FCE"/>
    <w:rsid w:val="2BB43EEB"/>
    <w:rsid w:val="2BB80F35"/>
    <w:rsid w:val="2BC419E8"/>
    <w:rsid w:val="2BC5737C"/>
    <w:rsid w:val="2BD32A12"/>
    <w:rsid w:val="2BF53B52"/>
    <w:rsid w:val="2BF87053"/>
    <w:rsid w:val="2C002162"/>
    <w:rsid w:val="2C0C4FAB"/>
    <w:rsid w:val="2C161986"/>
    <w:rsid w:val="2C2916B9"/>
    <w:rsid w:val="2C3D5164"/>
    <w:rsid w:val="2C42277B"/>
    <w:rsid w:val="2C5F332D"/>
    <w:rsid w:val="2C610F9B"/>
    <w:rsid w:val="2C6203A4"/>
    <w:rsid w:val="2C695F59"/>
    <w:rsid w:val="2C6D3C9C"/>
    <w:rsid w:val="2C7E5D6B"/>
    <w:rsid w:val="2C864D5D"/>
    <w:rsid w:val="2C8903AA"/>
    <w:rsid w:val="2C9A6113"/>
    <w:rsid w:val="2CAE1BBE"/>
    <w:rsid w:val="2CB371D5"/>
    <w:rsid w:val="2CBE62A5"/>
    <w:rsid w:val="2CBE6E7D"/>
    <w:rsid w:val="2CBF3DCB"/>
    <w:rsid w:val="2CC97A35"/>
    <w:rsid w:val="2CE77EF5"/>
    <w:rsid w:val="2CF00429"/>
    <w:rsid w:val="2D031489"/>
    <w:rsid w:val="2D042E87"/>
    <w:rsid w:val="2D076456"/>
    <w:rsid w:val="2D1D4239"/>
    <w:rsid w:val="2D1E6D44"/>
    <w:rsid w:val="2D205D6C"/>
    <w:rsid w:val="2D214A86"/>
    <w:rsid w:val="2D247A5C"/>
    <w:rsid w:val="2D263E4A"/>
    <w:rsid w:val="2D293724"/>
    <w:rsid w:val="2D2D7B0B"/>
    <w:rsid w:val="2D4227EC"/>
    <w:rsid w:val="2D4A18E7"/>
    <w:rsid w:val="2D4B565F"/>
    <w:rsid w:val="2D5269EE"/>
    <w:rsid w:val="2D560F91"/>
    <w:rsid w:val="2D586925"/>
    <w:rsid w:val="2D597D7C"/>
    <w:rsid w:val="2D652BC5"/>
    <w:rsid w:val="2D856DC3"/>
    <w:rsid w:val="2D8C1F00"/>
    <w:rsid w:val="2D931D82"/>
    <w:rsid w:val="2DA21A1A"/>
    <w:rsid w:val="2DA34768"/>
    <w:rsid w:val="2DB01EE3"/>
    <w:rsid w:val="2DB476A8"/>
    <w:rsid w:val="2DBE4083"/>
    <w:rsid w:val="2DC7118A"/>
    <w:rsid w:val="2DCD1D8D"/>
    <w:rsid w:val="2DE33ABF"/>
    <w:rsid w:val="2DEA4E78"/>
    <w:rsid w:val="2DF3754D"/>
    <w:rsid w:val="2E0B376C"/>
    <w:rsid w:val="2E187C37"/>
    <w:rsid w:val="2E1E4B22"/>
    <w:rsid w:val="2E381733"/>
    <w:rsid w:val="2E382087"/>
    <w:rsid w:val="2E3A195C"/>
    <w:rsid w:val="2E4A5917"/>
    <w:rsid w:val="2E527ECD"/>
    <w:rsid w:val="2E580F66"/>
    <w:rsid w:val="2E631E92"/>
    <w:rsid w:val="2E65225F"/>
    <w:rsid w:val="2E700A6A"/>
    <w:rsid w:val="2E722098"/>
    <w:rsid w:val="2E723CAE"/>
    <w:rsid w:val="2E7C6418"/>
    <w:rsid w:val="2E7D02BE"/>
    <w:rsid w:val="2E8250B1"/>
    <w:rsid w:val="2E8C101D"/>
    <w:rsid w:val="2E993178"/>
    <w:rsid w:val="2EBD0193"/>
    <w:rsid w:val="2EC1207D"/>
    <w:rsid w:val="2EC83C12"/>
    <w:rsid w:val="2ECD058C"/>
    <w:rsid w:val="2ED55B28"/>
    <w:rsid w:val="2EE10029"/>
    <w:rsid w:val="2EE63114"/>
    <w:rsid w:val="2EE8124D"/>
    <w:rsid w:val="2EE900C8"/>
    <w:rsid w:val="2EE95130"/>
    <w:rsid w:val="2EED50CB"/>
    <w:rsid w:val="2EF91817"/>
    <w:rsid w:val="2F060E7D"/>
    <w:rsid w:val="2F0957D2"/>
    <w:rsid w:val="2F0C40F7"/>
    <w:rsid w:val="2F1554A7"/>
    <w:rsid w:val="2F1A353B"/>
    <w:rsid w:val="2F203C8F"/>
    <w:rsid w:val="2F210D6D"/>
    <w:rsid w:val="2F2736CD"/>
    <w:rsid w:val="2F330266"/>
    <w:rsid w:val="2F3357A7"/>
    <w:rsid w:val="2F3740ED"/>
    <w:rsid w:val="2F436F36"/>
    <w:rsid w:val="2F4D088F"/>
    <w:rsid w:val="2F57098B"/>
    <w:rsid w:val="2F642A08"/>
    <w:rsid w:val="2F6445B6"/>
    <w:rsid w:val="2F6A44C2"/>
    <w:rsid w:val="2F6A6270"/>
    <w:rsid w:val="2F6D7B0F"/>
    <w:rsid w:val="2F704980"/>
    <w:rsid w:val="2F705522"/>
    <w:rsid w:val="2F7368A7"/>
    <w:rsid w:val="2F77098D"/>
    <w:rsid w:val="2F7E7F6E"/>
    <w:rsid w:val="2F846E7F"/>
    <w:rsid w:val="2F9257C7"/>
    <w:rsid w:val="2F927575"/>
    <w:rsid w:val="2F995528"/>
    <w:rsid w:val="2F9E416C"/>
    <w:rsid w:val="2FA63021"/>
    <w:rsid w:val="2FAA48BF"/>
    <w:rsid w:val="2FAA6A43"/>
    <w:rsid w:val="2FAD43AF"/>
    <w:rsid w:val="2FB41BE1"/>
    <w:rsid w:val="2FB67708"/>
    <w:rsid w:val="2FBC2844"/>
    <w:rsid w:val="2FDB53C0"/>
    <w:rsid w:val="2FDC2E07"/>
    <w:rsid w:val="2FE8223E"/>
    <w:rsid w:val="2FEC137B"/>
    <w:rsid w:val="2FF124EE"/>
    <w:rsid w:val="2FF62B88"/>
    <w:rsid w:val="2FF7387C"/>
    <w:rsid w:val="30063D65"/>
    <w:rsid w:val="301B756B"/>
    <w:rsid w:val="301D6BAD"/>
    <w:rsid w:val="30360848"/>
    <w:rsid w:val="303F6EFB"/>
    <w:rsid w:val="30405223"/>
    <w:rsid w:val="305F140F"/>
    <w:rsid w:val="306F3AB4"/>
    <w:rsid w:val="30844A74"/>
    <w:rsid w:val="30874C00"/>
    <w:rsid w:val="309335A5"/>
    <w:rsid w:val="30AD4778"/>
    <w:rsid w:val="30BA09FB"/>
    <w:rsid w:val="30BB2A2E"/>
    <w:rsid w:val="30D065A7"/>
    <w:rsid w:val="30DF67EA"/>
    <w:rsid w:val="30E67A18"/>
    <w:rsid w:val="30EC0F07"/>
    <w:rsid w:val="30ED28A3"/>
    <w:rsid w:val="30F45B99"/>
    <w:rsid w:val="30FF0C3A"/>
    <w:rsid w:val="31017D45"/>
    <w:rsid w:val="310A77EA"/>
    <w:rsid w:val="310F6C24"/>
    <w:rsid w:val="311956BC"/>
    <w:rsid w:val="311E4158"/>
    <w:rsid w:val="31254E3B"/>
    <w:rsid w:val="313034EA"/>
    <w:rsid w:val="3143321D"/>
    <w:rsid w:val="31440D43"/>
    <w:rsid w:val="314D5E4A"/>
    <w:rsid w:val="3159659D"/>
    <w:rsid w:val="31603DCF"/>
    <w:rsid w:val="3168326D"/>
    <w:rsid w:val="316A07AA"/>
    <w:rsid w:val="316F1894"/>
    <w:rsid w:val="317258B0"/>
    <w:rsid w:val="31772D94"/>
    <w:rsid w:val="31774C75"/>
    <w:rsid w:val="31813D45"/>
    <w:rsid w:val="31840399"/>
    <w:rsid w:val="318555E4"/>
    <w:rsid w:val="318908BB"/>
    <w:rsid w:val="318A1738"/>
    <w:rsid w:val="318B1028"/>
    <w:rsid w:val="31943A79"/>
    <w:rsid w:val="3196159F"/>
    <w:rsid w:val="31992E3D"/>
    <w:rsid w:val="31A35A6A"/>
    <w:rsid w:val="31B5314B"/>
    <w:rsid w:val="31BB4B77"/>
    <w:rsid w:val="31C0541A"/>
    <w:rsid w:val="31C761A0"/>
    <w:rsid w:val="31CA56EC"/>
    <w:rsid w:val="31CE5713"/>
    <w:rsid w:val="31D112FC"/>
    <w:rsid w:val="31D24A5E"/>
    <w:rsid w:val="31D57B34"/>
    <w:rsid w:val="31FE7144"/>
    <w:rsid w:val="32003034"/>
    <w:rsid w:val="322C5A5F"/>
    <w:rsid w:val="32305E8A"/>
    <w:rsid w:val="323808A8"/>
    <w:rsid w:val="3239017C"/>
    <w:rsid w:val="323C7F50"/>
    <w:rsid w:val="32560D2E"/>
    <w:rsid w:val="32621F73"/>
    <w:rsid w:val="32674CE9"/>
    <w:rsid w:val="326C0551"/>
    <w:rsid w:val="3273368E"/>
    <w:rsid w:val="32805DAB"/>
    <w:rsid w:val="329545AB"/>
    <w:rsid w:val="32B36D7C"/>
    <w:rsid w:val="32B67A1F"/>
    <w:rsid w:val="32B876D8"/>
    <w:rsid w:val="32BB5035"/>
    <w:rsid w:val="32CE6B16"/>
    <w:rsid w:val="32DA54BB"/>
    <w:rsid w:val="32DC56D7"/>
    <w:rsid w:val="32E4458C"/>
    <w:rsid w:val="331A61FF"/>
    <w:rsid w:val="33291F9F"/>
    <w:rsid w:val="332F6F63"/>
    <w:rsid w:val="333076BE"/>
    <w:rsid w:val="333F17C2"/>
    <w:rsid w:val="33437504"/>
    <w:rsid w:val="33492641"/>
    <w:rsid w:val="33525999"/>
    <w:rsid w:val="335C2374"/>
    <w:rsid w:val="336254B1"/>
    <w:rsid w:val="33686F6B"/>
    <w:rsid w:val="3369683F"/>
    <w:rsid w:val="33707BCD"/>
    <w:rsid w:val="33745910"/>
    <w:rsid w:val="33784CD4"/>
    <w:rsid w:val="337B0F6B"/>
    <w:rsid w:val="33855F75"/>
    <w:rsid w:val="338D5BA0"/>
    <w:rsid w:val="33A90E56"/>
    <w:rsid w:val="33B37F5C"/>
    <w:rsid w:val="33B823B2"/>
    <w:rsid w:val="33C30645"/>
    <w:rsid w:val="33C31455"/>
    <w:rsid w:val="33CB12A8"/>
    <w:rsid w:val="33D131A2"/>
    <w:rsid w:val="33E13A0E"/>
    <w:rsid w:val="33E14685"/>
    <w:rsid w:val="33E16D1D"/>
    <w:rsid w:val="33E4383E"/>
    <w:rsid w:val="33E505BB"/>
    <w:rsid w:val="33EA0A84"/>
    <w:rsid w:val="33F26834"/>
    <w:rsid w:val="33FB1B8D"/>
    <w:rsid w:val="33FE167D"/>
    <w:rsid w:val="3402359C"/>
    <w:rsid w:val="3404729C"/>
    <w:rsid w:val="340547BA"/>
    <w:rsid w:val="340C3A09"/>
    <w:rsid w:val="34126ED7"/>
    <w:rsid w:val="341B3FDD"/>
    <w:rsid w:val="3429576C"/>
    <w:rsid w:val="343230D5"/>
    <w:rsid w:val="34362BC5"/>
    <w:rsid w:val="343F6613"/>
    <w:rsid w:val="344E43B3"/>
    <w:rsid w:val="34544A3A"/>
    <w:rsid w:val="3455249D"/>
    <w:rsid w:val="346C6EAA"/>
    <w:rsid w:val="346D7ABA"/>
    <w:rsid w:val="34790D04"/>
    <w:rsid w:val="34884436"/>
    <w:rsid w:val="348F22D5"/>
    <w:rsid w:val="34995A5A"/>
    <w:rsid w:val="34A42225"/>
    <w:rsid w:val="34A71D15"/>
    <w:rsid w:val="34B73B25"/>
    <w:rsid w:val="34B8293B"/>
    <w:rsid w:val="34BF705E"/>
    <w:rsid w:val="34CA4F44"/>
    <w:rsid w:val="34D5072E"/>
    <w:rsid w:val="34D91185"/>
    <w:rsid w:val="34E645EB"/>
    <w:rsid w:val="34EC7728"/>
    <w:rsid w:val="34EF4ADD"/>
    <w:rsid w:val="34FA09EA"/>
    <w:rsid w:val="34FC38DA"/>
    <w:rsid w:val="34FD7B87"/>
    <w:rsid w:val="35001E3E"/>
    <w:rsid w:val="35022435"/>
    <w:rsid w:val="351B1D0B"/>
    <w:rsid w:val="352073D1"/>
    <w:rsid w:val="35270822"/>
    <w:rsid w:val="353A7CCD"/>
    <w:rsid w:val="353F3CFB"/>
    <w:rsid w:val="35490860"/>
    <w:rsid w:val="35683252"/>
    <w:rsid w:val="356E0A47"/>
    <w:rsid w:val="358931C8"/>
    <w:rsid w:val="35A30002"/>
    <w:rsid w:val="35A3428A"/>
    <w:rsid w:val="35AA25DF"/>
    <w:rsid w:val="35AE7CBF"/>
    <w:rsid w:val="35AF3BD2"/>
    <w:rsid w:val="35B941D3"/>
    <w:rsid w:val="35BE7316"/>
    <w:rsid w:val="35CF1523"/>
    <w:rsid w:val="35E47923"/>
    <w:rsid w:val="35ED3757"/>
    <w:rsid w:val="35ED7BFB"/>
    <w:rsid w:val="3600792F"/>
    <w:rsid w:val="360B2661"/>
    <w:rsid w:val="360B4916"/>
    <w:rsid w:val="3611551F"/>
    <w:rsid w:val="36262C62"/>
    <w:rsid w:val="362E54AE"/>
    <w:rsid w:val="363B2715"/>
    <w:rsid w:val="36464ED6"/>
    <w:rsid w:val="364F61C0"/>
    <w:rsid w:val="365437D6"/>
    <w:rsid w:val="367774C5"/>
    <w:rsid w:val="3679323D"/>
    <w:rsid w:val="3687595A"/>
    <w:rsid w:val="36946BEA"/>
    <w:rsid w:val="369812C8"/>
    <w:rsid w:val="36A71B58"/>
    <w:rsid w:val="36B85B13"/>
    <w:rsid w:val="36BC3E8F"/>
    <w:rsid w:val="36BD3E66"/>
    <w:rsid w:val="36BD5820"/>
    <w:rsid w:val="36C71EEE"/>
    <w:rsid w:val="36C82343"/>
    <w:rsid w:val="36CA1CEB"/>
    <w:rsid w:val="36CC714D"/>
    <w:rsid w:val="36CF7E1A"/>
    <w:rsid w:val="36D16BD5"/>
    <w:rsid w:val="36E05005"/>
    <w:rsid w:val="36F57414"/>
    <w:rsid w:val="370206FA"/>
    <w:rsid w:val="370945C1"/>
    <w:rsid w:val="370D0173"/>
    <w:rsid w:val="37152631"/>
    <w:rsid w:val="374E46CA"/>
    <w:rsid w:val="375515B4"/>
    <w:rsid w:val="375D64A1"/>
    <w:rsid w:val="37667C65"/>
    <w:rsid w:val="37710A72"/>
    <w:rsid w:val="37720010"/>
    <w:rsid w:val="37797999"/>
    <w:rsid w:val="3783321D"/>
    <w:rsid w:val="37875507"/>
    <w:rsid w:val="379A346B"/>
    <w:rsid w:val="379F4F25"/>
    <w:rsid w:val="37A3615F"/>
    <w:rsid w:val="37B24C58"/>
    <w:rsid w:val="37B97689"/>
    <w:rsid w:val="37C8447C"/>
    <w:rsid w:val="37D0007C"/>
    <w:rsid w:val="37D50947"/>
    <w:rsid w:val="37E16DCE"/>
    <w:rsid w:val="37ED2269"/>
    <w:rsid w:val="37EF01AA"/>
    <w:rsid w:val="37F92887"/>
    <w:rsid w:val="38091891"/>
    <w:rsid w:val="38093155"/>
    <w:rsid w:val="380B4369"/>
    <w:rsid w:val="381C0324"/>
    <w:rsid w:val="381D7397"/>
    <w:rsid w:val="381E4168"/>
    <w:rsid w:val="38261DA0"/>
    <w:rsid w:val="38267DA4"/>
    <w:rsid w:val="382848F7"/>
    <w:rsid w:val="382C4A0B"/>
    <w:rsid w:val="38341B11"/>
    <w:rsid w:val="3836588A"/>
    <w:rsid w:val="383733B0"/>
    <w:rsid w:val="3843575E"/>
    <w:rsid w:val="384D4981"/>
    <w:rsid w:val="3854524E"/>
    <w:rsid w:val="38547ABE"/>
    <w:rsid w:val="38736649"/>
    <w:rsid w:val="387C0DC3"/>
    <w:rsid w:val="387D778D"/>
    <w:rsid w:val="387E36AB"/>
    <w:rsid w:val="388B4213"/>
    <w:rsid w:val="38B44A00"/>
    <w:rsid w:val="38C740DC"/>
    <w:rsid w:val="38C92CDC"/>
    <w:rsid w:val="38CC7F9C"/>
    <w:rsid w:val="38D1110E"/>
    <w:rsid w:val="38D87A7A"/>
    <w:rsid w:val="38DA2963"/>
    <w:rsid w:val="38E934F7"/>
    <w:rsid w:val="38E946AA"/>
    <w:rsid w:val="38EB0666"/>
    <w:rsid w:val="38F80D91"/>
    <w:rsid w:val="38FD4BCC"/>
    <w:rsid w:val="390B0AC4"/>
    <w:rsid w:val="390C65EA"/>
    <w:rsid w:val="391E459E"/>
    <w:rsid w:val="39276F80"/>
    <w:rsid w:val="39450771"/>
    <w:rsid w:val="394A3837"/>
    <w:rsid w:val="3958538C"/>
    <w:rsid w:val="395E11A2"/>
    <w:rsid w:val="3965624C"/>
    <w:rsid w:val="397B4CEA"/>
    <w:rsid w:val="397C3770"/>
    <w:rsid w:val="398C3287"/>
    <w:rsid w:val="3992180D"/>
    <w:rsid w:val="3999794E"/>
    <w:rsid w:val="399B180E"/>
    <w:rsid w:val="39B06F76"/>
    <w:rsid w:val="39BF34CA"/>
    <w:rsid w:val="39C66799"/>
    <w:rsid w:val="39C95199"/>
    <w:rsid w:val="39D0711B"/>
    <w:rsid w:val="39EE7A9E"/>
    <w:rsid w:val="39F2758E"/>
    <w:rsid w:val="39F74BA5"/>
    <w:rsid w:val="39F96148"/>
    <w:rsid w:val="39FA1930"/>
    <w:rsid w:val="3A12378C"/>
    <w:rsid w:val="3A163157"/>
    <w:rsid w:val="3A233963"/>
    <w:rsid w:val="3A294660"/>
    <w:rsid w:val="3A331955"/>
    <w:rsid w:val="3A4678DA"/>
    <w:rsid w:val="3A485400"/>
    <w:rsid w:val="3A577F2D"/>
    <w:rsid w:val="3A5A2955"/>
    <w:rsid w:val="3A6366DE"/>
    <w:rsid w:val="3A641A18"/>
    <w:rsid w:val="3A67672E"/>
    <w:rsid w:val="3A6B10EF"/>
    <w:rsid w:val="3A7323C0"/>
    <w:rsid w:val="3A790209"/>
    <w:rsid w:val="3A7D0FA4"/>
    <w:rsid w:val="3A7E0E22"/>
    <w:rsid w:val="3A876192"/>
    <w:rsid w:val="3A9E7716"/>
    <w:rsid w:val="3AA16F15"/>
    <w:rsid w:val="3AA931EF"/>
    <w:rsid w:val="3AB57B20"/>
    <w:rsid w:val="3AD7506D"/>
    <w:rsid w:val="3ADE640B"/>
    <w:rsid w:val="3ADE7B13"/>
    <w:rsid w:val="3AEB5F2C"/>
    <w:rsid w:val="3AEC4D5E"/>
    <w:rsid w:val="3AEC5148"/>
    <w:rsid w:val="3AF12CFE"/>
    <w:rsid w:val="3B07411C"/>
    <w:rsid w:val="3B142DEA"/>
    <w:rsid w:val="3B1479D8"/>
    <w:rsid w:val="3B196D9D"/>
    <w:rsid w:val="3B1B0D67"/>
    <w:rsid w:val="3B1C4750"/>
    <w:rsid w:val="3B1D4814"/>
    <w:rsid w:val="3B1F2605"/>
    <w:rsid w:val="3B23368A"/>
    <w:rsid w:val="3B2F65C0"/>
    <w:rsid w:val="3B4E6A46"/>
    <w:rsid w:val="3B5322AF"/>
    <w:rsid w:val="3B533939"/>
    <w:rsid w:val="3B534247"/>
    <w:rsid w:val="3B5B20B0"/>
    <w:rsid w:val="3B5F5183"/>
    <w:rsid w:val="3B6172B7"/>
    <w:rsid w:val="3B620744"/>
    <w:rsid w:val="3B635542"/>
    <w:rsid w:val="3B685EAC"/>
    <w:rsid w:val="3B694EB2"/>
    <w:rsid w:val="3B6B584A"/>
    <w:rsid w:val="3B6C6CF9"/>
    <w:rsid w:val="3B787F67"/>
    <w:rsid w:val="3B892174"/>
    <w:rsid w:val="3B9005C8"/>
    <w:rsid w:val="3BBF16F2"/>
    <w:rsid w:val="3BC55611"/>
    <w:rsid w:val="3BDC7100"/>
    <w:rsid w:val="3BE15B0C"/>
    <w:rsid w:val="3BE20963"/>
    <w:rsid w:val="3BE61375"/>
    <w:rsid w:val="3BE850ED"/>
    <w:rsid w:val="3BEA73C6"/>
    <w:rsid w:val="3BEB0739"/>
    <w:rsid w:val="3BF07AFD"/>
    <w:rsid w:val="3C033CD5"/>
    <w:rsid w:val="3C430575"/>
    <w:rsid w:val="3C5000BD"/>
    <w:rsid w:val="3C577B7C"/>
    <w:rsid w:val="3C58462D"/>
    <w:rsid w:val="3C5A766D"/>
    <w:rsid w:val="3C681D8A"/>
    <w:rsid w:val="3C6D4783"/>
    <w:rsid w:val="3C701C63"/>
    <w:rsid w:val="3C746980"/>
    <w:rsid w:val="3C771FCD"/>
    <w:rsid w:val="3C846156"/>
    <w:rsid w:val="3C8A1D00"/>
    <w:rsid w:val="3C8B5A78"/>
    <w:rsid w:val="3C8B7826"/>
    <w:rsid w:val="3CA37533"/>
    <w:rsid w:val="3CA51FC7"/>
    <w:rsid w:val="3CA64660"/>
    <w:rsid w:val="3CA67043"/>
    <w:rsid w:val="3CB95C67"/>
    <w:rsid w:val="3CBC3E83"/>
    <w:rsid w:val="3CBE29EF"/>
    <w:rsid w:val="3CCA034E"/>
    <w:rsid w:val="3CD421A1"/>
    <w:rsid w:val="3CD51D0C"/>
    <w:rsid w:val="3CF2425B"/>
    <w:rsid w:val="3CF3617C"/>
    <w:rsid w:val="3CF8135F"/>
    <w:rsid w:val="3CFF4633"/>
    <w:rsid w:val="3D0A362A"/>
    <w:rsid w:val="3D0E59F4"/>
    <w:rsid w:val="3D271C45"/>
    <w:rsid w:val="3D2C725B"/>
    <w:rsid w:val="3D4134E7"/>
    <w:rsid w:val="3D4445A5"/>
    <w:rsid w:val="3D580EC1"/>
    <w:rsid w:val="3D59398B"/>
    <w:rsid w:val="3D6407A3"/>
    <w:rsid w:val="3D6764E5"/>
    <w:rsid w:val="3D7A20FE"/>
    <w:rsid w:val="3D8175A7"/>
    <w:rsid w:val="3D8726E3"/>
    <w:rsid w:val="3D8B21D4"/>
    <w:rsid w:val="3D8D0825"/>
    <w:rsid w:val="3DA6700D"/>
    <w:rsid w:val="3DB73E2A"/>
    <w:rsid w:val="3DBD311F"/>
    <w:rsid w:val="3DC52E4D"/>
    <w:rsid w:val="3DC6585A"/>
    <w:rsid w:val="3DCA2DB1"/>
    <w:rsid w:val="3DCB0C69"/>
    <w:rsid w:val="3DDA7888"/>
    <w:rsid w:val="3DDB658B"/>
    <w:rsid w:val="3DDD1835"/>
    <w:rsid w:val="3DE6740A"/>
    <w:rsid w:val="3DEC6510"/>
    <w:rsid w:val="3DED69EA"/>
    <w:rsid w:val="3DF8538F"/>
    <w:rsid w:val="3E0D2366"/>
    <w:rsid w:val="3E157CEF"/>
    <w:rsid w:val="3E241CE0"/>
    <w:rsid w:val="3E267C4F"/>
    <w:rsid w:val="3E2E50C1"/>
    <w:rsid w:val="3E330175"/>
    <w:rsid w:val="3E3363C7"/>
    <w:rsid w:val="3E373C2B"/>
    <w:rsid w:val="3E483328"/>
    <w:rsid w:val="3E4C1F00"/>
    <w:rsid w:val="3E4E4FAF"/>
    <w:rsid w:val="3E500D27"/>
    <w:rsid w:val="3E502AD5"/>
    <w:rsid w:val="3E5527E2"/>
    <w:rsid w:val="3E63730F"/>
    <w:rsid w:val="3E706050"/>
    <w:rsid w:val="3E800DC0"/>
    <w:rsid w:val="3E9C3F6D"/>
    <w:rsid w:val="3EAE5A4E"/>
    <w:rsid w:val="3EB10F92"/>
    <w:rsid w:val="3EB92D70"/>
    <w:rsid w:val="3EBD1489"/>
    <w:rsid w:val="3EC55271"/>
    <w:rsid w:val="3ED43706"/>
    <w:rsid w:val="3EE75BFC"/>
    <w:rsid w:val="3EED600B"/>
    <w:rsid w:val="3EF06066"/>
    <w:rsid w:val="3EF73899"/>
    <w:rsid w:val="3EF913BF"/>
    <w:rsid w:val="3EFF0F84"/>
    <w:rsid w:val="3F0E3A45"/>
    <w:rsid w:val="3F1E2BD3"/>
    <w:rsid w:val="3F214472"/>
    <w:rsid w:val="3F274FAC"/>
    <w:rsid w:val="3F2E7887"/>
    <w:rsid w:val="3F4F0FDF"/>
    <w:rsid w:val="3F566811"/>
    <w:rsid w:val="3F5C7F8B"/>
    <w:rsid w:val="3F6B1805"/>
    <w:rsid w:val="3F6F51DD"/>
    <w:rsid w:val="3F762A0F"/>
    <w:rsid w:val="3F820E92"/>
    <w:rsid w:val="3F854A01"/>
    <w:rsid w:val="3F8B72DF"/>
    <w:rsid w:val="3F8E5FAB"/>
    <w:rsid w:val="3FA255B3"/>
    <w:rsid w:val="3FB35DA1"/>
    <w:rsid w:val="3FB3610C"/>
    <w:rsid w:val="3FB62E0C"/>
    <w:rsid w:val="3FB672B0"/>
    <w:rsid w:val="3FBF6165"/>
    <w:rsid w:val="3FD17C46"/>
    <w:rsid w:val="3FD6525C"/>
    <w:rsid w:val="3FE2131B"/>
    <w:rsid w:val="3FE91814"/>
    <w:rsid w:val="3FFA53EF"/>
    <w:rsid w:val="3FFC242B"/>
    <w:rsid w:val="4033534F"/>
    <w:rsid w:val="4034343B"/>
    <w:rsid w:val="40361880"/>
    <w:rsid w:val="403E5AE8"/>
    <w:rsid w:val="40416B7A"/>
    <w:rsid w:val="40571E4B"/>
    <w:rsid w:val="405B0AE5"/>
    <w:rsid w:val="4061451C"/>
    <w:rsid w:val="40615602"/>
    <w:rsid w:val="406E7B8B"/>
    <w:rsid w:val="407435CF"/>
    <w:rsid w:val="407D1B7C"/>
    <w:rsid w:val="407E4CDD"/>
    <w:rsid w:val="40AE5488"/>
    <w:rsid w:val="40BE108E"/>
    <w:rsid w:val="40D529D3"/>
    <w:rsid w:val="40DC68A2"/>
    <w:rsid w:val="40E35E83"/>
    <w:rsid w:val="40E611D1"/>
    <w:rsid w:val="40E63B56"/>
    <w:rsid w:val="40FE0F0E"/>
    <w:rsid w:val="41140732"/>
    <w:rsid w:val="41152355"/>
    <w:rsid w:val="41230975"/>
    <w:rsid w:val="412312A3"/>
    <w:rsid w:val="412834E7"/>
    <w:rsid w:val="412D70FE"/>
    <w:rsid w:val="412F1132"/>
    <w:rsid w:val="41313092"/>
    <w:rsid w:val="41354204"/>
    <w:rsid w:val="41412A81"/>
    <w:rsid w:val="414B60ED"/>
    <w:rsid w:val="414E282B"/>
    <w:rsid w:val="416074D3"/>
    <w:rsid w:val="41676AB4"/>
    <w:rsid w:val="416A65A4"/>
    <w:rsid w:val="41704B51"/>
    <w:rsid w:val="41866BDE"/>
    <w:rsid w:val="418C4FEB"/>
    <w:rsid w:val="418D3350"/>
    <w:rsid w:val="418F600A"/>
    <w:rsid w:val="41A265EC"/>
    <w:rsid w:val="41AA074E"/>
    <w:rsid w:val="41AD228E"/>
    <w:rsid w:val="41B8730F"/>
    <w:rsid w:val="41BB2D74"/>
    <w:rsid w:val="41BE0998"/>
    <w:rsid w:val="41D96185"/>
    <w:rsid w:val="41E731F3"/>
    <w:rsid w:val="41E9396D"/>
    <w:rsid w:val="41E974C9"/>
    <w:rsid w:val="41FB5C2B"/>
    <w:rsid w:val="42024A2E"/>
    <w:rsid w:val="421107CE"/>
    <w:rsid w:val="42131E00"/>
    <w:rsid w:val="421848DB"/>
    <w:rsid w:val="42190100"/>
    <w:rsid w:val="421D3DF0"/>
    <w:rsid w:val="421F4DB2"/>
    <w:rsid w:val="422A7673"/>
    <w:rsid w:val="422E5823"/>
    <w:rsid w:val="4234500F"/>
    <w:rsid w:val="423931A7"/>
    <w:rsid w:val="425A3F23"/>
    <w:rsid w:val="425B4356"/>
    <w:rsid w:val="425E5F23"/>
    <w:rsid w:val="42604346"/>
    <w:rsid w:val="42721502"/>
    <w:rsid w:val="4278084D"/>
    <w:rsid w:val="42780B8A"/>
    <w:rsid w:val="42827BE2"/>
    <w:rsid w:val="428471F1"/>
    <w:rsid w:val="42AD6C5D"/>
    <w:rsid w:val="42CA554C"/>
    <w:rsid w:val="42CD0B98"/>
    <w:rsid w:val="42D136BC"/>
    <w:rsid w:val="42D76A7A"/>
    <w:rsid w:val="42DA1507"/>
    <w:rsid w:val="42DB6C41"/>
    <w:rsid w:val="42DC5970"/>
    <w:rsid w:val="42E363AD"/>
    <w:rsid w:val="42FD3C94"/>
    <w:rsid w:val="43085C34"/>
    <w:rsid w:val="430B7913"/>
    <w:rsid w:val="431028EA"/>
    <w:rsid w:val="431633FA"/>
    <w:rsid w:val="431A7B56"/>
    <w:rsid w:val="4321177C"/>
    <w:rsid w:val="43233B60"/>
    <w:rsid w:val="43244531"/>
    <w:rsid w:val="432D5ADB"/>
    <w:rsid w:val="434A6E98"/>
    <w:rsid w:val="43537B47"/>
    <w:rsid w:val="43545C34"/>
    <w:rsid w:val="435766B4"/>
    <w:rsid w:val="435C54A2"/>
    <w:rsid w:val="435E5C94"/>
    <w:rsid w:val="436168E4"/>
    <w:rsid w:val="43686DB1"/>
    <w:rsid w:val="436C03B1"/>
    <w:rsid w:val="436C06B0"/>
    <w:rsid w:val="4379236B"/>
    <w:rsid w:val="438254A7"/>
    <w:rsid w:val="43880F63"/>
    <w:rsid w:val="4392593E"/>
    <w:rsid w:val="43963680"/>
    <w:rsid w:val="43993B19"/>
    <w:rsid w:val="43AE0098"/>
    <w:rsid w:val="43B753A5"/>
    <w:rsid w:val="43BF4072"/>
    <w:rsid w:val="43C24475"/>
    <w:rsid w:val="43C33D49"/>
    <w:rsid w:val="43CA157C"/>
    <w:rsid w:val="43E268C5"/>
    <w:rsid w:val="43EB0F05"/>
    <w:rsid w:val="43F62371"/>
    <w:rsid w:val="43FC5CAF"/>
    <w:rsid w:val="43FE39A8"/>
    <w:rsid w:val="43FE7F3B"/>
    <w:rsid w:val="44150A49"/>
    <w:rsid w:val="442347E8"/>
    <w:rsid w:val="442F1F32"/>
    <w:rsid w:val="4430467C"/>
    <w:rsid w:val="44346E3C"/>
    <w:rsid w:val="443A40FB"/>
    <w:rsid w:val="444A6175"/>
    <w:rsid w:val="444B6125"/>
    <w:rsid w:val="44517229"/>
    <w:rsid w:val="445A2900"/>
    <w:rsid w:val="446B0A37"/>
    <w:rsid w:val="446E63AB"/>
    <w:rsid w:val="447B63D2"/>
    <w:rsid w:val="44801C3A"/>
    <w:rsid w:val="448C0A0C"/>
    <w:rsid w:val="44901E7E"/>
    <w:rsid w:val="44937BC0"/>
    <w:rsid w:val="449D086A"/>
    <w:rsid w:val="44A27E03"/>
    <w:rsid w:val="44A45929"/>
    <w:rsid w:val="44A64D57"/>
    <w:rsid w:val="44A6695C"/>
    <w:rsid w:val="44A707DF"/>
    <w:rsid w:val="44A752F8"/>
    <w:rsid w:val="44B85F15"/>
    <w:rsid w:val="44BA514C"/>
    <w:rsid w:val="44C0418D"/>
    <w:rsid w:val="44C152BA"/>
    <w:rsid w:val="44C22253"/>
    <w:rsid w:val="44C4421D"/>
    <w:rsid w:val="44C70E65"/>
    <w:rsid w:val="44C904C1"/>
    <w:rsid w:val="44E26451"/>
    <w:rsid w:val="44E4666D"/>
    <w:rsid w:val="44F6133D"/>
    <w:rsid w:val="450918FA"/>
    <w:rsid w:val="450C286E"/>
    <w:rsid w:val="452101E1"/>
    <w:rsid w:val="4521341D"/>
    <w:rsid w:val="45414268"/>
    <w:rsid w:val="4545710C"/>
    <w:rsid w:val="454B393C"/>
    <w:rsid w:val="454F3AE7"/>
    <w:rsid w:val="455C6204"/>
    <w:rsid w:val="45601FC7"/>
    <w:rsid w:val="45667082"/>
    <w:rsid w:val="457F208C"/>
    <w:rsid w:val="458F65D9"/>
    <w:rsid w:val="45A6199B"/>
    <w:rsid w:val="45AE47EA"/>
    <w:rsid w:val="45AF74F3"/>
    <w:rsid w:val="45B147A1"/>
    <w:rsid w:val="45B82104"/>
    <w:rsid w:val="45B85B30"/>
    <w:rsid w:val="45C002B0"/>
    <w:rsid w:val="45D466E2"/>
    <w:rsid w:val="45D87F80"/>
    <w:rsid w:val="45DE4E6B"/>
    <w:rsid w:val="45EC2BB2"/>
    <w:rsid w:val="45F11042"/>
    <w:rsid w:val="45F60406"/>
    <w:rsid w:val="460C19D8"/>
    <w:rsid w:val="460F63E9"/>
    <w:rsid w:val="4611125F"/>
    <w:rsid w:val="461C7016"/>
    <w:rsid w:val="46252A99"/>
    <w:rsid w:val="462E7BA0"/>
    <w:rsid w:val="462F1B6A"/>
    <w:rsid w:val="46302E9B"/>
    <w:rsid w:val="4642189D"/>
    <w:rsid w:val="464473C4"/>
    <w:rsid w:val="464A2ED4"/>
    <w:rsid w:val="464E0840"/>
    <w:rsid w:val="46737CA9"/>
    <w:rsid w:val="467A6E3B"/>
    <w:rsid w:val="467B6B5D"/>
    <w:rsid w:val="468F3BC9"/>
    <w:rsid w:val="46965745"/>
    <w:rsid w:val="46A0188F"/>
    <w:rsid w:val="46C146A3"/>
    <w:rsid w:val="46C73B51"/>
    <w:rsid w:val="46DB66CA"/>
    <w:rsid w:val="46DC3AA0"/>
    <w:rsid w:val="46E91D19"/>
    <w:rsid w:val="46E93AC7"/>
    <w:rsid w:val="46EE37D3"/>
    <w:rsid w:val="46F1429E"/>
    <w:rsid w:val="46FA2085"/>
    <w:rsid w:val="47095F17"/>
    <w:rsid w:val="47152B0E"/>
    <w:rsid w:val="47190850"/>
    <w:rsid w:val="472C0A7F"/>
    <w:rsid w:val="47486A40"/>
    <w:rsid w:val="47502091"/>
    <w:rsid w:val="475C073D"/>
    <w:rsid w:val="475E44B5"/>
    <w:rsid w:val="475F022D"/>
    <w:rsid w:val="47613FA5"/>
    <w:rsid w:val="47681A81"/>
    <w:rsid w:val="47694C08"/>
    <w:rsid w:val="477737C9"/>
    <w:rsid w:val="47776D2B"/>
    <w:rsid w:val="47777325"/>
    <w:rsid w:val="477A0BC3"/>
    <w:rsid w:val="477C0E4C"/>
    <w:rsid w:val="4787116E"/>
    <w:rsid w:val="478A7058"/>
    <w:rsid w:val="47961EA1"/>
    <w:rsid w:val="47A345BE"/>
    <w:rsid w:val="47A619B8"/>
    <w:rsid w:val="47AD7D5D"/>
    <w:rsid w:val="47AF4D11"/>
    <w:rsid w:val="47C307BC"/>
    <w:rsid w:val="47C84024"/>
    <w:rsid w:val="47D46525"/>
    <w:rsid w:val="47DF090F"/>
    <w:rsid w:val="47F1517F"/>
    <w:rsid w:val="47F70466"/>
    <w:rsid w:val="48095097"/>
    <w:rsid w:val="480E2C76"/>
    <w:rsid w:val="4812652E"/>
    <w:rsid w:val="481C1C7A"/>
    <w:rsid w:val="482F7BFF"/>
    <w:rsid w:val="48344B31"/>
    <w:rsid w:val="48396CD0"/>
    <w:rsid w:val="48427933"/>
    <w:rsid w:val="484336AB"/>
    <w:rsid w:val="484636CE"/>
    <w:rsid w:val="484713ED"/>
    <w:rsid w:val="484C07B1"/>
    <w:rsid w:val="485034D5"/>
    <w:rsid w:val="485633DE"/>
    <w:rsid w:val="486620A5"/>
    <w:rsid w:val="486A6E89"/>
    <w:rsid w:val="486F26F2"/>
    <w:rsid w:val="487E2410"/>
    <w:rsid w:val="48987CCA"/>
    <w:rsid w:val="489F232B"/>
    <w:rsid w:val="48BC5937"/>
    <w:rsid w:val="48BE6E77"/>
    <w:rsid w:val="48C52312"/>
    <w:rsid w:val="48D10CB7"/>
    <w:rsid w:val="48D77797"/>
    <w:rsid w:val="48D906F8"/>
    <w:rsid w:val="48E94D6D"/>
    <w:rsid w:val="48EC5C6C"/>
    <w:rsid w:val="48EC789E"/>
    <w:rsid w:val="48EF4B8D"/>
    <w:rsid w:val="48F77D53"/>
    <w:rsid w:val="48F926DA"/>
    <w:rsid w:val="48FF0ECF"/>
    <w:rsid w:val="49037A9E"/>
    <w:rsid w:val="490966A2"/>
    <w:rsid w:val="4914486F"/>
    <w:rsid w:val="49261002"/>
    <w:rsid w:val="492C5300"/>
    <w:rsid w:val="493D00FA"/>
    <w:rsid w:val="49483D67"/>
    <w:rsid w:val="49492F43"/>
    <w:rsid w:val="49650088"/>
    <w:rsid w:val="49793828"/>
    <w:rsid w:val="497B41DA"/>
    <w:rsid w:val="497E2BEC"/>
    <w:rsid w:val="4981448B"/>
    <w:rsid w:val="49836455"/>
    <w:rsid w:val="498A68BE"/>
    <w:rsid w:val="499248EA"/>
    <w:rsid w:val="499B7529"/>
    <w:rsid w:val="49AF2F92"/>
    <w:rsid w:val="49B42429"/>
    <w:rsid w:val="49B4660E"/>
    <w:rsid w:val="49C03205"/>
    <w:rsid w:val="49E760C4"/>
    <w:rsid w:val="49EF3AEA"/>
    <w:rsid w:val="49EF7646"/>
    <w:rsid w:val="49FA46A4"/>
    <w:rsid w:val="49FD1664"/>
    <w:rsid w:val="4A003601"/>
    <w:rsid w:val="4A167D36"/>
    <w:rsid w:val="4A227A1C"/>
    <w:rsid w:val="4A394D65"/>
    <w:rsid w:val="4A445C00"/>
    <w:rsid w:val="4A497A90"/>
    <w:rsid w:val="4A514331"/>
    <w:rsid w:val="4A540DE7"/>
    <w:rsid w:val="4A697F05"/>
    <w:rsid w:val="4A722025"/>
    <w:rsid w:val="4A767D68"/>
    <w:rsid w:val="4A7926B7"/>
    <w:rsid w:val="4AA71278"/>
    <w:rsid w:val="4AA77F21"/>
    <w:rsid w:val="4AA96C35"/>
    <w:rsid w:val="4AAE0EEC"/>
    <w:rsid w:val="4AB25AAF"/>
    <w:rsid w:val="4ABA0C63"/>
    <w:rsid w:val="4AC2303B"/>
    <w:rsid w:val="4AC41483"/>
    <w:rsid w:val="4AC76815"/>
    <w:rsid w:val="4AD056CA"/>
    <w:rsid w:val="4AD8457E"/>
    <w:rsid w:val="4ADA5CED"/>
    <w:rsid w:val="4AE4518C"/>
    <w:rsid w:val="4AFB6E19"/>
    <w:rsid w:val="4B0E1D4E"/>
    <w:rsid w:val="4B1C7EBB"/>
    <w:rsid w:val="4B2772B4"/>
    <w:rsid w:val="4B2E1FB3"/>
    <w:rsid w:val="4B35552D"/>
    <w:rsid w:val="4B403D1F"/>
    <w:rsid w:val="4B427C4A"/>
    <w:rsid w:val="4B4C1C6D"/>
    <w:rsid w:val="4B5A0B53"/>
    <w:rsid w:val="4B5A1437"/>
    <w:rsid w:val="4B5D0811"/>
    <w:rsid w:val="4B667DDC"/>
    <w:rsid w:val="4B7F2C4C"/>
    <w:rsid w:val="4B952493"/>
    <w:rsid w:val="4B9718D8"/>
    <w:rsid w:val="4B9C37FE"/>
    <w:rsid w:val="4BAB57EF"/>
    <w:rsid w:val="4BAC25DD"/>
    <w:rsid w:val="4BB94F3A"/>
    <w:rsid w:val="4BBC5C4E"/>
    <w:rsid w:val="4BBF5043"/>
    <w:rsid w:val="4BBF5517"/>
    <w:rsid w:val="4BC66ACD"/>
    <w:rsid w:val="4BCB40E3"/>
    <w:rsid w:val="4BCC52C8"/>
    <w:rsid w:val="4BD17005"/>
    <w:rsid w:val="4BD80A66"/>
    <w:rsid w:val="4BD9235C"/>
    <w:rsid w:val="4BE12AD8"/>
    <w:rsid w:val="4BE34F89"/>
    <w:rsid w:val="4BEC245C"/>
    <w:rsid w:val="4C0978CB"/>
    <w:rsid w:val="4C13285A"/>
    <w:rsid w:val="4C1C40A9"/>
    <w:rsid w:val="4C235CCD"/>
    <w:rsid w:val="4C325F10"/>
    <w:rsid w:val="4C4C5CB0"/>
    <w:rsid w:val="4C581C45"/>
    <w:rsid w:val="4C592E7C"/>
    <w:rsid w:val="4C60482B"/>
    <w:rsid w:val="4C6D5CD6"/>
    <w:rsid w:val="4C6F4F9D"/>
    <w:rsid w:val="4C7232DE"/>
    <w:rsid w:val="4C7837AA"/>
    <w:rsid w:val="4C7E4CB1"/>
    <w:rsid w:val="4C8121AD"/>
    <w:rsid w:val="4C982217"/>
    <w:rsid w:val="4C9E6F06"/>
    <w:rsid w:val="4CA354A1"/>
    <w:rsid w:val="4CAD5597"/>
    <w:rsid w:val="4CAF7775"/>
    <w:rsid w:val="4CB22BAD"/>
    <w:rsid w:val="4CBB5F06"/>
    <w:rsid w:val="4CCF550D"/>
    <w:rsid w:val="4CD40D75"/>
    <w:rsid w:val="4CD82614"/>
    <w:rsid w:val="4CE03BBE"/>
    <w:rsid w:val="4CE71E6C"/>
    <w:rsid w:val="4CF84A64"/>
    <w:rsid w:val="4CFD651E"/>
    <w:rsid w:val="4CFE5C17"/>
    <w:rsid w:val="4D0553D3"/>
    <w:rsid w:val="4D13189E"/>
    <w:rsid w:val="4D141252"/>
    <w:rsid w:val="4D165AC0"/>
    <w:rsid w:val="4D1D271C"/>
    <w:rsid w:val="4D2515D1"/>
    <w:rsid w:val="4D292E6F"/>
    <w:rsid w:val="4D2B308B"/>
    <w:rsid w:val="4D2C0BB1"/>
    <w:rsid w:val="4D317F76"/>
    <w:rsid w:val="4D445EFB"/>
    <w:rsid w:val="4D461514"/>
    <w:rsid w:val="4D467EC5"/>
    <w:rsid w:val="4D562FEC"/>
    <w:rsid w:val="4D5C5691"/>
    <w:rsid w:val="4D6333C9"/>
    <w:rsid w:val="4D650311"/>
    <w:rsid w:val="4D6C0FAE"/>
    <w:rsid w:val="4D722A68"/>
    <w:rsid w:val="4D9D560B"/>
    <w:rsid w:val="4DA62712"/>
    <w:rsid w:val="4DAF724C"/>
    <w:rsid w:val="4DB03590"/>
    <w:rsid w:val="4DBF5582"/>
    <w:rsid w:val="4DC0326F"/>
    <w:rsid w:val="4DC35387"/>
    <w:rsid w:val="4DCF7EBB"/>
    <w:rsid w:val="4DD1070E"/>
    <w:rsid w:val="4DD52FF7"/>
    <w:rsid w:val="4DDC25D7"/>
    <w:rsid w:val="4DDF3E76"/>
    <w:rsid w:val="4DE668C4"/>
    <w:rsid w:val="4DFD6BFD"/>
    <w:rsid w:val="4E055E9A"/>
    <w:rsid w:val="4E0566F8"/>
    <w:rsid w:val="4E061402"/>
    <w:rsid w:val="4E157897"/>
    <w:rsid w:val="4E2D698F"/>
    <w:rsid w:val="4E3B262B"/>
    <w:rsid w:val="4E404401"/>
    <w:rsid w:val="4E4F12F0"/>
    <w:rsid w:val="4E606494"/>
    <w:rsid w:val="4E695D36"/>
    <w:rsid w:val="4E6B60F4"/>
    <w:rsid w:val="4E6C5709"/>
    <w:rsid w:val="4E824F2D"/>
    <w:rsid w:val="4E9407BC"/>
    <w:rsid w:val="4E9609D8"/>
    <w:rsid w:val="4E9C2E24"/>
    <w:rsid w:val="4EA57992"/>
    <w:rsid w:val="4EC07803"/>
    <w:rsid w:val="4EC42815"/>
    <w:rsid w:val="4EC45545"/>
    <w:rsid w:val="4ECF324C"/>
    <w:rsid w:val="4ED4251B"/>
    <w:rsid w:val="4EE03A01"/>
    <w:rsid w:val="4EE554BC"/>
    <w:rsid w:val="4EE5726A"/>
    <w:rsid w:val="4EE9060D"/>
    <w:rsid w:val="4EEE25C2"/>
    <w:rsid w:val="4EF13E61"/>
    <w:rsid w:val="4EF15C0F"/>
    <w:rsid w:val="4EF2258E"/>
    <w:rsid w:val="4EF83441"/>
    <w:rsid w:val="4EFA0F67"/>
    <w:rsid w:val="4EFA317A"/>
    <w:rsid w:val="4F085FB5"/>
    <w:rsid w:val="4F0A0A7E"/>
    <w:rsid w:val="4F0A0B7D"/>
    <w:rsid w:val="4F1B24A1"/>
    <w:rsid w:val="4F22401A"/>
    <w:rsid w:val="4F2F6737"/>
    <w:rsid w:val="4F336227"/>
    <w:rsid w:val="4F5075F8"/>
    <w:rsid w:val="4F5F526E"/>
    <w:rsid w:val="4F6603AB"/>
    <w:rsid w:val="4F6A776F"/>
    <w:rsid w:val="4F6C2FB1"/>
    <w:rsid w:val="4F7800DE"/>
    <w:rsid w:val="4F7F76BE"/>
    <w:rsid w:val="4F835269"/>
    <w:rsid w:val="4F876573"/>
    <w:rsid w:val="4F8847C5"/>
    <w:rsid w:val="4F905428"/>
    <w:rsid w:val="4F961F9E"/>
    <w:rsid w:val="4F9D7B44"/>
    <w:rsid w:val="4F9E207E"/>
    <w:rsid w:val="4F9E6E89"/>
    <w:rsid w:val="4F9F1B0F"/>
    <w:rsid w:val="4FA561B0"/>
    <w:rsid w:val="4FA61A93"/>
    <w:rsid w:val="4FB355BA"/>
    <w:rsid w:val="4FB530E0"/>
    <w:rsid w:val="4FBC2915"/>
    <w:rsid w:val="4FC86025"/>
    <w:rsid w:val="4FCC3774"/>
    <w:rsid w:val="4FDF1F0B"/>
    <w:rsid w:val="4FE60326"/>
    <w:rsid w:val="4FF43C08"/>
    <w:rsid w:val="50083210"/>
    <w:rsid w:val="500B2D00"/>
    <w:rsid w:val="501A13DA"/>
    <w:rsid w:val="501D6A1E"/>
    <w:rsid w:val="50245B70"/>
    <w:rsid w:val="50371D47"/>
    <w:rsid w:val="503F0BFC"/>
    <w:rsid w:val="504145F1"/>
    <w:rsid w:val="505428F9"/>
    <w:rsid w:val="50642410"/>
    <w:rsid w:val="50715259"/>
    <w:rsid w:val="5075723C"/>
    <w:rsid w:val="50762BB4"/>
    <w:rsid w:val="50782D9A"/>
    <w:rsid w:val="507B5A4E"/>
    <w:rsid w:val="507C44FD"/>
    <w:rsid w:val="507C6790"/>
    <w:rsid w:val="50874A7C"/>
    <w:rsid w:val="508825A3"/>
    <w:rsid w:val="508F5F4A"/>
    <w:rsid w:val="509E5922"/>
    <w:rsid w:val="50A815FE"/>
    <w:rsid w:val="50AC44E3"/>
    <w:rsid w:val="50B11AF9"/>
    <w:rsid w:val="50B404AC"/>
    <w:rsid w:val="50B52C6C"/>
    <w:rsid w:val="50C3182D"/>
    <w:rsid w:val="50CB1821"/>
    <w:rsid w:val="50CC248F"/>
    <w:rsid w:val="50D13F4A"/>
    <w:rsid w:val="50D94BCC"/>
    <w:rsid w:val="50DD5829"/>
    <w:rsid w:val="50DE6667"/>
    <w:rsid w:val="50E23FA9"/>
    <w:rsid w:val="50E83041"/>
    <w:rsid w:val="50EA500B"/>
    <w:rsid w:val="50EC47EB"/>
    <w:rsid w:val="50F87728"/>
    <w:rsid w:val="510E55D2"/>
    <w:rsid w:val="511D2CEB"/>
    <w:rsid w:val="512178AF"/>
    <w:rsid w:val="51217BA2"/>
    <w:rsid w:val="512E1286"/>
    <w:rsid w:val="514225B8"/>
    <w:rsid w:val="514601A9"/>
    <w:rsid w:val="51494480"/>
    <w:rsid w:val="514A2E40"/>
    <w:rsid w:val="514B3CFC"/>
    <w:rsid w:val="516721B8"/>
    <w:rsid w:val="5173108C"/>
    <w:rsid w:val="51756313"/>
    <w:rsid w:val="5177167E"/>
    <w:rsid w:val="51861CB7"/>
    <w:rsid w:val="51960CEF"/>
    <w:rsid w:val="519F5DF6"/>
    <w:rsid w:val="51AA404F"/>
    <w:rsid w:val="51B428B9"/>
    <w:rsid w:val="51C4760A"/>
    <w:rsid w:val="51D07D5D"/>
    <w:rsid w:val="51D41B82"/>
    <w:rsid w:val="51DE7F1E"/>
    <w:rsid w:val="51E41A5B"/>
    <w:rsid w:val="51E543CA"/>
    <w:rsid w:val="51F53C68"/>
    <w:rsid w:val="51FA302C"/>
    <w:rsid w:val="52000855"/>
    <w:rsid w:val="52003312"/>
    <w:rsid w:val="520D4018"/>
    <w:rsid w:val="520E2F00"/>
    <w:rsid w:val="522053F8"/>
    <w:rsid w:val="52331558"/>
    <w:rsid w:val="52391DB1"/>
    <w:rsid w:val="52405B6C"/>
    <w:rsid w:val="526112FD"/>
    <w:rsid w:val="52641FE4"/>
    <w:rsid w:val="526439C9"/>
    <w:rsid w:val="5268443A"/>
    <w:rsid w:val="52701540"/>
    <w:rsid w:val="52727066"/>
    <w:rsid w:val="5274681F"/>
    <w:rsid w:val="527E32F1"/>
    <w:rsid w:val="527E3C5D"/>
    <w:rsid w:val="527E600C"/>
    <w:rsid w:val="52837CE1"/>
    <w:rsid w:val="528E55E3"/>
    <w:rsid w:val="52A72DDD"/>
    <w:rsid w:val="52B063AA"/>
    <w:rsid w:val="52B15DDC"/>
    <w:rsid w:val="52BE22AC"/>
    <w:rsid w:val="52CB277A"/>
    <w:rsid w:val="52DA2EF0"/>
    <w:rsid w:val="52DB6CEE"/>
    <w:rsid w:val="52E33975"/>
    <w:rsid w:val="52ED2B91"/>
    <w:rsid w:val="52F757BE"/>
    <w:rsid w:val="52F83A10"/>
    <w:rsid w:val="530171A9"/>
    <w:rsid w:val="53185E60"/>
    <w:rsid w:val="531A7224"/>
    <w:rsid w:val="5325232B"/>
    <w:rsid w:val="53374560"/>
    <w:rsid w:val="533D46E1"/>
    <w:rsid w:val="53452835"/>
    <w:rsid w:val="534D288C"/>
    <w:rsid w:val="53565406"/>
    <w:rsid w:val="53635899"/>
    <w:rsid w:val="536410A5"/>
    <w:rsid w:val="536F17F8"/>
    <w:rsid w:val="537B1F4B"/>
    <w:rsid w:val="53807561"/>
    <w:rsid w:val="538C05FC"/>
    <w:rsid w:val="539354E6"/>
    <w:rsid w:val="53963229"/>
    <w:rsid w:val="53AA5BD7"/>
    <w:rsid w:val="53AB10AE"/>
    <w:rsid w:val="53AC696A"/>
    <w:rsid w:val="53AE40CE"/>
    <w:rsid w:val="53B8765E"/>
    <w:rsid w:val="53C316FC"/>
    <w:rsid w:val="53C51418"/>
    <w:rsid w:val="53CE651E"/>
    <w:rsid w:val="53D61877"/>
    <w:rsid w:val="53D77AC9"/>
    <w:rsid w:val="53DC50DF"/>
    <w:rsid w:val="53E25F91"/>
    <w:rsid w:val="53EA44B8"/>
    <w:rsid w:val="540006A2"/>
    <w:rsid w:val="540208BE"/>
    <w:rsid w:val="5406215C"/>
    <w:rsid w:val="540712CF"/>
    <w:rsid w:val="540930BB"/>
    <w:rsid w:val="540E1B40"/>
    <w:rsid w:val="540E250A"/>
    <w:rsid w:val="5411465D"/>
    <w:rsid w:val="54177AB0"/>
    <w:rsid w:val="541A79B6"/>
    <w:rsid w:val="541B49D2"/>
    <w:rsid w:val="54220681"/>
    <w:rsid w:val="54273B77"/>
    <w:rsid w:val="54300F87"/>
    <w:rsid w:val="54372C6B"/>
    <w:rsid w:val="543B5F1F"/>
    <w:rsid w:val="544113E6"/>
    <w:rsid w:val="5449029B"/>
    <w:rsid w:val="544946C7"/>
    <w:rsid w:val="544B3740"/>
    <w:rsid w:val="544C4090"/>
    <w:rsid w:val="544D38E7"/>
    <w:rsid w:val="545302FB"/>
    <w:rsid w:val="54603722"/>
    <w:rsid w:val="54624EB9"/>
    <w:rsid w:val="546724CF"/>
    <w:rsid w:val="546F6218"/>
    <w:rsid w:val="54720837"/>
    <w:rsid w:val="548A4B3B"/>
    <w:rsid w:val="548B182B"/>
    <w:rsid w:val="549E096F"/>
    <w:rsid w:val="54A35606"/>
    <w:rsid w:val="54A35BFD"/>
    <w:rsid w:val="54AD4386"/>
    <w:rsid w:val="54B2321D"/>
    <w:rsid w:val="54BC0A6D"/>
    <w:rsid w:val="54C067AF"/>
    <w:rsid w:val="54C36960"/>
    <w:rsid w:val="54D01BAA"/>
    <w:rsid w:val="54E54F02"/>
    <w:rsid w:val="54F04E4A"/>
    <w:rsid w:val="54F2623D"/>
    <w:rsid w:val="54FB3C34"/>
    <w:rsid w:val="54FC70BB"/>
    <w:rsid w:val="54FF095A"/>
    <w:rsid w:val="55004DFD"/>
    <w:rsid w:val="55011829"/>
    <w:rsid w:val="550348EE"/>
    <w:rsid w:val="55110DB9"/>
    <w:rsid w:val="5511700B"/>
    <w:rsid w:val="5516017D"/>
    <w:rsid w:val="551E5284"/>
    <w:rsid w:val="5521015C"/>
    <w:rsid w:val="552A00CC"/>
    <w:rsid w:val="5541507B"/>
    <w:rsid w:val="55460F66"/>
    <w:rsid w:val="554A6079"/>
    <w:rsid w:val="55517407"/>
    <w:rsid w:val="55570796"/>
    <w:rsid w:val="555B416B"/>
    <w:rsid w:val="556D5881"/>
    <w:rsid w:val="557F481B"/>
    <w:rsid w:val="55AD03B6"/>
    <w:rsid w:val="55B310B8"/>
    <w:rsid w:val="55B87486"/>
    <w:rsid w:val="55BA31FE"/>
    <w:rsid w:val="55BC39F5"/>
    <w:rsid w:val="55CE4A5B"/>
    <w:rsid w:val="55DB4F23"/>
    <w:rsid w:val="55EC5397"/>
    <w:rsid w:val="55EE4C56"/>
    <w:rsid w:val="56075D18"/>
    <w:rsid w:val="56116B96"/>
    <w:rsid w:val="56137A41"/>
    <w:rsid w:val="561A1EEF"/>
    <w:rsid w:val="5621502B"/>
    <w:rsid w:val="5630526E"/>
    <w:rsid w:val="564C7BCE"/>
    <w:rsid w:val="565432B3"/>
    <w:rsid w:val="565847C5"/>
    <w:rsid w:val="565C6063"/>
    <w:rsid w:val="565D1D4E"/>
    <w:rsid w:val="565F7902"/>
    <w:rsid w:val="56666EE2"/>
    <w:rsid w:val="566954DC"/>
    <w:rsid w:val="567A6A7A"/>
    <w:rsid w:val="567E247E"/>
    <w:rsid w:val="568630E0"/>
    <w:rsid w:val="568709D5"/>
    <w:rsid w:val="568B7B3F"/>
    <w:rsid w:val="568F4AB2"/>
    <w:rsid w:val="56AA5540"/>
    <w:rsid w:val="56C22086"/>
    <w:rsid w:val="56C37E91"/>
    <w:rsid w:val="56C836F9"/>
    <w:rsid w:val="56DF6C95"/>
    <w:rsid w:val="56E878F7"/>
    <w:rsid w:val="56F73FDE"/>
    <w:rsid w:val="56FE498F"/>
    <w:rsid w:val="56FF5B35"/>
    <w:rsid w:val="57087F99"/>
    <w:rsid w:val="570979CD"/>
    <w:rsid w:val="571132F2"/>
    <w:rsid w:val="571B7CCD"/>
    <w:rsid w:val="572B2181"/>
    <w:rsid w:val="573214BA"/>
    <w:rsid w:val="57331043"/>
    <w:rsid w:val="57396B47"/>
    <w:rsid w:val="573B211D"/>
    <w:rsid w:val="574B7442"/>
    <w:rsid w:val="57603931"/>
    <w:rsid w:val="576462DE"/>
    <w:rsid w:val="57650F48"/>
    <w:rsid w:val="57727B09"/>
    <w:rsid w:val="577A33AF"/>
    <w:rsid w:val="578F5C2B"/>
    <w:rsid w:val="57A263D3"/>
    <w:rsid w:val="57A6728C"/>
    <w:rsid w:val="57AA2DFF"/>
    <w:rsid w:val="57AE0ED6"/>
    <w:rsid w:val="57B7551B"/>
    <w:rsid w:val="57BE68AA"/>
    <w:rsid w:val="57C65D48"/>
    <w:rsid w:val="57CA69DC"/>
    <w:rsid w:val="57CE11E3"/>
    <w:rsid w:val="57D1482F"/>
    <w:rsid w:val="57DE0CFA"/>
    <w:rsid w:val="57E06327"/>
    <w:rsid w:val="57E62B94"/>
    <w:rsid w:val="57F66199"/>
    <w:rsid w:val="57FC66CE"/>
    <w:rsid w:val="580544D9"/>
    <w:rsid w:val="58097FE5"/>
    <w:rsid w:val="58102CE9"/>
    <w:rsid w:val="581757A2"/>
    <w:rsid w:val="581B5AAA"/>
    <w:rsid w:val="58240E03"/>
    <w:rsid w:val="58262CA5"/>
    <w:rsid w:val="58276B45"/>
    <w:rsid w:val="582B485E"/>
    <w:rsid w:val="58313520"/>
    <w:rsid w:val="58331046"/>
    <w:rsid w:val="583F4AFD"/>
    <w:rsid w:val="58443054"/>
    <w:rsid w:val="58443B12"/>
    <w:rsid w:val="58445001"/>
    <w:rsid w:val="584F10FF"/>
    <w:rsid w:val="586E6522"/>
    <w:rsid w:val="58753A6F"/>
    <w:rsid w:val="58773629"/>
    <w:rsid w:val="587E0914"/>
    <w:rsid w:val="58871392"/>
    <w:rsid w:val="589D2963"/>
    <w:rsid w:val="58A22362"/>
    <w:rsid w:val="58AC24F5"/>
    <w:rsid w:val="58B24661"/>
    <w:rsid w:val="58B8779D"/>
    <w:rsid w:val="58B96858"/>
    <w:rsid w:val="58BF6D7E"/>
    <w:rsid w:val="58D263C5"/>
    <w:rsid w:val="58E5611E"/>
    <w:rsid w:val="58E6430A"/>
    <w:rsid w:val="58E80082"/>
    <w:rsid w:val="58E81E30"/>
    <w:rsid w:val="58F145F0"/>
    <w:rsid w:val="59034EBC"/>
    <w:rsid w:val="59041689"/>
    <w:rsid w:val="590617C1"/>
    <w:rsid w:val="59071FB3"/>
    <w:rsid w:val="590D5382"/>
    <w:rsid w:val="590F55A7"/>
    <w:rsid w:val="59196760"/>
    <w:rsid w:val="591C41D0"/>
    <w:rsid w:val="591E3AA4"/>
    <w:rsid w:val="591F15CA"/>
    <w:rsid w:val="59240DDA"/>
    <w:rsid w:val="59282B75"/>
    <w:rsid w:val="59411541"/>
    <w:rsid w:val="5943350B"/>
    <w:rsid w:val="59433CDD"/>
    <w:rsid w:val="594E15C6"/>
    <w:rsid w:val="59594ADC"/>
    <w:rsid w:val="595C45CC"/>
    <w:rsid w:val="595D52B4"/>
    <w:rsid w:val="59611BE3"/>
    <w:rsid w:val="5962666D"/>
    <w:rsid w:val="59752C57"/>
    <w:rsid w:val="59777658"/>
    <w:rsid w:val="597C6A1D"/>
    <w:rsid w:val="597E42AD"/>
    <w:rsid w:val="59810274"/>
    <w:rsid w:val="59816AA9"/>
    <w:rsid w:val="59825C7A"/>
    <w:rsid w:val="598853C1"/>
    <w:rsid w:val="59A044B9"/>
    <w:rsid w:val="59B60181"/>
    <w:rsid w:val="59C86CF0"/>
    <w:rsid w:val="59D61B28"/>
    <w:rsid w:val="59D979CB"/>
    <w:rsid w:val="59DA22DC"/>
    <w:rsid w:val="59EC5950"/>
    <w:rsid w:val="59F0489D"/>
    <w:rsid w:val="59F67A26"/>
    <w:rsid w:val="59F73204"/>
    <w:rsid w:val="59FD5DAF"/>
    <w:rsid w:val="5A026F22"/>
    <w:rsid w:val="5A0630B8"/>
    <w:rsid w:val="5A08132C"/>
    <w:rsid w:val="5A0F7275"/>
    <w:rsid w:val="5A1D18EA"/>
    <w:rsid w:val="5A2E1BAA"/>
    <w:rsid w:val="5A2E3043"/>
    <w:rsid w:val="5A307F33"/>
    <w:rsid w:val="5A315A59"/>
    <w:rsid w:val="5A451416"/>
    <w:rsid w:val="5A4F3AC1"/>
    <w:rsid w:val="5A5A5963"/>
    <w:rsid w:val="5A5E7D59"/>
    <w:rsid w:val="5A6C03A3"/>
    <w:rsid w:val="5A6D5383"/>
    <w:rsid w:val="5A716AA1"/>
    <w:rsid w:val="5A737E20"/>
    <w:rsid w:val="5A7917A8"/>
    <w:rsid w:val="5A7A082C"/>
    <w:rsid w:val="5A7A2F5C"/>
    <w:rsid w:val="5A7C4F26"/>
    <w:rsid w:val="5A7E7A83"/>
    <w:rsid w:val="5A865DA5"/>
    <w:rsid w:val="5A8F34C9"/>
    <w:rsid w:val="5A9B4133"/>
    <w:rsid w:val="5AA77AC9"/>
    <w:rsid w:val="5ABB5323"/>
    <w:rsid w:val="5ABD553F"/>
    <w:rsid w:val="5ABF6EB9"/>
    <w:rsid w:val="5AC05BEB"/>
    <w:rsid w:val="5AC451BA"/>
    <w:rsid w:val="5ACE5056"/>
    <w:rsid w:val="5AD325D0"/>
    <w:rsid w:val="5ADB4549"/>
    <w:rsid w:val="5ADD173D"/>
    <w:rsid w:val="5ADE798F"/>
    <w:rsid w:val="5AE768A1"/>
    <w:rsid w:val="5AE94ADC"/>
    <w:rsid w:val="5B004DB9"/>
    <w:rsid w:val="5B0A6D0B"/>
    <w:rsid w:val="5B123195"/>
    <w:rsid w:val="5B160185"/>
    <w:rsid w:val="5B181335"/>
    <w:rsid w:val="5B206B04"/>
    <w:rsid w:val="5B286E5C"/>
    <w:rsid w:val="5B2A5F1E"/>
    <w:rsid w:val="5B353107"/>
    <w:rsid w:val="5B4160EB"/>
    <w:rsid w:val="5B44356A"/>
    <w:rsid w:val="5B461090"/>
    <w:rsid w:val="5B5714EF"/>
    <w:rsid w:val="5B5D3198"/>
    <w:rsid w:val="5B644A23"/>
    <w:rsid w:val="5B662C04"/>
    <w:rsid w:val="5B6E19CE"/>
    <w:rsid w:val="5B6E3309"/>
    <w:rsid w:val="5B8322E4"/>
    <w:rsid w:val="5B844B2B"/>
    <w:rsid w:val="5B9C5154"/>
    <w:rsid w:val="5B9E71EA"/>
    <w:rsid w:val="5BAE5416"/>
    <w:rsid w:val="5BB24978"/>
    <w:rsid w:val="5BC7251F"/>
    <w:rsid w:val="5BC74C13"/>
    <w:rsid w:val="5BCD7246"/>
    <w:rsid w:val="5BD743DE"/>
    <w:rsid w:val="5BD76A6C"/>
    <w:rsid w:val="5BDC1033"/>
    <w:rsid w:val="5BE56AFB"/>
    <w:rsid w:val="5BEF797A"/>
    <w:rsid w:val="5C054D1C"/>
    <w:rsid w:val="5C1061AA"/>
    <w:rsid w:val="5C1B076F"/>
    <w:rsid w:val="5C225659"/>
    <w:rsid w:val="5C2E04A2"/>
    <w:rsid w:val="5C3830CF"/>
    <w:rsid w:val="5C390BF5"/>
    <w:rsid w:val="5C451D35"/>
    <w:rsid w:val="5C4C1522"/>
    <w:rsid w:val="5C5A1A53"/>
    <w:rsid w:val="5C6173BF"/>
    <w:rsid w:val="5C683FC9"/>
    <w:rsid w:val="5C693288"/>
    <w:rsid w:val="5C7641E7"/>
    <w:rsid w:val="5C86208C"/>
    <w:rsid w:val="5C875E04"/>
    <w:rsid w:val="5C8A6BDB"/>
    <w:rsid w:val="5C8C6546"/>
    <w:rsid w:val="5C930305"/>
    <w:rsid w:val="5CA468DC"/>
    <w:rsid w:val="5CA73DB1"/>
    <w:rsid w:val="5CB00EB7"/>
    <w:rsid w:val="5CB65AD3"/>
    <w:rsid w:val="5CC13AD7"/>
    <w:rsid w:val="5CD36340"/>
    <w:rsid w:val="5CE943C9"/>
    <w:rsid w:val="5D105DFA"/>
    <w:rsid w:val="5D1256CE"/>
    <w:rsid w:val="5D156F6C"/>
    <w:rsid w:val="5D1678BB"/>
    <w:rsid w:val="5D1C44CF"/>
    <w:rsid w:val="5D292FE4"/>
    <w:rsid w:val="5D301FF8"/>
    <w:rsid w:val="5D423AD9"/>
    <w:rsid w:val="5D5A1BFC"/>
    <w:rsid w:val="5D641CA2"/>
    <w:rsid w:val="5D746389"/>
    <w:rsid w:val="5D9A14DF"/>
    <w:rsid w:val="5D9C72D5"/>
    <w:rsid w:val="5DB22A0D"/>
    <w:rsid w:val="5DC42740"/>
    <w:rsid w:val="5DC50992"/>
    <w:rsid w:val="5DDF0E9C"/>
    <w:rsid w:val="5DE0757A"/>
    <w:rsid w:val="5DE30E18"/>
    <w:rsid w:val="5DE35CC3"/>
    <w:rsid w:val="5DE54B90"/>
    <w:rsid w:val="5DEF3FEB"/>
    <w:rsid w:val="5E002509"/>
    <w:rsid w:val="5E183A3F"/>
    <w:rsid w:val="5E190CDE"/>
    <w:rsid w:val="5E2D4A30"/>
    <w:rsid w:val="5E361890"/>
    <w:rsid w:val="5E3742C4"/>
    <w:rsid w:val="5E3B5913"/>
    <w:rsid w:val="5E3E79C9"/>
    <w:rsid w:val="5E4958B0"/>
    <w:rsid w:val="5E5608DB"/>
    <w:rsid w:val="5E5B30A5"/>
    <w:rsid w:val="5E602469"/>
    <w:rsid w:val="5E6A4795"/>
    <w:rsid w:val="5E6E6610"/>
    <w:rsid w:val="5E72408D"/>
    <w:rsid w:val="5E8B56A9"/>
    <w:rsid w:val="5E8E5228"/>
    <w:rsid w:val="5E93283E"/>
    <w:rsid w:val="5E9332C3"/>
    <w:rsid w:val="5E934BE3"/>
    <w:rsid w:val="5E973526"/>
    <w:rsid w:val="5E987E55"/>
    <w:rsid w:val="5EA86711"/>
    <w:rsid w:val="5EAA7669"/>
    <w:rsid w:val="5EB10F16"/>
    <w:rsid w:val="5EB757DD"/>
    <w:rsid w:val="5ECC7AFE"/>
    <w:rsid w:val="5ECF35A7"/>
    <w:rsid w:val="5ED73318"/>
    <w:rsid w:val="5EE3020E"/>
    <w:rsid w:val="5EE57F86"/>
    <w:rsid w:val="5EF048AB"/>
    <w:rsid w:val="5EF07C91"/>
    <w:rsid w:val="5EFF699D"/>
    <w:rsid w:val="5F0B0627"/>
    <w:rsid w:val="5F0C439F"/>
    <w:rsid w:val="5F0E6369"/>
    <w:rsid w:val="5F17591C"/>
    <w:rsid w:val="5F2711D9"/>
    <w:rsid w:val="5F2948D9"/>
    <w:rsid w:val="5F304531"/>
    <w:rsid w:val="5F37703F"/>
    <w:rsid w:val="5F3C36CD"/>
    <w:rsid w:val="5F4C0C3F"/>
    <w:rsid w:val="5F5875E4"/>
    <w:rsid w:val="5F69359F"/>
    <w:rsid w:val="5F7123F2"/>
    <w:rsid w:val="5F7857A1"/>
    <w:rsid w:val="5F7956B1"/>
    <w:rsid w:val="5F814C57"/>
    <w:rsid w:val="5F843FFC"/>
    <w:rsid w:val="5F8A5E32"/>
    <w:rsid w:val="5F942E25"/>
    <w:rsid w:val="5FA56CCD"/>
    <w:rsid w:val="5FA930C5"/>
    <w:rsid w:val="5FAA42E4"/>
    <w:rsid w:val="5FC8476A"/>
    <w:rsid w:val="5FD42CE5"/>
    <w:rsid w:val="5FD650D9"/>
    <w:rsid w:val="5FE62E42"/>
    <w:rsid w:val="5FEB19E8"/>
    <w:rsid w:val="5FEF1CF6"/>
    <w:rsid w:val="5FF13CC0"/>
    <w:rsid w:val="60067040"/>
    <w:rsid w:val="60152297"/>
    <w:rsid w:val="60275C02"/>
    <w:rsid w:val="60452645"/>
    <w:rsid w:val="6045400C"/>
    <w:rsid w:val="60493806"/>
    <w:rsid w:val="60504499"/>
    <w:rsid w:val="60567563"/>
    <w:rsid w:val="605E0C2A"/>
    <w:rsid w:val="606B145A"/>
    <w:rsid w:val="60822B6A"/>
    <w:rsid w:val="60913EE6"/>
    <w:rsid w:val="6098238E"/>
    <w:rsid w:val="60A96349"/>
    <w:rsid w:val="60AA0313"/>
    <w:rsid w:val="60B6293A"/>
    <w:rsid w:val="60C024CF"/>
    <w:rsid w:val="60D666AD"/>
    <w:rsid w:val="60DC26AF"/>
    <w:rsid w:val="60DC600F"/>
    <w:rsid w:val="60EF760A"/>
    <w:rsid w:val="60F0644F"/>
    <w:rsid w:val="60FF4132"/>
    <w:rsid w:val="61073070"/>
    <w:rsid w:val="611A7247"/>
    <w:rsid w:val="611E75DC"/>
    <w:rsid w:val="613025C6"/>
    <w:rsid w:val="613876CD"/>
    <w:rsid w:val="613F6CAD"/>
    <w:rsid w:val="61412A26"/>
    <w:rsid w:val="614B11AE"/>
    <w:rsid w:val="614B7400"/>
    <w:rsid w:val="6155027F"/>
    <w:rsid w:val="6156331E"/>
    <w:rsid w:val="615E35D8"/>
    <w:rsid w:val="6162474A"/>
    <w:rsid w:val="61655970"/>
    <w:rsid w:val="61677FB2"/>
    <w:rsid w:val="6172150A"/>
    <w:rsid w:val="617255CC"/>
    <w:rsid w:val="61730705"/>
    <w:rsid w:val="61731EE4"/>
    <w:rsid w:val="617C0A50"/>
    <w:rsid w:val="618908DF"/>
    <w:rsid w:val="61913C09"/>
    <w:rsid w:val="61A85DCA"/>
    <w:rsid w:val="61B25EE3"/>
    <w:rsid w:val="61B4367F"/>
    <w:rsid w:val="61B53A30"/>
    <w:rsid w:val="61BD0FF3"/>
    <w:rsid w:val="61BF1B9C"/>
    <w:rsid w:val="61C061BB"/>
    <w:rsid w:val="61D27B22"/>
    <w:rsid w:val="61EC5559"/>
    <w:rsid w:val="61F94D56"/>
    <w:rsid w:val="62044ED6"/>
    <w:rsid w:val="62055C39"/>
    <w:rsid w:val="6212543A"/>
    <w:rsid w:val="62165C60"/>
    <w:rsid w:val="6220088D"/>
    <w:rsid w:val="62261C1B"/>
    <w:rsid w:val="62296F54"/>
    <w:rsid w:val="6237240F"/>
    <w:rsid w:val="623E0D13"/>
    <w:rsid w:val="623E66B5"/>
    <w:rsid w:val="624749E8"/>
    <w:rsid w:val="62546789"/>
    <w:rsid w:val="6260512D"/>
    <w:rsid w:val="626764BC"/>
    <w:rsid w:val="626C33F2"/>
    <w:rsid w:val="626F1110"/>
    <w:rsid w:val="62726C0F"/>
    <w:rsid w:val="627666FF"/>
    <w:rsid w:val="627B1F67"/>
    <w:rsid w:val="628C1A7E"/>
    <w:rsid w:val="62903E5E"/>
    <w:rsid w:val="62A52B40"/>
    <w:rsid w:val="62AF7E63"/>
    <w:rsid w:val="62B72714"/>
    <w:rsid w:val="62C86C7C"/>
    <w:rsid w:val="62CA25A7"/>
    <w:rsid w:val="62CA7795"/>
    <w:rsid w:val="62D76052"/>
    <w:rsid w:val="62E0001C"/>
    <w:rsid w:val="62E00C0D"/>
    <w:rsid w:val="62E418BB"/>
    <w:rsid w:val="62E53885"/>
    <w:rsid w:val="63093442"/>
    <w:rsid w:val="631127C2"/>
    <w:rsid w:val="63163AB4"/>
    <w:rsid w:val="63215265"/>
    <w:rsid w:val="63293771"/>
    <w:rsid w:val="632A1297"/>
    <w:rsid w:val="63523584"/>
    <w:rsid w:val="63526744"/>
    <w:rsid w:val="635A7DCF"/>
    <w:rsid w:val="63614411"/>
    <w:rsid w:val="638110ED"/>
    <w:rsid w:val="638C5AAE"/>
    <w:rsid w:val="63916DA4"/>
    <w:rsid w:val="63AE011A"/>
    <w:rsid w:val="63B70D7D"/>
    <w:rsid w:val="63B96071"/>
    <w:rsid w:val="63C27CE6"/>
    <w:rsid w:val="63CD51F0"/>
    <w:rsid w:val="63DE27AE"/>
    <w:rsid w:val="63E20099"/>
    <w:rsid w:val="63EA73A4"/>
    <w:rsid w:val="63F7386F"/>
    <w:rsid w:val="63F94DBB"/>
    <w:rsid w:val="6417181C"/>
    <w:rsid w:val="641D732B"/>
    <w:rsid w:val="64281C7B"/>
    <w:rsid w:val="64316853"/>
    <w:rsid w:val="643B38FE"/>
    <w:rsid w:val="64432611"/>
    <w:rsid w:val="6445580E"/>
    <w:rsid w:val="645962D8"/>
    <w:rsid w:val="647629E6"/>
    <w:rsid w:val="6479198A"/>
    <w:rsid w:val="647924D6"/>
    <w:rsid w:val="647B56A8"/>
    <w:rsid w:val="647E0D15"/>
    <w:rsid w:val="648669A1"/>
    <w:rsid w:val="648D270F"/>
    <w:rsid w:val="649B069F"/>
    <w:rsid w:val="649F18FF"/>
    <w:rsid w:val="64A31301"/>
    <w:rsid w:val="64A47AF7"/>
    <w:rsid w:val="64A64D5A"/>
    <w:rsid w:val="64A70220"/>
    <w:rsid w:val="64AD3F2E"/>
    <w:rsid w:val="64B40872"/>
    <w:rsid w:val="64D53FC2"/>
    <w:rsid w:val="64D771FD"/>
    <w:rsid w:val="64D9665F"/>
    <w:rsid w:val="64DB0A9B"/>
    <w:rsid w:val="64E33DF4"/>
    <w:rsid w:val="64E35BA2"/>
    <w:rsid w:val="64E83DE8"/>
    <w:rsid w:val="64F77DDD"/>
    <w:rsid w:val="650A312E"/>
    <w:rsid w:val="6513536F"/>
    <w:rsid w:val="651B17E0"/>
    <w:rsid w:val="651D2E62"/>
    <w:rsid w:val="652058C0"/>
    <w:rsid w:val="65262EA9"/>
    <w:rsid w:val="652C12F7"/>
    <w:rsid w:val="65311A33"/>
    <w:rsid w:val="653463FD"/>
    <w:rsid w:val="65384140"/>
    <w:rsid w:val="653A3C82"/>
    <w:rsid w:val="653B2BC7"/>
    <w:rsid w:val="65444892"/>
    <w:rsid w:val="654518E8"/>
    <w:rsid w:val="65507504"/>
    <w:rsid w:val="65577329"/>
    <w:rsid w:val="655A40B6"/>
    <w:rsid w:val="655C1829"/>
    <w:rsid w:val="655D7702"/>
    <w:rsid w:val="65622F6B"/>
    <w:rsid w:val="65755781"/>
    <w:rsid w:val="658306E0"/>
    <w:rsid w:val="658426A5"/>
    <w:rsid w:val="658A68E0"/>
    <w:rsid w:val="658B3B65"/>
    <w:rsid w:val="65905D2A"/>
    <w:rsid w:val="659A0956"/>
    <w:rsid w:val="65A74E21"/>
    <w:rsid w:val="65A90B99"/>
    <w:rsid w:val="65B17AC9"/>
    <w:rsid w:val="65B5753E"/>
    <w:rsid w:val="65BA5DBB"/>
    <w:rsid w:val="65BC08CD"/>
    <w:rsid w:val="65CD0D2C"/>
    <w:rsid w:val="65E73470"/>
    <w:rsid w:val="65F91BCE"/>
    <w:rsid w:val="65FF4C5D"/>
    <w:rsid w:val="661563A1"/>
    <w:rsid w:val="661F600D"/>
    <w:rsid w:val="6623215C"/>
    <w:rsid w:val="662E4F41"/>
    <w:rsid w:val="662F7E8A"/>
    <w:rsid w:val="663C28DF"/>
    <w:rsid w:val="665F6CB7"/>
    <w:rsid w:val="666415E6"/>
    <w:rsid w:val="66652341"/>
    <w:rsid w:val="66657F88"/>
    <w:rsid w:val="666F04D2"/>
    <w:rsid w:val="6685254A"/>
    <w:rsid w:val="66855163"/>
    <w:rsid w:val="6685798F"/>
    <w:rsid w:val="668B1DF4"/>
    <w:rsid w:val="6695111E"/>
    <w:rsid w:val="66AA4416"/>
    <w:rsid w:val="66AB0941"/>
    <w:rsid w:val="66C739CD"/>
    <w:rsid w:val="66D84AFF"/>
    <w:rsid w:val="66E87FF2"/>
    <w:rsid w:val="66FA65DB"/>
    <w:rsid w:val="671D4CBB"/>
    <w:rsid w:val="671E02DE"/>
    <w:rsid w:val="673812B4"/>
    <w:rsid w:val="673B31CF"/>
    <w:rsid w:val="674A38D4"/>
    <w:rsid w:val="674B6EBA"/>
    <w:rsid w:val="675B5EC3"/>
    <w:rsid w:val="676A7071"/>
    <w:rsid w:val="67787532"/>
    <w:rsid w:val="678216A2"/>
    <w:rsid w:val="678C1DD8"/>
    <w:rsid w:val="678C2521"/>
    <w:rsid w:val="67906DA0"/>
    <w:rsid w:val="67917B37"/>
    <w:rsid w:val="679F5850"/>
    <w:rsid w:val="67A4786A"/>
    <w:rsid w:val="67B20531"/>
    <w:rsid w:val="67CD7020"/>
    <w:rsid w:val="67D6379C"/>
    <w:rsid w:val="67D87514"/>
    <w:rsid w:val="67DA7730"/>
    <w:rsid w:val="67DD2D7C"/>
    <w:rsid w:val="67E22141"/>
    <w:rsid w:val="67E53920"/>
    <w:rsid w:val="67F867D3"/>
    <w:rsid w:val="67F97372"/>
    <w:rsid w:val="68040309"/>
    <w:rsid w:val="68080937"/>
    <w:rsid w:val="680A03B3"/>
    <w:rsid w:val="68294F37"/>
    <w:rsid w:val="68315A25"/>
    <w:rsid w:val="6837248C"/>
    <w:rsid w:val="68397CBD"/>
    <w:rsid w:val="683A01CF"/>
    <w:rsid w:val="683F7593"/>
    <w:rsid w:val="685612CB"/>
    <w:rsid w:val="685C6397"/>
    <w:rsid w:val="685E5C6B"/>
    <w:rsid w:val="686B0E7C"/>
    <w:rsid w:val="688E3F4B"/>
    <w:rsid w:val="688F3767"/>
    <w:rsid w:val="68B04D43"/>
    <w:rsid w:val="68B341BE"/>
    <w:rsid w:val="68B57855"/>
    <w:rsid w:val="68BD0BFA"/>
    <w:rsid w:val="68C02449"/>
    <w:rsid w:val="68C1269E"/>
    <w:rsid w:val="68C53F3C"/>
    <w:rsid w:val="68D128E1"/>
    <w:rsid w:val="68D20407"/>
    <w:rsid w:val="68D82440"/>
    <w:rsid w:val="68E1689C"/>
    <w:rsid w:val="68E31F3D"/>
    <w:rsid w:val="68E32614"/>
    <w:rsid w:val="68ED3493"/>
    <w:rsid w:val="68F34A25"/>
    <w:rsid w:val="68F62348"/>
    <w:rsid w:val="69090A91"/>
    <w:rsid w:val="690F51B7"/>
    <w:rsid w:val="691E2D99"/>
    <w:rsid w:val="69390486"/>
    <w:rsid w:val="694675D8"/>
    <w:rsid w:val="6956797A"/>
    <w:rsid w:val="6959151C"/>
    <w:rsid w:val="695B4D15"/>
    <w:rsid w:val="6960085E"/>
    <w:rsid w:val="69653029"/>
    <w:rsid w:val="696574CD"/>
    <w:rsid w:val="6967673E"/>
    <w:rsid w:val="69676DA1"/>
    <w:rsid w:val="6979104D"/>
    <w:rsid w:val="698A0CE2"/>
    <w:rsid w:val="698D45B4"/>
    <w:rsid w:val="69A02BE5"/>
    <w:rsid w:val="69AE49D0"/>
    <w:rsid w:val="69B5012A"/>
    <w:rsid w:val="69B55AF0"/>
    <w:rsid w:val="69B813AB"/>
    <w:rsid w:val="69C845BD"/>
    <w:rsid w:val="69D200C0"/>
    <w:rsid w:val="69D41F5D"/>
    <w:rsid w:val="69E14DA6"/>
    <w:rsid w:val="69E17AB7"/>
    <w:rsid w:val="69E51333"/>
    <w:rsid w:val="69F36887"/>
    <w:rsid w:val="69F83E9D"/>
    <w:rsid w:val="6A016C65"/>
    <w:rsid w:val="6A024D1C"/>
    <w:rsid w:val="6A124CC9"/>
    <w:rsid w:val="6A3F7D1E"/>
    <w:rsid w:val="6A6257BB"/>
    <w:rsid w:val="6A6634FD"/>
    <w:rsid w:val="6A7379C8"/>
    <w:rsid w:val="6A742E31"/>
    <w:rsid w:val="6AB44A88"/>
    <w:rsid w:val="6AC00E5F"/>
    <w:rsid w:val="6AC01764"/>
    <w:rsid w:val="6AC975E8"/>
    <w:rsid w:val="6ACB15B2"/>
    <w:rsid w:val="6ACB69FC"/>
    <w:rsid w:val="6ADA17F5"/>
    <w:rsid w:val="6ADC3625"/>
    <w:rsid w:val="6ADC556D"/>
    <w:rsid w:val="6AE52674"/>
    <w:rsid w:val="6AF36E79"/>
    <w:rsid w:val="6AFF0859"/>
    <w:rsid w:val="6B0625EA"/>
    <w:rsid w:val="6B1421B2"/>
    <w:rsid w:val="6B1D52FC"/>
    <w:rsid w:val="6B2111D2"/>
    <w:rsid w:val="6B2A452A"/>
    <w:rsid w:val="6B2A57DF"/>
    <w:rsid w:val="6B2B3DFF"/>
    <w:rsid w:val="6B4007C8"/>
    <w:rsid w:val="6B4C6968"/>
    <w:rsid w:val="6B57675A"/>
    <w:rsid w:val="6B594E10"/>
    <w:rsid w:val="6B63086B"/>
    <w:rsid w:val="6B665DAF"/>
    <w:rsid w:val="6B6712DB"/>
    <w:rsid w:val="6B721BC5"/>
    <w:rsid w:val="6B7248D5"/>
    <w:rsid w:val="6B7B7D3A"/>
    <w:rsid w:val="6B816415"/>
    <w:rsid w:val="6B8F438D"/>
    <w:rsid w:val="6BA936A1"/>
    <w:rsid w:val="6BAF5FBC"/>
    <w:rsid w:val="6BC93D43"/>
    <w:rsid w:val="6BCB3B5B"/>
    <w:rsid w:val="6BF568E6"/>
    <w:rsid w:val="6C061D99"/>
    <w:rsid w:val="6C0B2251"/>
    <w:rsid w:val="6C0E0099"/>
    <w:rsid w:val="6C172D01"/>
    <w:rsid w:val="6C1A459F"/>
    <w:rsid w:val="6C3A254B"/>
    <w:rsid w:val="6C3E2962"/>
    <w:rsid w:val="6C3F4006"/>
    <w:rsid w:val="6C44161C"/>
    <w:rsid w:val="6C4C728B"/>
    <w:rsid w:val="6C5B6DD1"/>
    <w:rsid w:val="6C5C27E9"/>
    <w:rsid w:val="6C5D448C"/>
    <w:rsid w:val="6C6201E7"/>
    <w:rsid w:val="6C865790"/>
    <w:rsid w:val="6CA66B0A"/>
    <w:rsid w:val="6CA95923"/>
    <w:rsid w:val="6CAB1F36"/>
    <w:rsid w:val="6CAB51F7"/>
    <w:rsid w:val="6CAD0F6F"/>
    <w:rsid w:val="6CB3685D"/>
    <w:rsid w:val="6CBB0C7B"/>
    <w:rsid w:val="6CC14A1B"/>
    <w:rsid w:val="6CC25CE0"/>
    <w:rsid w:val="6CD504C6"/>
    <w:rsid w:val="6CDB1F80"/>
    <w:rsid w:val="6CE1330F"/>
    <w:rsid w:val="6CE96FD4"/>
    <w:rsid w:val="6CEC139B"/>
    <w:rsid w:val="6CEF77DA"/>
    <w:rsid w:val="6D0752D9"/>
    <w:rsid w:val="6D0D4A22"/>
    <w:rsid w:val="6D140FEE"/>
    <w:rsid w:val="6D142D9C"/>
    <w:rsid w:val="6D1A412B"/>
    <w:rsid w:val="6D2B7479"/>
    <w:rsid w:val="6D4D4500"/>
    <w:rsid w:val="6D57537F"/>
    <w:rsid w:val="6D5B46B0"/>
    <w:rsid w:val="6D602485"/>
    <w:rsid w:val="6D6535F8"/>
    <w:rsid w:val="6D667370"/>
    <w:rsid w:val="6D7F41BF"/>
    <w:rsid w:val="6D807B87"/>
    <w:rsid w:val="6D864406"/>
    <w:rsid w:val="6D8C79F3"/>
    <w:rsid w:val="6D8F2D6B"/>
    <w:rsid w:val="6D920165"/>
    <w:rsid w:val="6D967C55"/>
    <w:rsid w:val="6DA16F45"/>
    <w:rsid w:val="6DA7490C"/>
    <w:rsid w:val="6DB1683D"/>
    <w:rsid w:val="6DC14557"/>
    <w:rsid w:val="6DD93FE6"/>
    <w:rsid w:val="6DE15A37"/>
    <w:rsid w:val="6DEC1F6B"/>
    <w:rsid w:val="6DF9031E"/>
    <w:rsid w:val="6E0B0643"/>
    <w:rsid w:val="6E124029"/>
    <w:rsid w:val="6E2C2368"/>
    <w:rsid w:val="6E2D3793"/>
    <w:rsid w:val="6E3557E7"/>
    <w:rsid w:val="6E366F93"/>
    <w:rsid w:val="6E3C2DF9"/>
    <w:rsid w:val="6E526272"/>
    <w:rsid w:val="6E5518BE"/>
    <w:rsid w:val="6E5813AF"/>
    <w:rsid w:val="6E5B74EA"/>
    <w:rsid w:val="6E720C0D"/>
    <w:rsid w:val="6E777A87"/>
    <w:rsid w:val="6E7B6E4B"/>
    <w:rsid w:val="6E93207D"/>
    <w:rsid w:val="6E95615F"/>
    <w:rsid w:val="6E971ED7"/>
    <w:rsid w:val="6E985C4F"/>
    <w:rsid w:val="6E9A3775"/>
    <w:rsid w:val="6EA5209C"/>
    <w:rsid w:val="6EA97E5C"/>
    <w:rsid w:val="6EB000E1"/>
    <w:rsid w:val="6EB27899"/>
    <w:rsid w:val="6EB4493E"/>
    <w:rsid w:val="6EBE0178"/>
    <w:rsid w:val="6EC16F54"/>
    <w:rsid w:val="6EC60514"/>
    <w:rsid w:val="6EC6456A"/>
    <w:rsid w:val="6ED22F0F"/>
    <w:rsid w:val="6ED30A35"/>
    <w:rsid w:val="6ED50C51"/>
    <w:rsid w:val="6EDC12C3"/>
    <w:rsid w:val="6EDD18B4"/>
    <w:rsid w:val="6EE3511C"/>
    <w:rsid w:val="6EE449F0"/>
    <w:rsid w:val="6EF015E7"/>
    <w:rsid w:val="6EF13206"/>
    <w:rsid w:val="6EF47F46"/>
    <w:rsid w:val="6EFA4AE8"/>
    <w:rsid w:val="6EFC61DE"/>
    <w:rsid w:val="6EFE431D"/>
    <w:rsid w:val="6F067A60"/>
    <w:rsid w:val="6F086931"/>
    <w:rsid w:val="6F1903F0"/>
    <w:rsid w:val="6F257EE0"/>
    <w:rsid w:val="6F2A2D4B"/>
    <w:rsid w:val="6F2D45E9"/>
    <w:rsid w:val="6F2D6397"/>
    <w:rsid w:val="6F373E42"/>
    <w:rsid w:val="6F3E041D"/>
    <w:rsid w:val="6F5455C7"/>
    <w:rsid w:val="6F655B31"/>
    <w:rsid w:val="6F6F723A"/>
    <w:rsid w:val="6F745D74"/>
    <w:rsid w:val="6F77284A"/>
    <w:rsid w:val="6F854425"/>
    <w:rsid w:val="6F8A49AE"/>
    <w:rsid w:val="6F9D65B5"/>
    <w:rsid w:val="6F9F7969"/>
    <w:rsid w:val="6FA67EF8"/>
    <w:rsid w:val="6FA81EC2"/>
    <w:rsid w:val="6FA84DA5"/>
    <w:rsid w:val="6FB52D9C"/>
    <w:rsid w:val="6FC0545D"/>
    <w:rsid w:val="6FC7059A"/>
    <w:rsid w:val="6FCF38F2"/>
    <w:rsid w:val="6FED5B27"/>
    <w:rsid w:val="6FEE22B5"/>
    <w:rsid w:val="6FEF16BE"/>
    <w:rsid w:val="6FF35087"/>
    <w:rsid w:val="700C2451"/>
    <w:rsid w:val="701557A9"/>
    <w:rsid w:val="701B025E"/>
    <w:rsid w:val="70342CA5"/>
    <w:rsid w:val="7036127C"/>
    <w:rsid w:val="7036571F"/>
    <w:rsid w:val="703912F2"/>
    <w:rsid w:val="703E7DEB"/>
    <w:rsid w:val="7040034C"/>
    <w:rsid w:val="704E2A69"/>
    <w:rsid w:val="705636CC"/>
    <w:rsid w:val="705B0CE2"/>
    <w:rsid w:val="705C33D8"/>
    <w:rsid w:val="7064352D"/>
    <w:rsid w:val="706510B7"/>
    <w:rsid w:val="70653474"/>
    <w:rsid w:val="707029DF"/>
    <w:rsid w:val="70716758"/>
    <w:rsid w:val="707D09CA"/>
    <w:rsid w:val="7099583F"/>
    <w:rsid w:val="709976F3"/>
    <w:rsid w:val="709E039F"/>
    <w:rsid w:val="70B110C3"/>
    <w:rsid w:val="70C20D61"/>
    <w:rsid w:val="70C745CA"/>
    <w:rsid w:val="70D31E27"/>
    <w:rsid w:val="70E364A3"/>
    <w:rsid w:val="70E76A1A"/>
    <w:rsid w:val="70EE12CC"/>
    <w:rsid w:val="70F43EAF"/>
    <w:rsid w:val="710274FA"/>
    <w:rsid w:val="710D46D2"/>
    <w:rsid w:val="71145A61"/>
    <w:rsid w:val="71154EDC"/>
    <w:rsid w:val="711772FF"/>
    <w:rsid w:val="71352782"/>
    <w:rsid w:val="71357785"/>
    <w:rsid w:val="713C5D9A"/>
    <w:rsid w:val="713D6455"/>
    <w:rsid w:val="713E1D34"/>
    <w:rsid w:val="71545C47"/>
    <w:rsid w:val="715E0D9E"/>
    <w:rsid w:val="715E4F2E"/>
    <w:rsid w:val="716B6DF2"/>
    <w:rsid w:val="716D6F1F"/>
    <w:rsid w:val="716F0EE9"/>
    <w:rsid w:val="71706A0F"/>
    <w:rsid w:val="718445AA"/>
    <w:rsid w:val="71902C0D"/>
    <w:rsid w:val="71A32941"/>
    <w:rsid w:val="71A40D2A"/>
    <w:rsid w:val="71A54B64"/>
    <w:rsid w:val="71BA4F86"/>
    <w:rsid w:val="71C445D7"/>
    <w:rsid w:val="71D04977"/>
    <w:rsid w:val="71DD22F7"/>
    <w:rsid w:val="71E02E6B"/>
    <w:rsid w:val="71F150FB"/>
    <w:rsid w:val="71F65CFC"/>
    <w:rsid w:val="71FD350D"/>
    <w:rsid w:val="71FE7A8B"/>
    <w:rsid w:val="72023B0B"/>
    <w:rsid w:val="722F2426"/>
    <w:rsid w:val="72323CC5"/>
    <w:rsid w:val="72331F17"/>
    <w:rsid w:val="725A1A62"/>
    <w:rsid w:val="72676064"/>
    <w:rsid w:val="72683127"/>
    <w:rsid w:val="726E73F3"/>
    <w:rsid w:val="726F7C81"/>
    <w:rsid w:val="72706A40"/>
    <w:rsid w:val="727F0905"/>
    <w:rsid w:val="72820AAF"/>
    <w:rsid w:val="72824C4C"/>
    <w:rsid w:val="728811BE"/>
    <w:rsid w:val="7295497F"/>
    <w:rsid w:val="72D1312B"/>
    <w:rsid w:val="72D27981"/>
    <w:rsid w:val="72D336FA"/>
    <w:rsid w:val="72D60AF4"/>
    <w:rsid w:val="72D82ABE"/>
    <w:rsid w:val="72D93D15"/>
    <w:rsid w:val="72DC25AE"/>
    <w:rsid w:val="72E77CA6"/>
    <w:rsid w:val="72F5541E"/>
    <w:rsid w:val="7302476A"/>
    <w:rsid w:val="73124222"/>
    <w:rsid w:val="7315161C"/>
    <w:rsid w:val="7318055B"/>
    <w:rsid w:val="73267821"/>
    <w:rsid w:val="732D2E0A"/>
    <w:rsid w:val="73337446"/>
    <w:rsid w:val="733A3258"/>
    <w:rsid w:val="73440153"/>
    <w:rsid w:val="73506AF8"/>
    <w:rsid w:val="73532EDF"/>
    <w:rsid w:val="73557ED4"/>
    <w:rsid w:val="73685BF0"/>
    <w:rsid w:val="736A3C93"/>
    <w:rsid w:val="737722D7"/>
    <w:rsid w:val="737C169B"/>
    <w:rsid w:val="737F2F3A"/>
    <w:rsid w:val="73845482"/>
    <w:rsid w:val="738B18DE"/>
    <w:rsid w:val="73944C37"/>
    <w:rsid w:val="73A227DF"/>
    <w:rsid w:val="73A8286A"/>
    <w:rsid w:val="73AA26AC"/>
    <w:rsid w:val="73AB3D2F"/>
    <w:rsid w:val="73C31078"/>
    <w:rsid w:val="73FD3434"/>
    <w:rsid w:val="7400051E"/>
    <w:rsid w:val="740272F3"/>
    <w:rsid w:val="74094DA7"/>
    <w:rsid w:val="740A6581"/>
    <w:rsid w:val="74145D78"/>
    <w:rsid w:val="74153556"/>
    <w:rsid w:val="741C570D"/>
    <w:rsid w:val="742D6E66"/>
    <w:rsid w:val="74385A7D"/>
    <w:rsid w:val="74387E76"/>
    <w:rsid w:val="74442A81"/>
    <w:rsid w:val="74510D7A"/>
    <w:rsid w:val="746A5F25"/>
    <w:rsid w:val="7470158A"/>
    <w:rsid w:val="74794E80"/>
    <w:rsid w:val="74866CC7"/>
    <w:rsid w:val="74A4534E"/>
    <w:rsid w:val="74B90B5D"/>
    <w:rsid w:val="74C0380A"/>
    <w:rsid w:val="74C83AAD"/>
    <w:rsid w:val="74CE5F27"/>
    <w:rsid w:val="74D06143"/>
    <w:rsid w:val="74D11D29"/>
    <w:rsid w:val="74D15A17"/>
    <w:rsid w:val="74D774D1"/>
    <w:rsid w:val="74DB208F"/>
    <w:rsid w:val="74E476E3"/>
    <w:rsid w:val="74E7348C"/>
    <w:rsid w:val="74EF65B0"/>
    <w:rsid w:val="74F160B9"/>
    <w:rsid w:val="74F57957"/>
    <w:rsid w:val="74F74B9E"/>
    <w:rsid w:val="7507768A"/>
    <w:rsid w:val="75177B6C"/>
    <w:rsid w:val="75330480"/>
    <w:rsid w:val="753366D1"/>
    <w:rsid w:val="753C15DA"/>
    <w:rsid w:val="753C5586"/>
    <w:rsid w:val="75463B3A"/>
    <w:rsid w:val="75483AAC"/>
    <w:rsid w:val="754B452A"/>
    <w:rsid w:val="75530B22"/>
    <w:rsid w:val="755521A4"/>
    <w:rsid w:val="755F1275"/>
    <w:rsid w:val="75644ADD"/>
    <w:rsid w:val="756578D8"/>
    <w:rsid w:val="756679EC"/>
    <w:rsid w:val="756E3DB9"/>
    <w:rsid w:val="7573181A"/>
    <w:rsid w:val="757553E9"/>
    <w:rsid w:val="757C1E26"/>
    <w:rsid w:val="757E62FE"/>
    <w:rsid w:val="75870269"/>
    <w:rsid w:val="759058D2"/>
    <w:rsid w:val="759079AB"/>
    <w:rsid w:val="75947170"/>
    <w:rsid w:val="759E263D"/>
    <w:rsid w:val="75B0387E"/>
    <w:rsid w:val="75B539F5"/>
    <w:rsid w:val="75BE41ED"/>
    <w:rsid w:val="75C151B4"/>
    <w:rsid w:val="75F23E97"/>
    <w:rsid w:val="75FB611F"/>
    <w:rsid w:val="76037E52"/>
    <w:rsid w:val="76076021"/>
    <w:rsid w:val="760A030B"/>
    <w:rsid w:val="760E3F75"/>
    <w:rsid w:val="76100556"/>
    <w:rsid w:val="761E4C8C"/>
    <w:rsid w:val="76236746"/>
    <w:rsid w:val="76324936"/>
    <w:rsid w:val="763425D8"/>
    <w:rsid w:val="763444AF"/>
    <w:rsid w:val="764F4EB8"/>
    <w:rsid w:val="7657019E"/>
    <w:rsid w:val="765E0811"/>
    <w:rsid w:val="76603094"/>
    <w:rsid w:val="766528BB"/>
    <w:rsid w:val="766905FD"/>
    <w:rsid w:val="766A1C7F"/>
    <w:rsid w:val="76720B38"/>
    <w:rsid w:val="767755A1"/>
    <w:rsid w:val="767945B8"/>
    <w:rsid w:val="767A3346"/>
    <w:rsid w:val="76876D22"/>
    <w:rsid w:val="76946CFC"/>
    <w:rsid w:val="76AD76DF"/>
    <w:rsid w:val="76B455F0"/>
    <w:rsid w:val="76B4739E"/>
    <w:rsid w:val="76BD43B9"/>
    <w:rsid w:val="76C27D0D"/>
    <w:rsid w:val="76DE239B"/>
    <w:rsid w:val="76EB573A"/>
    <w:rsid w:val="772542DD"/>
    <w:rsid w:val="772E3570"/>
    <w:rsid w:val="77366850"/>
    <w:rsid w:val="773A5AF5"/>
    <w:rsid w:val="775061FF"/>
    <w:rsid w:val="77536BB7"/>
    <w:rsid w:val="77585F7B"/>
    <w:rsid w:val="775E5C88"/>
    <w:rsid w:val="775F730A"/>
    <w:rsid w:val="77617526"/>
    <w:rsid w:val="777248F4"/>
    <w:rsid w:val="778576B9"/>
    <w:rsid w:val="778D7FD3"/>
    <w:rsid w:val="778F1C54"/>
    <w:rsid w:val="779276DF"/>
    <w:rsid w:val="77A321B2"/>
    <w:rsid w:val="77AD4E19"/>
    <w:rsid w:val="77B070F5"/>
    <w:rsid w:val="77B21B30"/>
    <w:rsid w:val="77B5517C"/>
    <w:rsid w:val="77C35AEB"/>
    <w:rsid w:val="77CE623E"/>
    <w:rsid w:val="77D01FB6"/>
    <w:rsid w:val="77DC4DFE"/>
    <w:rsid w:val="77DF044B"/>
    <w:rsid w:val="77F04406"/>
    <w:rsid w:val="77F71C38"/>
    <w:rsid w:val="77F847C8"/>
    <w:rsid w:val="780A196C"/>
    <w:rsid w:val="782F3180"/>
    <w:rsid w:val="782F78B2"/>
    <w:rsid w:val="783559BC"/>
    <w:rsid w:val="783E1615"/>
    <w:rsid w:val="783E33C3"/>
    <w:rsid w:val="7840538D"/>
    <w:rsid w:val="78520C1D"/>
    <w:rsid w:val="78550CFB"/>
    <w:rsid w:val="785901FD"/>
    <w:rsid w:val="786C3F97"/>
    <w:rsid w:val="7876226F"/>
    <w:rsid w:val="788F2E8E"/>
    <w:rsid w:val="789F47A8"/>
    <w:rsid w:val="78A163FA"/>
    <w:rsid w:val="78A27DF6"/>
    <w:rsid w:val="78AA6DDB"/>
    <w:rsid w:val="78B35B5F"/>
    <w:rsid w:val="78CC4E73"/>
    <w:rsid w:val="78D00D45"/>
    <w:rsid w:val="78D3245F"/>
    <w:rsid w:val="78DB411A"/>
    <w:rsid w:val="78E201F2"/>
    <w:rsid w:val="78FF6FF6"/>
    <w:rsid w:val="79055C6B"/>
    <w:rsid w:val="79083C67"/>
    <w:rsid w:val="79134850"/>
    <w:rsid w:val="792131C4"/>
    <w:rsid w:val="793A6280"/>
    <w:rsid w:val="79440EAD"/>
    <w:rsid w:val="794B1634"/>
    <w:rsid w:val="794E12A4"/>
    <w:rsid w:val="79584959"/>
    <w:rsid w:val="795B1D53"/>
    <w:rsid w:val="795D7750"/>
    <w:rsid w:val="79642BA8"/>
    <w:rsid w:val="796A6496"/>
    <w:rsid w:val="7970295C"/>
    <w:rsid w:val="797352EE"/>
    <w:rsid w:val="79780B57"/>
    <w:rsid w:val="797D7F1B"/>
    <w:rsid w:val="798A2EAF"/>
    <w:rsid w:val="798C015E"/>
    <w:rsid w:val="798D74B2"/>
    <w:rsid w:val="79971309"/>
    <w:rsid w:val="79A36E25"/>
    <w:rsid w:val="79A454A8"/>
    <w:rsid w:val="79B7167F"/>
    <w:rsid w:val="79C261C7"/>
    <w:rsid w:val="79C35EDA"/>
    <w:rsid w:val="79CE4F1A"/>
    <w:rsid w:val="79D27632"/>
    <w:rsid w:val="79E033A0"/>
    <w:rsid w:val="79F0475C"/>
    <w:rsid w:val="79F361BF"/>
    <w:rsid w:val="79F3642F"/>
    <w:rsid w:val="7A1B7E60"/>
    <w:rsid w:val="7A1F0FD2"/>
    <w:rsid w:val="7A2A61BE"/>
    <w:rsid w:val="7A4B26E6"/>
    <w:rsid w:val="7A4F0AA1"/>
    <w:rsid w:val="7A546ECE"/>
    <w:rsid w:val="7A5F5873"/>
    <w:rsid w:val="7A603AC5"/>
    <w:rsid w:val="7A65732D"/>
    <w:rsid w:val="7A6B4218"/>
    <w:rsid w:val="7A7570F7"/>
    <w:rsid w:val="7A810E46"/>
    <w:rsid w:val="7A842B47"/>
    <w:rsid w:val="7A8552D9"/>
    <w:rsid w:val="7A885CD7"/>
    <w:rsid w:val="7A9419C0"/>
    <w:rsid w:val="7A97325F"/>
    <w:rsid w:val="7AA02320"/>
    <w:rsid w:val="7AA433B1"/>
    <w:rsid w:val="7AA8728C"/>
    <w:rsid w:val="7AB5319F"/>
    <w:rsid w:val="7AB636E5"/>
    <w:rsid w:val="7ABE4C8F"/>
    <w:rsid w:val="7AC73B44"/>
    <w:rsid w:val="7ACD0A2E"/>
    <w:rsid w:val="7AF1471D"/>
    <w:rsid w:val="7B015903"/>
    <w:rsid w:val="7B0459B3"/>
    <w:rsid w:val="7B05466C"/>
    <w:rsid w:val="7B091A01"/>
    <w:rsid w:val="7B0C59FB"/>
    <w:rsid w:val="7B0D4BD1"/>
    <w:rsid w:val="7B114DBF"/>
    <w:rsid w:val="7B130B37"/>
    <w:rsid w:val="7B1D4B83"/>
    <w:rsid w:val="7B340AAD"/>
    <w:rsid w:val="7B367B0A"/>
    <w:rsid w:val="7B3D3E06"/>
    <w:rsid w:val="7B48281E"/>
    <w:rsid w:val="7B486307"/>
    <w:rsid w:val="7B4909FD"/>
    <w:rsid w:val="7B503B39"/>
    <w:rsid w:val="7B566C76"/>
    <w:rsid w:val="7B5829EE"/>
    <w:rsid w:val="7B5B00C1"/>
    <w:rsid w:val="7B5E46A1"/>
    <w:rsid w:val="7B5F523F"/>
    <w:rsid w:val="7B6E0463"/>
    <w:rsid w:val="7B707D64"/>
    <w:rsid w:val="7B7610C6"/>
    <w:rsid w:val="7B8C6EE9"/>
    <w:rsid w:val="7B937ECA"/>
    <w:rsid w:val="7B9854E0"/>
    <w:rsid w:val="7BB265A2"/>
    <w:rsid w:val="7BB57E40"/>
    <w:rsid w:val="7BC25D04"/>
    <w:rsid w:val="7BC4009E"/>
    <w:rsid w:val="7BC462D5"/>
    <w:rsid w:val="7BC604E7"/>
    <w:rsid w:val="7BC77B74"/>
    <w:rsid w:val="7BCA650C"/>
    <w:rsid w:val="7BD6388B"/>
    <w:rsid w:val="7BDF4EBD"/>
    <w:rsid w:val="7BF344C5"/>
    <w:rsid w:val="7BF754E3"/>
    <w:rsid w:val="7BF85F7F"/>
    <w:rsid w:val="7C02295A"/>
    <w:rsid w:val="7C0B3F04"/>
    <w:rsid w:val="7C0B5CB2"/>
    <w:rsid w:val="7C2874C0"/>
    <w:rsid w:val="7C2D6E29"/>
    <w:rsid w:val="7C374CF9"/>
    <w:rsid w:val="7C3B7B2A"/>
    <w:rsid w:val="7C431BF7"/>
    <w:rsid w:val="7C464B2A"/>
    <w:rsid w:val="7C491076"/>
    <w:rsid w:val="7C4B5A52"/>
    <w:rsid w:val="7C4F2043"/>
    <w:rsid w:val="7C51059F"/>
    <w:rsid w:val="7C532D9B"/>
    <w:rsid w:val="7C5A67C3"/>
    <w:rsid w:val="7C5E5DE2"/>
    <w:rsid w:val="7C7D2C09"/>
    <w:rsid w:val="7C8171EC"/>
    <w:rsid w:val="7C8A06C4"/>
    <w:rsid w:val="7CAB4D9F"/>
    <w:rsid w:val="7CAD4FBB"/>
    <w:rsid w:val="7CAD6D69"/>
    <w:rsid w:val="7CB14CE9"/>
    <w:rsid w:val="7CB62D95"/>
    <w:rsid w:val="7CC145C3"/>
    <w:rsid w:val="7CC166E0"/>
    <w:rsid w:val="7CED53B8"/>
    <w:rsid w:val="7CF60710"/>
    <w:rsid w:val="7CF95B0B"/>
    <w:rsid w:val="7CFA3D96"/>
    <w:rsid w:val="7CFD1A9F"/>
    <w:rsid w:val="7D20753B"/>
    <w:rsid w:val="7D236ECB"/>
    <w:rsid w:val="7D3354C1"/>
    <w:rsid w:val="7D4071CA"/>
    <w:rsid w:val="7D423341"/>
    <w:rsid w:val="7D617346"/>
    <w:rsid w:val="7D661CD5"/>
    <w:rsid w:val="7D715957"/>
    <w:rsid w:val="7D787F61"/>
    <w:rsid w:val="7D805BC0"/>
    <w:rsid w:val="7D871368"/>
    <w:rsid w:val="7D9A5540"/>
    <w:rsid w:val="7DA0067C"/>
    <w:rsid w:val="7DAC2BAA"/>
    <w:rsid w:val="7DD547CA"/>
    <w:rsid w:val="7DDA4219"/>
    <w:rsid w:val="7E003F11"/>
    <w:rsid w:val="7E071EEA"/>
    <w:rsid w:val="7E0A4A68"/>
    <w:rsid w:val="7E0D5D12"/>
    <w:rsid w:val="7E154BC6"/>
    <w:rsid w:val="7E194254"/>
    <w:rsid w:val="7E25709E"/>
    <w:rsid w:val="7E282B4B"/>
    <w:rsid w:val="7E3C5FAA"/>
    <w:rsid w:val="7E3D5ECB"/>
    <w:rsid w:val="7E3E411D"/>
    <w:rsid w:val="7E3F39F1"/>
    <w:rsid w:val="7E4A064E"/>
    <w:rsid w:val="7E4B05E8"/>
    <w:rsid w:val="7E527BC8"/>
    <w:rsid w:val="7E551467"/>
    <w:rsid w:val="7E5703E2"/>
    <w:rsid w:val="7E6B2A38"/>
    <w:rsid w:val="7E70004F"/>
    <w:rsid w:val="7E7F4735"/>
    <w:rsid w:val="7E944536"/>
    <w:rsid w:val="7E971A7F"/>
    <w:rsid w:val="7E973DA9"/>
    <w:rsid w:val="7E9F0934"/>
    <w:rsid w:val="7EA1645F"/>
    <w:rsid w:val="7EAC41AF"/>
    <w:rsid w:val="7EB44F48"/>
    <w:rsid w:val="7EBF0DDD"/>
    <w:rsid w:val="7EC718E9"/>
    <w:rsid w:val="7EC9083B"/>
    <w:rsid w:val="7ECD54A1"/>
    <w:rsid w:val="7ECD54D8"/>
    <w:rsid w:val="7ECF7D0D"/>
    <w:rsid w:val="7ED14F91"/>
    <w:rsid w:val="7ED625A7"/>
    <w:rsid w:val="7EDC1B88"/>
    <w:rsid w:val="7EE00912"/>
    <w:rsid w:val="7EE01021"/>
    <w:rsid w:val="7F007624"/>
    <w:rsid w:val="7F0B407F"/>
    <w:rsid w:val="7F0B7D77"/>
    <w:rsid w:val="7F1A50AA"/>
    <w:rsid w:val="7F1D01D6"/>
    <w:rsid w:val="7F2350C1"/>
    <w:rsid w:val="7F34107C"/>
    <w:rsid w:val="7F3B27D0"/>
    <w:rsid w:val="7F3D43D5"/>
    <w:rsid w:val="7F427C3D"/>
    <w:rsid w:val="7F454012"/>
    <w:rsid w:val="7F494C9C"/>
    <w:rsid w:val="7F4D0AA3"/>
    <w:rsid w:val="7F5434CC"/>
    <w:rsid w:val="7F576C6F"/>
    <w:rsid w:val="7F5B2AAD"/>
    <w:rsid w:val="7F5B485B"/>
    <w:rsid w:val="7F645E05"/>
    <w:rsid w:val="7F71250C"/>
    <w:rsid w:val="7F73104E"/>
    <w:rsid w:val="7F7B6CAB"/>
    <w:rsid w:val="7F7E679B"/>
    <w:rsid w:val="7F7F5C7C"/>
    <w:rsid w:val="7F90502D"/>
    <w:rsid w:val="7F9D3699"/>
    <w:rsid w:val="7FA03C87"/>
    <w:rsid w:val="7FA70721"/>
    <w:rsid w:val="7FAE0E2E"/>
    <w:rsid w:val="7FB87EFF"/>
    <w:rsid w:val="7FBE4DEA"/>
    <w:rsid w:val="7FC235B4"/>
    <w:rsid w:val="7FC91BFD"/>
    <w:rsid w:val="7FD36AE7"/>
    <w:rsid w:val="7FD926CB"/>
    <w:rsid w:val="7FE74D64"/>
    <w:rsid w:val="7FEC7BA9"/>
    <w:rsid w:val="7FF01447"/>
    <w:rsid w:val="7FF802FC"/>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482" w:firstLineChars="200"/>
      <w:jc w:val="left"/>
    </w:pPr>
    <w:rPr>
      <w:rFonts w:ascii="Times New Roman" w:hAnsi="Times New Roman" w:eastAsia="仿宋" w:cs="Times New Roman"/>
      <w:kern w:val="2"/>
      <w:sz w:val="28"/>
      <w:szCs w:val="36"/>
      <w:lang w:val="en-US" w:eastAsia="zh-CN" w:bidi="ar-SA"/>
    </w:rPr>
  </w:style>
  <w:style w:type="paragraph" w:styleId="5">
    <w:name w:val="heading 1"/>
    <w:basedOn w:val="1"/>
    <w:next w:val="1"/>
    <w:link w:val="29"/>
    <w:qFormat/>
    <w:uiPriority w:val="0"/>
    <w:pPr>
      <w:spacing w:beforeAutospacing="0" w:afterAutospacing="1" w:line="240" w:lineRule="auto"/>
      <w:ind w:firstLine="0" w:firstLineChars="0"/>
      <w:jc w:val="left"/>
      <w:outlineLvl w:val="0"/>
    </w:pPr>
    <w:rPr>
      <w:rFonts w:hint="eastAsia" w:ascii="Times New Roman" w:hAnsi="Times New Roman" w:eastAsia="宋体" w:cs="宋体"/>
      <w:b/>
      <w:bCs/>
      <w:kern w:val="44"/>
      <w:sz w:val="32"/>
      <w:szCs w:val="48"/>
      <w:lang w:bidi="ar"/>
    </w:rPr>
  </w:style>
  <w:style w:type="paragraph" w:styleId="6">
    <w:name w:val="heading 2"/>
    <w:basedOn w:val="1"/>
    <w:next w:val="1"/>
    <w:link w:val="28"/>
    <w:autoRedefine/>
    <w:unhideWhenUsed/>
    <w:qFormat/>
    <w:uiPriority w:val="0"/>
    <w:pPr>
      <w:keepNext/>
      <w:keepLines/>
      <w:spacing w:beforeAutospacing="0" w:afterAutospacing="0" w:line="360" w:lineRule="auto"/>
      <w:ind w:left="0" w:firstLine="0" w:firstLineChars="0"/>
      <w:outlineLvl w:val="1"/>
    </w:pPr>
    <w:rPr>
      <w:rFonts w:ascii="Times New Roman" w:hAnsi="Times New Roman" w:eastAsia="宋体" w:cs="Times New Roman"/>
      <w:b/>
      <w:sz w:val="30"/>
      <w:szCs w:val="28"/>
    </w:rPr>
  </w:style>
  <w:style w:type="paragraph" w:styleId="7">
    <w:name w:val="heading 3"/>
    <w:basedOn w:val="1"/>
    <w:next w:val="8"/>
    <w:link w:val="30"/>
    <w:autoRedefine/>
    <w:unhideWhenUsed/>
    <w:qFormat/>
    <w:uiPriority w:val="0"/>
    <w:pPr>
      <w:keepNext/>
      <w:keepLines/>
      <w:spacing w:beforeAutospacing="0" w:afterAutospacing="0" w:line="360" w:lineRule="auto"/>
      <w:ind w:left="0" w:firstLine="0" w:firstLineChars="0"/>
      <w:jc w:val="left"/>
      <w:outlineLvl w:val="2"/>
    </w:pPr>
    <w:rPr>
      <w:rFonts w:ascii="Times New Roman" w:hAnsi="Times New Roman" w:eastAsia="宋体"/>
      <w:b/>
      <w:bCs/>
      <w:szCs w:val="28"/>
    </w:rPr>
  </w:style>
  <w:style w:type="paragraph" w:styleId="9">
    <w:name w:val="heading 4"/>
    <w:basedOn w:val="1"/>
    <w:next w:val="1"/>
    <w:link w:val="31"/>
    <w:unhideWhenUsed/>
    <w:qFormat/>
    <w:uiPriority w:val="0"/>
    <w:pPr>
      <w:keepNext/>
      <w:keepLines/>
      <w:spacing w:beforeLines="0" w:beforeAutospacing="0" w:afterLines="0" w:afterAutospacing="0" w:line="360" w:lineRule="auto"/>
      <w:ind w:firstLine="0" w:firstLineChars="0"/>
      <w:jc w:val="left"/>
      <w:outlineLvl w:val="3"/>
    </w:pPr>
    <w:rPr>
      <w:rFonts w:ascii="Times New Roman" w:hAnsi="Times New Roman" w:eastAsia="宋体"/>
      <w:b/>
      <w:sz w:val="24"/>
    </w:rPr>
  </w:style>
  <w:style w:type="paragraph" w:styleId="10">
    <w:name w:val="heading 7"/>
    <w:basedOn w:val="1"/>
    <w:next w:val="1"/>
    <w:qFormat/>
    <w:uiPriority w:val="1"/>
    <w:pPr>
      <w:outlineLvl w:val="6"/>
    </w:pPr>
    <w:rPr>
      <w:b/>
      <w:bCs/>
      <w:sz w:val="24"/>
      <w:szCs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pPr>
    <w:rPr>
      <w:rFonts w:ascii="Times New Roman" w:hAnsi="Times New Roman" w:eastAsia="宋体"/>
      <w:kern w:val="0"/>
      <w:sz w:val="24"/>
      <w:szCs w:val="20"/>
    </w:rPr>
  </w:style>
  <w:style w:type="paragraph" w:customStyle="1" w:styleId="3">
    <w:name w:val="xl27"/>
    <w:basedOn w:val="1"/>
    <w:next w:val="4"/>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Body Text Indent 2"/>
    <w:basedOn w:val="1"/>
    <w:next w:val="1"/>
    <w:autoRedefine/>
    <w:qFormat/>
    <w:uiPriority w:val="0"/>
    <w:pPr>
      <w:spacing w:after="120" w:line="480" w:lineRule="auto"/>
      <w:ind w:left="200" w:leftChars="200"/>
    </w:pPr>
    <w:rPr>
      <w:rFonts w:ascii="Times New Roman" w:hAnsi="Times New Roman" w:cs="Times New Roman"/>
      <w:sz w:val="20"/>
      <w:szCs w:val="20"/>
    </w:rPr>
  </w:style>
  <w:style w:type="paragraph" w:styleId="8">
    <w:name w:val="Body Text First Indent"/>
    <w:basedOn w:val="2"/>
    <w:next w:val="1"/>
    <w:qFormat/>
    <w:uiPriority w:val="0"/>
    <w:pPr>
      <w:tabs>
        <w:tab w:val="left" w:pos="1021"/>
      </w:tabs>
      <w:ind w:firstLine="420" w:firstLineChars="100"/>
    </w:pPr>
  </w:style>
  <w:style w:type="paragraph" w:styleId="11">
    <w:name w:val="Normal Indent"/>
    <w:basedOn w:val="1"/>
    <w:autoRedefine/>
    <w:qFormat/>
    <w:uiPriority w:val="0"/>
    <w:pPr>
      <w:spacing w:line="360" w:lineRule="auto"/>
      <w:ind w:firstLine="420" w:firstLineChars="200"/>
    </w:pPr>
  </w:style>
  <w:style w:type="paragraph" w:styleId="12">
    <w:name w:val="caption"/>
    <w:basedOn w:val="1"/>
    <w:next w:val="1"/>
    <w:qFormat/>
    <w:uiPriority w:val="0"/>
    <w:pPr>
      <w:adjustRightInd w:val="0"/>
      <w:snapToGrid w:val="0"/>
      <w:spacing w:line="360" w:lineRule="auto"/>
      <w:jc w:val="left"/>
    </w:pPr>
    <w:rPr>
      <w:rFonts w:eastAsia="黑体"/>
      <w:sz w:val="24"/>
      <w:szCs w:val="20"/>
    </w:rPr>
  </w:style>
  <w:style w:type="paragraph" w:styleId="13">
    <w:name w:val="annotation text"/>
    <w:basedOn w:val="1"/>
    <w:qFormat/>
    <w:uiPriority w:val="0"/>
    <w:pPr>
      <w:jc w:val="left"/>
    </w:pPr>
  </w:style>
  <w:style w:type="paragraph" w:styleId="14">
    <w:name w:val="Body Text Indent"/>
    <w:basedOn w:val="1"/>
    <w:qFormat/>
    <w:uiPriority w:val="0"/>
    <w:pPr>
      <w:spacing w:after="120" w:afterLines="0" w:afterAutospacing="0"/>
      <w:ind w:left="420" w:leftChars="200"/>
    </w:pPr>
  </w:style>
  <w:style w:type="paragraph" w:styleId="15">
    <w:name w:val="toc 3"/>
    <w:basedOn w:val="1"/>
    <w:next w:val="1"/>
    <w:qFormat/>
    <w:uiPriority w:val="0"/>
    <w:pPr>
      <w:ind w:left="840" w:leftChars="400"/>
    </w:pPr>
  </w:style>
  <w:style w:type="paragraph" w:styleId="16">
    <w:name w:val="footer"/>
    <w:basedOn w:val="1"/>
    <w:autoRedefine/>
    <w:qFormat/>
    <w:uiPriority w:val="0"/>
    <w:pPr>
      <w:tabs>
        <w:tab w:val="center" w:pos="4153"/>
        <w:tab w:val="right" w:pos="8306"/>
      </w:tabs>
      <w:snapToGrid w:val="0"/>
      <w:jc w:val="left"/>
    </w:pPr>
    <w:rPr>
      <w:rFonts w:ascii="Times New Roman" w:hAnsi="Times New Roman" w:cs="Times New Roman"/>
      <w:color w:val="auto"/>
      <w:sz w:val="18"/>
      <w:szCs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rFonts w:ascii="Times New Roman" w:hAnsi="Times New Roman" w:cs="Times New Roman"/>
      <w:color w:val="auto"/>
      <w:sz w:val="18"/>
      <w:szCs w:val="18"/>
    </w:rPr>
  </w:style>
  <w:style w:type="paragraph" w:styleId="18">
    <w:name w:val="toc 1"/>
    <w:basedOn w:val="1"/>
    <w:next w:val="1"/>
    <w:qFormat/>
    <w:uiPriority w:val="0"/>
  </w:style>
  <w:style w:type="paragraph" w:styleId="19">
    <w:name w:val="Subtitle"/>
    <w:basedOn w:val="1"/>
    <w:qFormat/>
    <w:uiPriority w:val="0"/>
    <w:pPr>
      <w:spacing w:before="240" w:after="60" w:line="312" w:lineRule="auto"/>
      <w:jc w:val="center"/>
      <w:outlineLvl w:val="1"/>
    </w:pPr>
    <w:rPr>
      <w:rFonts w:ascii="Arial" w:hAnsi="Arial" w:eastAsia="黑体" w:cs="Times New Roman"/>
      <w:b/>
      <w:color w:val="auto"/>
      <w:sz w:val="32"/>
      <w:szCs w:val="20"/>
    </w:rPr>
  </w:style>
  <w:style w:type="paragraph" w:styleId="20">
    <w:name w:val="toc 2"/>
    <w:basedOn w:val="1"/>
    <w:next w:val="1"/>
    <w:qFormat/>
    <w:uiPriority w:val="0"/>
    <w:pPr>
      <w:ind w:left="420" w:leftChars="200"/>
    </w:pPr>
  </w:style>
  <w:style w:type="paragraph" w:styleId="21">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2">
    <w:name w:val="Body Text First Indent 2"/>
    <w:basedOn w:val="14"/>
    <w:autoRedefine/>
    <w:qFormat/>
    <w:uiPriority w:val="0"/>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page number"/>
    <w:basedOn w:val="25"/>
    <w:qFormat/>
    <w:uiPriority w:val="0"/>
  </w:style>
  <w:style w:type="character" w:customStyle="1" w:styleId="28">
    <w:name w:val="标题 2 Char"/>
    <w:link w:val="6"/>
    <w:qFormat/>
    <w:uiPriority w:val="0"/>
    <w:rPr>
      <w:rFonts w:ascii="Times New Roman" w:hAnsi="Times New Roman" w:eastAsia="宋体" w:cs="Times New Roman"/>
      <w:b/>
      <w:sz w:val="30"/>
      <w:szCs w:val="28"/>
    </w:rPr>
  </w:style>
  <w:style w:type="character" w:customStyle="1" w:styleId="29">
    <w:name w:val="标题 1 Char"/>
    <w:link w:val="5"/>
    <w:autoRedefine/>
    <w:qFormat/>
    <w:uiPriority w:val="0"/>
    <w:rPr>
      <w:rFonts w:ascii="Times New Roman" w:hAnsi="Times New Roman" w:eastAsia="宋体" w:cs="宋体"/>
      <w:b/>
      <w:bCs/>
      <w:kern w:val="44"/>
      <w:sz w:val="32"/>
      <w:szCs w:val="48"/>
      <w:lang w:bidi="ar"/>
    </w:rPr>
  </w:style>
  <w:style w:type="character" w:customStyle="1" w:styleId="30">
    <w:name w:val="标题 3 Char"/>
    <w:link w:val="7"/>
    <w:qFormat/>
    <w:uiPriority w:val="0"/>
    <w:rPr>
      <w:rFonts w:ascii="Times New Roman" w:hAnsi="Times New Roman" w:eastAsia="宋体" w:cs="Times New Roman"/>
      <w:b/>
      <w:bCs/>
      <w:sz w:val="28"/>
      <w:szCs w:val="28"/>
    </w:rPr>
  </w:style>
  <w:style w:type="character" w:customStyle="1" w:styleId="31">
    <w:name w:val="标题 4 Char"/>
    <w:link w:val="9"/>
    <w:autoRedefine/>
    <w:qFormat/>
    <w:uiPriority w:val="0"/>
    <w:rPr>
      <w:rFonts w:ascii="Times New Roman" w:hAnsi="Times New Roman" w:eastAsia="宋体"/>
      <w:b/>
      <w:sz w:val="24"/>
    </w:rPr>
  </w:style>
  <w:style w:type="paragraph" w:customStyle="1" w:styleId="32">
    <w:name w:val="表中文字"/>
    <w:basedOn w:val="33"/>
    <w:autoRedefine/>
    <w:qFormat/>
    <w:uiPriority w:val="99"/>
    <w:pPr>
      <w:spacing w:line="240" w:lineRule="auto"/>
    </w:pPr>
    <w:rPr>
      <w:b w:val="0"/>
    </w:rPr>
  </w:style>
  <w:style w:type="paragraph" w:customStyle="1" w:styleId="33">
    <w:name w:val="表头"/>
    <w:basedOn w:val="1"/>
    <w:qFormat/>
    <w:uiPriority w:val="0"/>
    <w:pPr>
      <w:spacing w:line="360" w:lineRule="auto"/>
      <w:jc w:val="center"/>
    </w:pPr>
    <w:rPr>
      <w:b/>
      <w:sz w:val="21"/>
    </w:rPr>
  </w:style>
  <w:style w:type="paragraph" w:customStyle="1" w:styleId="34">
    <w:name w:val="表格"/>
    <w:basedOn w:val="1"/>
    <w:autoRedefine/>
    <w:qFormat/>
    <w:uiPriority w:val="0"/>
    <w:pPr>
      <w:adjustRightInd w:val="0"/>
      <w:snapToGrid w:val="0"/>
      <w:spacing w:line="240" w:lineRule="exact"/>
      <w:jc w:val="center"/>
    </w:pPr>
    <w:rPr>
      <w:rFonts w:ascii="Times New Roman" w:hAnsi="Times New Roman" w:cs="Times New Roman"/>
      <w:bCs/>
      <w:snapToGrid w:val="0"/>
      <w:color w:val="FF0000"/>
      <w:sz w:val="21"/>
      <w:szCs w:val="21"/>
    </w:rPr>
  </w:style>
  <w:style w:type="paragraph" w:customStyle="1" w:styleId="35">
    <w:name w:val="样式 宋体 红色 行距: 1.5 倍行距"/>
    <w:basedOn w:val="1"/>
    <w:autoRedefine/>
    <w:qFormat/>
    <w:uiPriority w:val="0"/>
    <w:pPr>
      <w:adjustRightInd w:val="0"/>
      <w:snapToGrid w:val="0"/>
      <w:spacing w:line="360" w:lineRule="auto"/>
      <w:ind w:firstLine="560" w:firstLineChars="200"/>
    </w:pPr>
    <w:rPr>
      <w:rFonts w:cs="宋体"/>
      <w:color w:val="FF0000"/>
      <w:szCs w:val="20"/>
    </w:rPr>
  </w:style>
  <w:style w:type="paragraph" w:customStyle="1" w:styleId="36">
    <w:name w:val="Table Text"/>
    <w:basedOn w:val="1"/>
    <w:autoRedefine/>
    <w:semiHidden/>
    <w:qFormat/>
    <w:uiPriority w:val="0"/>
    <w:rPr>
      <w:rFonts w:ascii="宋体" w:hAnsi="宋体" w:eastAsia="宋体" w:cs="宋体"/>
      <w:sz w:val="20"/>
      <w:szCs w:val="20"/>
      <w:lang w:val="en-US" w:eastAsia="en-US" w:bidi="ar-SA"/>
    </w:rPr>
  </w:style>
  <w:style w:type="table" w:customStyle="1" w:styleId="37">
    <w:name w:val="Table Normal"/>
    <w:autoRedefine/>
    <w:semiHidden/>
    <w:unhideWhenUsed/>
    <w:qFormat/>
    <w:uiPriority w:val="0"/>
    <w:tblPr>
      <w:tblCellMar>
        <w:top w:w="0" w:type="dxa"/>
        <w:left w:w="0" w:type="dxa"/>
        <w:bottom w:w="0" w:type="dxa"/>
        <w:right w:w="0" w:type="dxa"/>
      </w:tblCellMar>
    </w:tblPr>
  </w:style>
  <w:style w:type="paragraph" w:customStyle="1" w:styleId="38">
    <w:name w:val="p0"/>
    <w:basedOn w:val="1"/>
    <w:qFormat/>
    <w:uiPriority w:val="0"/>
    <w:pPr>
      <w:widowControl/>
    </w:pPr>
    <w:rPr>
      <w:rFonts w:ascii="Calibri" w:hAnsi="Calibri" w:cs="宋体"/>
      <w:color w:val="auto"/>
      <w:kern w:val="0"/>
      <w:sz w:val="21"/>
      <w:szCs w:val="21"/>
    </w:rPr>
  </w:style>
  <w:style w:type="paragraph" w:customStyle="1" w:styleId="39">
    <w:name w:val="文章正文样式"/>
    <w:basedOn w:val="1"/>
    <w:autoRedefine/>
    <w:qFormat/>
    <w:uiPriority w:val="0"/>
    <w:pPr>
      <w:spacing w:line="520" w:lineRule="exact"/>
      <w:ind w:firstLine="480" w:firstLineChars="200"/>
      <w:jc w:val="left"/>
    </w:pPr>
    <w:rPr>
      <w:rFonts w:ascii="宋体" w:hAnsi="宋体" w:cs="宋体"/>
      <w:sz w:val="24"/>
    </w:rPr>
  </w:style>
  <w:style w:type="character" w:customStyle="1" w:styleId="40">
    <w:name w:val="big"/>
    <w:basedOn w:val="25"/>
    <w:autoRedefine/>
    <w:qFormat/>
    <w:uiPriority w:val="0"/>
  </w:style>
  <w:style w:type="paragraph" w:customStyle="1" w:styleId="41">
    <w:name w:val="九晟表格"/>
    <w:basedOn w:val="1"/>
    <w:autoRedefine/>
    <w:qFormat/>
    <w:uiPriority w:val="0"/>
    <w:pPr>
      <w:jc w:val="center"/>
    </w:pPr>
    <w:rPr>
      <w:rFonts w:ascii="Times New Roman" w:hAnsi="宋体" w:eastAsia="宋体" w:cs="Times New Roman"/>
      <w:szCs w:val="21"/>
    </w:rPr>
  </w:style>
  <w:style w:type="paragraph" w:customStyle="1" w:styleId="42">
    <w:name w:val="报告正文"/>
    <w:basedOn w:val="1"/>
    <w:qFormat/>
    <w:uiPriority w:val="0"/>
    <w:pPr>
      <w:adjustRightInd w:val="0"/>
      <w:snapToGrid w:val="0"/>
      <w:spacing w:line="360" w:lineRule="auto"/>
      <w:ind w:firstLine="200" w:firstLineChars="200"/>
    </w:pPr>
    <w:rPr>
      <w:rFonts w:ascii="宋体"/>
      <w:sz w:val="24"/>
      <w:szCs w:val="20"/>
    </w:rPr>
  </w:style>
  <w:style w:type="paragraph" w:customStyle="1" w:styleId="43">
    <w:name w:val="段"/>
    <w:autoRedefine/>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44">
    <w:name w:val="font21"/>
    <w:basedOn w:val="25"/>
    <w:qFormat/>
    <w:uiPriority w:val="0"/>
    <w:rPr>
      <w:rFonts w:hint="default" w:ascii="Times New Roman" w:hAnsi="Times New Roman" w:cs="Times New Roman"/>
      <w:color w:val="000000"/>
      <w:sz w:val="22"/>
      <w:szCs w:val="22"/>
      <w:u w:val="none"/>
    </w:rPr>
  </w:style>
  <w:style w:type="character" w:customStyle="1" w:styleId="45">
    <w:name w:val="font11"/>
    <w:basedOn w:val="25"/>
    <w:qFormat/>
    <w:uiPriority w:val="0"/>
    <w:rPr>
      <w:rFonts w:hint="eastAsia" w:ascii="宋体" w:hAnsi="宋体" w:eastAsia="宋体" w:cs="宋体"/>
      <w:color w:val="000000"/>
      <w:sz w:val="22"/>
      <w:szCs w:val="22"/>
      <w:u w:val="none"/>
    </w:rPr>
  </w:style>
  <w:style w:type="character" w:customStyle="1" w:styleId="46">
    <w:name w:val="font41"/>
    <w:basedOn w:val="25"/>
    <w:qFormat/>
    <w:uiPriority w:val="0"/>
    <w:rPr>
      <w:rFonts w:hint="default" w:ascii="Times New Roman" w:hAnsi="Times New Roman" w:cs="Times New Roman"/>
      <w:b/>
      <w:bCs/>
      <w:color w:val="000000"/>
      <w:sz w:val="21"/>
      <w:szCs w:val="21"/>
      <w:u w:val="none"/>
    </w:rPr>
  </w:style>
  <w:style w:type="character" w:customStyle="1" w:styleId="47">
    <w:name w:val="font31"/>
    <w:basedOn w:val="25"/>
    <w:qFormat/>
    <w:uiPriority w:val="0"/>
    <w:rPr>
      <w:rFonts w:hint="default" w:ascii="Times New Roman" w:hAnsi="Times New Roman" w:cs="Times New Roman"/>
      <w:color w:val="000000"/>
      <w:sz w:val="21"/>
      <w:szCs w:val="21"/>
      <w:u w:val="none"/>
    </w:rPr>
  </w:style>
  <w:style w:type="character" w:customStyle="1" w:styleId="48">
    <w:name w:val="font51"/>
    <w:basedOn w:val="25"/>
    <w:qFormat/>
    <w:uiPriority w:val="0"/>
    <w:rPr>
      <w:rFonts w:hint="default" w:ascii="Times New Roman" w:hAnsi="Times New Roman" w:cs="Times New Roman"/>
      <w:color w:val="000000"/>
      <w:sz w:val="21"/>
      <w:szCs w:val="21"/>
      <w:u w:val="none"/>
      <w:vertAlign w:val="subscript"/>
    </w:rPr>
  </w:style>
  <w:style w:type="paragraph" w:customStyle="1" w:styleId="49">
    <w:name w:val="表格文字"/>
    <w:basedOn w:val="8"/>
    <w:qFormat/>
    <w:uiPriority w:val="0"/>
    <w:pPr>
      <w:snapToGrid w:val="0"/>
      <w:spacing w:line="360" w:lineRule="atLeast"/>
      <w:jc w:val="center"/>
    </w:pPr>
    <w:rPr>
      <w:rFonts w:ascii="宋体" w:eastAsia="幼圆"/>
      <w:sz w:val="21"/>
      <w:szCs w:val="20"/>
    </w:rPr>
  </w:style>
  <w:style w:type="paragraph" w:customStyle="1" w:styleId="50">
    <w:name w:val="标准正文"/>
    <w:basedOn w:val="1"/>
    <w:qFormat/>
    <w:uiPriority w:val="0"/>
    <w:pPr>
      <w:widowControl/>
      <w:spacing w:line="360" w:lineRule="auto"/>
      <w:ind w:firstLine="480" w:firstLineChars="200"/>
      <w:jc w:val="left"/>
    </w:pPr>
    <w:rPr>
      <w:rFonts w:ascii="Calibri" w:hAnsi="Calibri" w:eastAsia="宋体" w:cs="Times New Roman"/>
      <w:bCs/>
      <w:sz w:val="24"/>
      <w:u w:val="single"/>
    </w:rPr>
  </w:style>
  <w:style w:type="paragraph" w:customStyle="1" w:styleId="51">
    <w:name w:val="Table Paragraph"/>
    <w:basedOn w:val="1"/>
    <w:qFormat/>
    <w:uiPriority w:val="0"/>
    <w:pPr>
      <w:autoSpaceDE w:val="0"/>
      <w:autoSpaceDN w:val="0"/>
      <w:jc w:val="center"/>
    </w:pPr>
    <w:rPr>
      <w:rFonts w:ascii="Times New Roman" w:hAnsi="Times New Roman" w:eastAsia="Times New Roman"/>
      <w:kern w:val="0"/>
      <w:sz w:val="22"/>
      <w:lang w:eastAsia="en-US"/>
    </w:rPr>
  </w:style>
  <w:style w:type="character" w:customStyle="1" w:styleId="52">
    <w:name w:val="font61"/>
    <w:basedOn w:val="25"/>
    <w:qFormat/>
    <w:uiPriority w:val="0"/>
    <w:rPr>
      <w:rFonts w:hint="default" w:ascii="Times New Roman" w:hAnsi="Times New Roman" w:cs="Times New Roman"/>
      <w:color w:val="000000"/>
      <w:sz w:val="22"/>
      <w:szCs w:val="22"/>
      <w:u w:val="none"/>
    </w:rPr>
  </w:style>
  <w:style w:type="paragraph" w:customStyle="1" w:styleId="53">
    <w:name w:val="正文 首行缩进"/>
    <w:basedOn w:val="1"/>
    <w:qFormat/>
    <w:uiPriority w:val="0"/>
    <w:pPr>
      <w:ind w:firstLine="200"/>
    </w:pPr>
    <w:rPr>
      <w:rFonts w:cs="宋体"/>
      <w:kern w:val="0"/>
      <w:szCs w:val="20"/>
    </w:rPr>
  </w:style>
  <w:style w:type="paragraph" w:customStyle="1" w:styleId="54">
    <w:name w:val="标题3"/>
    <w:basedOn w:val="1"/>
    <w:qFormat/>
    <w:uiPriority w:val="0"/>
    <w:pPr>
      <w:spacing w:line="360" w:lineRule="auto"/>
      <w:jc w:val="left"/>
      <w:outlineLvl w:val="2"/>
    </w:pPr>
    <w:rPr>
      <w:rFonts w:ascii="Times New Roman" w:hAnsi="Times New Roman" w:cs="Times New Roman"/>
      <w:b/>
      <w:color w:val="auto"/>
      <w:sz w:val="28"/>
    </w:rPr>
  </w:style>
  <w:style w:type="paragraph" w:customStyle="1" w:styleId="55">
    <w:name w:val="三级标题报告书"/>
    <w:basedOn w:val="7"/>
    <w:next w:val="1"/>
    <w:qFormat/>
    <w:uiPriority w:val="0"/>
    <w:pPr>
      <w:spacing w:line="360" w:lineRule="auto"/>
    </w:pPr>
    <w:rPr>
      <w:rFonts w:ascii="Times New Roman" w:hAnsi="Times New Roman" w:eastAsia="宋体"/>
      <w:sz w:val="28"/>
    </w:rPr>
  </w:style>
  <w:style w:type="paragraph" w:customStyle="1" w:styleId="56">
    <w:name w:val="二级标题报告书"/>
    <w:basedOn w:val="6"/>
    <w:next w:val="7"/>
    <w:qFormat/>
    <w:uiPriority w:val="0"/>
    <w:pPr>
      <w:spacing w:line="360" w:lineRule="auto"/>
    </w:pPr>
    <w:rPr>
      <w:rFonts w:ascii="Times New Roman" w:hAnsi="Times New Roman" w:eastAsia="宋体"/>
      <w:sz w:val="30"/>
    </w:rPr>
  </w:style>
  <w:style w:type="character" w:customStyle="1" w:styleId="57">
    <w:name w:val="font81"/>
    <w:basedOn w:val="25"/>
    <w:qFormat/>
    <w:uiPriority w:val="0"/>
    <w:rPr>
      <w:rFonts w:hint="default" w:ascii="Times New Roman" w:hAnsi="Times New Roman" w:cs="Times New Roman"/>
      <w:color w:val="000000"/>
      <w:sz w:val="21"/>
      <w:szCs w:val="21"/>
      <w:u w:val="none"/>
    </w:rPr>
  </w:style>
  <w:style w:type="character" w:customStyle="1" w:styleId="58">
    <w:name w:val="font71"/>
    <w:basedOn w:val="25"/>
    <w:qFormat/>
    <w:uiPriority w:val="0"/>
    <w:rPr>
      <w:rFonts w:hint="eastAsia" w:ascii="宋体" w:hAnsi="宋体" w:eastAsia="宋体" w:cs="宋体"/>
      <w:color w:val="000000"/>
      <w:sz w:val="21"/>
      <w:szCs w:val="21"/>
      <w:u w:val="none"/>
    </w:rPr>
  </w:style>
  <w:style w:type="character" w:customStyle="1" w:styleId="59">
    <w:name w:val="font91"/>
    <w:basedOn w:val="2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jpeg"/><Relationship Id="rId36" Type="http://schemas.openxmlformats.org/officeDocument/2006/relationships/image" Target="media/image19.wmf"/><Relationship Id="rId35" Type="http://schemas.openxmlformats.org/officeDocument/2006/relationships/oleObject" Target="embeddings/oleObject5.bin"/><Relationship Id="rId34" Type="http://schemas.openxmlformats.org/officeDocument/2006/relationships/image" Target="media/image18.wmf"/><Relationship Id="rId33" Type="http://schemas.openxmlformats.org/officeDocument/2006/relationships/oleObject" Target="embeddings/oleObject4.bin"/><Relationship Id="rId32" Type="http://schemas.openxmlformats.org/officeDocument/2006/relationships/image" Target="media/image17.wmf"/><Relationship Id="rId31" Type="http://schemas.openxmlformats.org/officeDocument/2006/relationships/oleObject" Target="embeddings/oleObject3.bin"/><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oleObject" Target="embeddings/oleObject2.bin"/><Relationship Id="rId26" Type="http://schemas.openxmlformats.org/officeDocument/2006/relationships/image" Target="media/image13.png"/><Relationship Id="rId25" Type="http://schemas.openxmlformats.org/officeDocument/2006/relationships/image" Target="media/image12.wmf"/><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wmf"/><Relationship Id="rId15" Type="http://schemas.openxmlformats.org/officeDocument/2006/relationships/oleObject" Target="embeddings/oleObject1.bin"/><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051" textRotate="1"/>
    <customShpInfo spid="_x0000_s2052"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175</Pages>
  <Words>5663</Words>
  <Characters>6664</Characters>
  <Lines>0</Lines>
  <Paragraphs>0</Paragraphs>
  <TotalTime>8</TotalTime>
  <ScaleCrop>false</ScaleCrop>
  <LinksUpToDate>false</LinksUpToDate>
  <CharactersWithSpaces>7286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2023-06-12T01:12:00Z</dcterms:created>
  <dc:creator>Administrator</dc:creator>
  <cp:lastModifiedBy>郭佩妤</cp:lastModifiedBy>
  <dcterms:modified xsi:type="dcterms:W3CDTF">2025-05-09T03:30:55Z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A9988F3246F646A0B872BBD9E4806770_13</vt:lpwstr>
  </property>
  <property fmtid="{D5CDD505-2E9C-101B-9397-08002B2CF9AE}" pid="4" name="KSOTemplateDocerSaveRecord">
    <vt:lpwstr>eyJoZGlkIjoiMGNiYmU5ZjU5NmQzNmY5ZDYyOGUxMzE0ODgwMTc4ZTAiLCJ1c2VySWQiOiIyNjAxMjI2MzMifQ==</vt:lpwstr>
  </property>
</Properties>
</file>